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执法</w:t>
      </w:r>
      <w:r>
        <w:rPr>
          <w:rFonts w:hint="eastAsia"/>
          <w:b/>
          <w:bCs/>
          <w:sz w:val="32"/>
          <w:szCs w:val="32"/>
        </w:rPr>
        <w:t>局</w:t>
      </w:r>
      <w:r>
        <w:rPr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20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</w:t>
      </w:r>
      <w:bookmarkStart w:id="0" w:name="_GoBack"/>
      <w:bookmarkEnd w:id="0"/>
      <w:r>
        <w:rPr>
          <w:rFonts w:hint="eastAsia"/>
          <w:sz w:val="28"/>
          <w:szCs w:val="28"/>
        </w:rPr>
        <w:t>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09F31830"/>
    <w:rsid w:val="24703F01"/>
    <w:rsid w:val="64D849F2"/>
    <w:rsid w:val="69BD43D7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lenovo</cp:lastModifiedBy>
  <dcterms:modified xsi:type="dcterms:W3CDTF">2020-02-16T04:07:56Z</dcterms:modified>
  <dc:title>林业局2017年部门预算信息公开目录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