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06</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0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所报《保定</w:t>
            </w:r>
            <w:r>
              <w:rPr>
                <w:rFonts w:hint="eastAsia" w:ascii="宋体" w:hAnsi="宋体"/>
                <w:kern w:val="0"/>
                <w:sz w:val="28"/>
                <w:szCs w:val="28"/>
                <w:lang w:eastAsia="zh-CN"/>
              </w:rPr>
              <w:t>浩阳新材料科技有限公司新型</w:t>
            </w:r>
            <w:r>
              <w:rPr>
                <w:rFonts w:hint="eastAsia" w:ascii="宋体" w:hAnsi="宋体"/>
                <w:kern w:val="0"/>
                <w:sz w:val="28"/>
                <w:szCs w:val="28"/>
                <w:lang w:val="en-US" w:eastAsia="zh-CN"/>
              </w:rPr>
              <w:t>PCB复合材料生产线建设</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0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于家庄乡庞村村北</w:t>
            </w:r>
            <w:r>
              <w:rPr>
                <w:rFonts w:hint="eastAsia" w:ascii="宋体" w:hAnsi="宋体"/>
                <w:kern w:val="0"/>
                <w:sz w:val="28"/>
                <w:szCs w:val="28"/>
              </w:rPr>
              <w:t>，</w:t>
            </w:r>
            <w:r>
              <w:rPr>
                <w:rFonts w:ascii="宋体" w:hAnsi="宋体"/>
                <w:kern w:val="0"/>
                <w:sz w:val="28"/>
                <w:szCs w:val="28"/>
              </w:rPr>
              <w:t>中心地理坐标</w:t>
            </w:r>
            <w:r>
              <w:rPr>
                <w:rFonts w:hint="eastAsia" w:ascii="宋体" w:hAnsi="宋体"/>
                <w:kern w:val="0"/>
                <w:sz w:val="28"/>
                <w:szCs w:val="28"/>
              </w:rPr>
              <w:t>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50</w:t>
            </w:r>
            <w:r>
              <w:rPr>
                <w:rFonts w:ascii="宋体" w:hAnsi="宋体"/>
                <w:kern w:val="0"/>
                <w:sz w:val="28"/>
                <w:szCs w:val="28"/>
              </w:rPr>
              <w:t>’</w:t>
            </w:r>
            <w:r>
              <w:rPr>
                <w:rFonts w:hint="eastAsia" w:ascii="宋体" w:hAnsi="宋体"/>
                <w:kern w:val="0"/>
                <w:sz w:val="28"/>
                <w:szCs w:val="28"/>
                <w:lang w:val="en-US" w:eastAsia="zh-CN"/>
              </w:rPr>
              <w:t>43.49</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20</w:t>
            </w:r>
            <w:r>
              <w:rPr>
                <w:rFonts w:ascii="宋体" w:hAnsi="宋体"/>
                <w:kern w:val="0"/>
                <w:sz w:val="28"/>
                <w:szCs w:val="28"/>
              </w:rPr>
              <w:t>’</w:t>
            </w:r>
            <w:r>
              <w:rPr>
                <w:rFonts w:hint="eastAsia" w:ascii="宋体" w:hAnsi="宋体"/>
                <w:kern w:val="0"/>
                <w:sz w:val="28"/>
                <w:szCs w:val="28"/>
                <w:lang w:val="en-US" w:eastAsia="zh-CN"/>
              </w:rPr>
              <w:t>25.25</w:t>
            </w:r>
            <w:r>
              <w:rPr>
                <w:rFonts w:ascii="宋体" w:hAnsi="宋体"/>
                <w:kern w:val="0"/>
                <w:sz w:val="28"/>
                <w:szCs w:val="28"/>
              </w:rPr>
              <w:t>”</w:t>
            </w:r>
            <w:r>
              <w:rPr>
                <w:rFonts w:hint="eastAsia" w:ascii="宋体" w:hAnsi="宋体"/>
                <w:kern w:val="0"/>
                <w:sz w:val="28"/>
                <w:szCs w:val="28"/>
              </w:rPr>
              <w:t>。</w:t>
            </w:r>
            <w:r>
              <w:rPr>
                <w:rFonts w:hint="eastAsia" w:ascii="宋体" w:hAnsi="宋体"/>
                <w:kern w:val="0"/>
                <w:sz w:val="28"/>
                <w:szCs w:val="28"/>
                <w:lang w:eastAsia="zh-CN"/>
              </w:rPr>
              <w:t>厂区东侧为道路，隔路为门脸，南侧为闲置厂房，西侧为农田，北侧为亿家红食品厂。</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default" w:ascii="宋体" w:hAnsi="宋体"/>
                <w:kern w:val="0"/>
                <w:sz w:val="28"/>
                <w:szCs w:val="28"/>
                <w:lang w:val="en-US"/>
              </w:rPr>
            </w:pPr>
            <w:r>
              <w:rPr>
                <w:rFonts w:hint="eastAsia" w:ascii="宋体" w:hAnsi="宋体"/>
                <w:kern w:val="0"/>
                <w:sz w:val="28"/>
                <w:szCs w:val="28"/>
              </w:rPr>
              <w:t>二、项目总投资</w:t>
            </w:r>
            <w:r>
              <w:rPr>
                <w:rFonts w:hint="eastAsia" w:ascii="宋体" w:hAnsi="宋体"/>
                <w:kern w:val="0"/>
                <w:sz w:val="28"/>
                <w:szCs w:val="28"/>
                <w:lang w:val="en-US" w:eastAsia="zh-CN"/>
              </w:rPr>
              <w:t>700</w:t>
            </w:r>
            <w:r>
              <w:rPr>
                <w:rFonts w:hint="eastAsia" w:ascii="宋体" w:hAnsi="宋体"/>
                <w:kern w:val="0"/>
                <w:sz w:val="28"/>
                <w:szCs w:val="28"/>
              </w:rPr>
              <w:t>万元，其中环保投资</w:t>
            </w:r>
            <w:r>
              <w:rPr>
                <w:rFonts w:hint="eastAsia" w:ascii="宋体" w:hAnsi="宋体"/>
                <w:kern w:val="0"/>
                <w:sz w:val="28"/>
                <w:szCs w:val="28"/>
                <w:lang w:val="en-US" w:eastAsia="zh-CN"/>
              </w:rPr>
              <w:t>11</w:t>
            </w:r>
            <w:r>
              <w:rPr>
                <w:rFonts w:hint="eastAsia" w:ascii="宋体" w:hAnsi="宋体"/>
                <w:kern w:val="0"/>
                <w:sz w:val="28"/>
                <w:szCs w:val="28"/>
              </w:rPr>
              <w:t>万元。</w:t>
            </w:r>
            <w:r>
              <w:rPr>
                <w:rFonts w:hint="eastAsia" w:ascii="宋体" w:hAnsi="宋体"/>
                <w:kern w:val="0"/>
                <w:sz w:val="28"/>
                <w:szCs w:val="28"/>
                <w:lang w:eastAsia="zh-CN"/>
              </w:rPr>
              <w:t>主要建设生产车间、原料库、成品库等，主要生产设备包括：三轴机械手</w:t>
            </w:r>
            <w:r>
              <w:rPr>
                <w:rFonts w:hint="eastAsia" w:ascii="宋体" w:hAnsi="宋体"/>
                <w:kern w:val="0"/>
                <w:sz w:val="28"/>
                <w:szCs w:val="28"/>
                <w:lang w:val="en-US" w:eastAsia="zh-CN"/>
              </w:rPr>
              <w:t>1套、辊杠输送机1台、二轴机械手1台、链板输送带1台、放卷机2套、布胶系统1套、发泡系统1套、层压系统1套、切割系统1套等。建设完成后年产PCB复合材料50万平方米。</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1、废水：生活用水全部进入厂区防渗</w:t>
            </w:r>
            <w:r>
              <w:rPr>
                <w:rFonts w:hint="eastAsia" w:ascii="宋体" w:hAnsi="宋体"/>
                <w:kern w:val="0"/>
                <w:sz w:val="28"/>
                <w:szCs w:val="28"/>
                <w:lang w:eastAsia="zh-CN"/>
              </w:rPr>
              <w:t>旱厕</w:t>
            </w:r>
            <w:r>
              <w:rPr>
                <w:rFonts w:hint="eastAsia" w:ascii="宋体" w:hAnsi="宋体"/>
                <w:kern w:val="0"/>
                <w:sz w:val="28"/>
                <w:szCs w:val="28"/>
              </w:rPr>
              <w:t>，定期清掏外运。</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eastAsia" w:ascii="宋体" w:hAnsi="宋体" w:cs="仿宋_GB2312"/>
                <w:kern w:val="0"/>
                <w:sz w:val="28"/>
                <w:szCs w:val="28"/>
              </w:rPr>
            </w:pPr>
            <w:r>
              <w:rPr>
                <w:rFonts w:hint="eastAsia" w:ascii="宋体" w:hAnsi="宋体"/>
                <w:kern w:val="0"/>
                <w:sz w:val="28"/>
                <w:szCs w:val="28"/>
              </w:rPr>
              <w:t>2、废气：</w:t>
            </w:r>
            <w:r>
              <w:rPr>
                <w:rFonts w:hint="eastAsia" w:ascii="宋体" w:hAnsi="宋体"/>
                <w:kern w:val="0"/>
                <w:sz w:val="28"/>
                <w:szCs w:val="28"/>
                <w:lang w:eastAsia="zh-CN"/>
              </w:rPr>
              <w:t>板材切割工序废气通过集气罩</w:t>
            </w:r>
            <w:r>
              <w:rPr>
                <w:rFonts w:hint="eastAsia" w:ascii="宋体" w:hAnsi="宋体"/>
                <w:kern w:val="0"/>
                <w:sz w:val="28"/>
                <w:szCs w:val="28"/>
                <w:lang w:val="en-US" w:eastAsia="zh-CN"/>
              </w:rPr>
              <w:t>+布袋除尘器处理后经15米高排气筒排放，</w:t>
            </w:r>
            <w:r>
              <w:rPr>
                <w:rFonts w:hint="eastAsia" w:ascii="宋体" w:hAnsi="宋体"/>
                <w:kern w:val="0"/>
                <w:sz w:val="28"/>
                <w:szCs w:val="28"/>
              </w:rPr>
              <w:t>有组织</w:t>
            </w:r>
            <w:r>
              <w:rPr>
                <w:rFonts w:hint="eastAsia" w:ascii="宋体" w:hAnsi="宋体"/>
                <w:kern w:val="0"/>
                <w:sz w:val="28"/>
                <w:szCs w:val="28"/>
                <w:lang w:val="en-US" w:eastAsia="zh-CN"/>
              </w:rPr>
              <w:t>颗粒物执行</w:t>
            </w:r>
            <w:r>
              <w:rPr>
                <w:rFonts w:hint="eastAsia" w:ascii="宋体" w:hAnsi="宋体" w:cs="宋体"/>
                <w:sz w:val="30"/>
                <w:szCs w:val="30"/>
              </w:rPr>
              <w:t>《大气污染物综合排放标准</w:t>
            </w:r>
            <w:r>
              <w:rPr>
                <w:rFonts w:hint="eastAsia" w:ascii="宋体" w:hAnsi="宋体" w:cs="仿宋_GB2312"/>
                <w:color w:val="000000"/>
                <w:sz w:val="30"/>
                <w:szCs w:val="30"/>
              </w:rPr>
              <w:t>》（GB16297-1996）中表2</w:t>
            </w:r>
            <w:r>
              <w:rPr>
                <w:rFonts w:hint="eastAsia" w:ascii="宋体" w:hAnsi="宋体" w:cs="仿宋_GB2312"/>
                <w:color w:val="000000"/>
                <w:sz w:val="30"/>
                <w:szCs w:val="30"/>
                <w:lang w:val="en-US" w:eastAsia="zh-CN"/>
              </w:rPr>
              <w:t>排放限值要求。注料工序废气经集气罩+光氧催化氧化装置+活性炭吸附装置处理后</w:t>
            </w:r>
            <w:r>
              <w:rPr>
                <w:rFonts w:hint="eastAsia" w:ascii="宋体" w:hAnsi="宋体"/>
                <w:kern w:val="0"/>
                <w:sz w:val="28"/>
                <w:szCs w:val="28"/>
                <w:lang w:val="en-US" w:eastAsia="zh-CN"/>
              </w:rPr>
              <w:t>由</w:t>
            </w:r>
            <w:r>
              <w:rPr>
                <w:rFonts w:hint="eastAsia" w:ascii="宋体" w:hAnsi="宋体"/>
                <w:kern w:val="0"/>
                <w:sz w:val="28"/>
                <w:szCs w:val="28"/>
              </w:rPr>
              <w:t>1根15m高排气筒排放</w:t>
            </w:r>
            <w:r>
              <w:rPr>
                <w:rFonts w:hint="eastAsia" w:ascii="宋体" w:hAnsi="宋体"/>
                <w:kern w:val="0"/>
                <w:sz w:val="28"/>
                <w:szCs w:val="28"/>
                <w:lang w:eastAsia="zh-CN"/>
              </w:rPr>
              <w:t>，</w:t>
            </w:r>
            <w:r>
              <w:rPr>
                <w:rFonts w:hint="eastAsia" w:ascii="宋体" w:hAnsi="宋体"/>
                <w:kern w:val="0"/>
                <w:sz w:val="28"/>
                <w:szCs w:val="28"/>
              </w:rPr>
              <w:t>有组织非甲烷总烃执行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1其他企业大气污染</w:t>
            </w:r>
            <w:r>
              <w:rPr>
                <w:rFonts w:hint="eastAsia" w:ascii="宋体" w:hAnsi="宋体"/>
                <w:sz w:val="28"/>
                <w:szCs w:val="28"/>
              </w:rPr>
              <w:t>排放限值</w:t>
            </w:r>
            <w:r>
              <w:rPr>
                <w:rFonts w:hint="eastAsia" w:ascii="宋体" w:hAnsi="宋体"/>
                <w:sz w:val="28"/>
                <w:szCs w:val="28"/>
                <w:lang w:eastAsia="zh-CN"/>
              </w:rPr>
              <w:t>；无组织颗粒物执行</w:t>
            </w:r>
            <w:r>
              <w:rPr>
                <w:rFonts w:hint="eastAsia" w:ascii="宋体" w:hAnsi="宋体" w:cs="宋体"/>
                <w:sz w:val="30"/>
                <w:szCs w:val="30"/>
              </w:rPr>
              <w:t>《大气污染物综合排放标准</w:t>
            </w:r>
            <w:r>
              <w:rPr>
                <w:rFonts w:hint="eastAsia" w:ascii="宋体" w:hAnsi="宋体" w:cs="仿宋_GB2312"/>
                <w:color w:val="000000"/>
                <w:sz w:val="30"/>
                <w:szCs w:val="30"/>
              </w:rPr>
              <w:t>》（GB16297-1996）中表2</w:t>
            </w:r>
            <w:r>
              <w:rPr>
                <w:rFonts w:hint="eastAsia" w:ascii="宋体" w:hAnsi="宋体" w:cs="仿宋_GB2312"/>
                <w:color w:val="000000"/>
                <w:sz w:val="30"/>
                <w:szCs w:val="30"/>
                <w:lang w:val="en-US" w:eastAsia="zh-CN"/>
              </w:rPr>
              <w:t>无组织排放监控浓度限值要求，</w:t>
            </w:r>
            <w:r>
              <w:rPr>
                <w:rFonts w:hint="eastAsia" w:ascii="宋体" w:hAnsi="宋体"/>
                <w:kern w:val="0"/>
                <w:sz w:val="28"/>
                <w:szCs w:val="28"/>
              </w:rPr>
              <w:t>无组织非甲烷总烃排放浓度执行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2</w:t>
            </w:r>
            <w:r>
              <w:rPr>
                <w:rFonts w:hint="eastAsia" w:ascii="宋体" w:hAnsi="宋体"/>
                <w:kern w:val="0"/>
                <w:sz w:val="28"/>
                <w:szCs w:val="28"/>
                <w:lang w:eastAsia="zh-CN"/>
              </w:rPr>
              <w:t>标准限值及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w:t>
            </w:r>
            <w:r>
              <w:rPr>
                <w:rFonts w:hint="eastAsia" w:ascii="宋体" w:hAnsi="宋体"/>
                <w:sz w:val="28"/>
                <w:szCs w:val="28"/>
              </w:rPr>
              <w:t>主要为生产时设备产生的噪声，</w:t>
            </w:r>
            <w:r>
              <w:rPr>
                <w:rFonts w:hint="eastAsia" w:ascii="宋体" w:hAnsi="宋体"/>
                <w:sz w:val="28"/>
                <w:szCs w:val="28"/>
                <w:lang w:val="en-US" w:eastAsia="zh-CN"/>
              </w:rPr>
              <w:t>采用厂房</w:t>
            </w:r>
            <w:r>
              <w:rPr>
                <w:rFonts w:hint="eastAsia" w:ascii="宋体" w:hAnsi="宋体"/>
                <w:sz w:val="28"/>
                <w:szCs w:val="28"/>
              </w:rPr>
              <w:t>隔声、基础减震等措施，</w:t>
            </w:r>
            <w:r>
              <w:rPr>
                <w:rFonts w:hint="eastAsia" w:ascii="宋体" w:hAnsi="宋体"/>
                <w:sz w:val="28"/>
                <w:szCs w:val="28"/>
                <w:lang w:eastAsia="zh-CN"/>
              </w:rPr>
              <w:t>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3</w:t>
            </w:r>
            <w:r>
              <w:rPr>
                <w:rFonts w:hint="eastAsia" w:ascii="宋体" w:hAnsi="宋体"/>
                <w:sz w:val="28"/>
                <w:szCs w:val="28"/>
              </w:rPr>
              <w:t>类标准。</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4、固体废物：废活性炭收集后暂存于危废间内，定期交由有资质单位处置；</w:t>
            </w:r>
            <w:r>
              <w:rPr>
                <w:rFonts w:hint="eastAsia" w:ascii="宋体" w:hAnsi="宋体"/>
                <w:kern w:val="0"/>
                <w:sz w:val="28"/>
                <w:szCs w:val="28"/>
                <w:lang w:eastAsia="zh-CN"/>
              </w:rPr>
              <w:t>废原料桶厂家回收，不合格产品、除尘灰收集后外售，</w:t>
            </w:r>
            <w:r>
              <w:rPr>
                <w:rFonts w:hint="eastAsia" w:ascii="宋体" w:hAnsi="宋体"/>
                <w:kern w:val="0"/>
                <w:sz w:val="28"/>
                <w:szCs w:val="28"/>
              </w:rPr>
              <w:t>生活垃圾由环卫部门统一清运处理。</w:t>
            </w:r>
          </w:p>
          <w:p>
            <w:pPr>
              <w:keepNext w:val="0"/>
              <w:keepLines w:val="0"/>
              <w:pageBreakBefore w:val="0"/>
              <w:widowControl w:val="0"/>
              <w:kinsoku/>
              <w:wordWrap/>
              <w:overflowPunct/>
              <w:topLinePunct w:val="0"/>
              <w:autoSpaceDE/>
              <w:autoSpaceDN/>
              <w:bidi w:val="0"/>
              <w:adjustRightInd/>
              <w:snapToGrid/>
              <w:spacing w:line="6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w:t>
            </w:r>
            <w:r>
              <w:rPr>
                <w:rFonts w:hint="eastAsia" w:ascii="宋体" w:hAnsi="宋体"/>
                <w:kern w:val="0"/>
                <w:sz w:val="28"/>
                <w:szCs w:val="28"/>
                <w:lang w:eastAsia="zh-CN"/>
              </w:rPr>
              <w:t>非甲烷总烃</w:t>
            </w:r>
            <w:r>
              <w:rPr>
                <w:rFonts w:hint="eastAsia" w:ascii="宋体" w:hAnsi="宋体"/>
                <w:kern w:val="0"/>
                <w:sz w:val="28"/>
                <w:szCs w:val="28"/>
              </w:rPr>
              <w:t>：</w:t>
            </w:r>
            <w:r>
              <w:rPr>
                <w:rFonts w:hint="eastAsia" w:ascii="宋体" w:hAnsi="宋体"/>
                <w:kern w:val="0"/>
                <w:sz w:val="28"/>
                <w:szCs w:val="28"/>
                <w:lang w:val="en-US" w:eastAsia="zh-CN"/>
              </w:rPr>
              <w:t>0.083</w:t>
            </w:r>
            <w:r>
              <w:rPr>
                <w:rFonts w:hint="eastAsia" w:ascii="宋体" w:hAnsi="宋体"/>
                <w:kern w:val="0"/>
                <w:sz w:val="28"/>
                <w:szCs w:val="28"/>
              </w:rPr>
              <w:t>t/a、颗粒物：0</w:t>
            </w:r>
            <w:r>
              <w:rPr>
                <w:rFonts w:hint="eastAsia" w:ascii="宋体" w:hAnsi="宋体"/>
                <w:kern w:val="0"/>
                <w:sz w:val="28"/>
                <w:szCs w:val="28"/>
                <w:lang w:val="en-US" w:eastAsia="zh-CN"/>
              </w:rPr>
              <w:t>.036</w:t>
            </w:r>
            <w:r>
              <w:rPr>
                <w:rFonts w:hint="eastAsia" w:ascii="宋体" w:hAnsi="宋体"/>
                <w:kern w:val="0"/>
                <w:sz w:val="28"/>
                <w:szCs w:val="28"/>
              </w:rPr>
              <w:t>t/a。</w:t>
            </w:r>
          </w:p>
          <w:p>
            <w:pPr>
              <w:keepNext w:val="0"/>
              <w:keepLines w:val="0"/>
              <w:pageBreakBefore w:val="0"/>
              <w:widowControl w:val="0"/>
              <w:kinsoku/>
              <w:wordWrap/>
              <w:overflowPunct/>
              <w:topLinePunct w:val="0"/>
              <w:autoSpaceDE/>
              <w:autoSpaceDN/>
              <w:bidi w:val="0"/>
              <w:adjustRightInd/>
              <w:snapToGrid/>
              <w:spacing w:line="60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kinsoku/>
              <w:wordWrap/>
              <w:overflowPunct/>
              <w:topLinePunct w:val="0"/>
              <w:autoSpaceDE/>
              <w:autoSpaceDN/>
              <w:bidi w:val="0"/>
              <w:adjustRightInd/>
              <w:snapToGrid/>
              <w:spacing w:line="6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115" w:rightChars="55" w:firstLine="560" w:firstLineChars="200"/>
              <w:textAlignment w:val="auto"/>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r>
              <w:rPr>
                <w:rFonts w:hint="eastAsia" w:ascii="宋体" w:hAnsi="宋体"/>
                <w:kern w:val="0"/>
                <w:sz w:val="28"/>
                <w:szCs w:val="28"/>
              </w:rPr>
              <w:t xml:space="preserve">    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1</w:t>
            </w:r>
            <w:r>
              <w:rPr>
                <w:rFonts w:hint="eastAsia" w:ascii="宋体" w:hAnsi="宋体"/>
                <w:kern w:val="0"/>
                <w:sz w:val="28"/>
                <w:szCs w:val="28"/>
              </w:rPr>
              <w:t>月</w:t>
            </w:r>
            <w:r>
              <w:rPr>
                <w:rFonts w:hint="eastAsia" w:ascii="宋体" w:hAnsi="宋体"/>
                <w:kern w:val="0"/>
                <w:sz w:val="28"/>
                <w:szCs w:val="28"/>
                <w:lang w:val="en-US" w:eastAsia="zh-CN"/>
              </w:rPr>
              <w:t>19</w:t>
            </w:r>
            <w:bookmarkStart w:id="0" w:name="_GoBack"/>
            <w:bookmarkEnd w:id="0"/>
            <w:r>
              <w:rPr>
                <w:rFonts w:hint="eastAsia" w:ascii="宋体" w:hAnsi="宋体"/>
                <w:kern w:val="0"/>
                <w:sz w:val="28"/>
                <w:szCs w:val="28"/>
              </w:rPr>
              <w:t xml:space="preserve">日  </w:t>
            </w:r>
          </w:p>
          <w:p>
            <w:pPr>
              <w:spacing w:line="540" w:lineRule="exact"/>
              <w:ind w:right="115" w:rightChars="55"/>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4755A9"/>
    <w:rsid w:val="079E4B0C"/>
    <w:rsid w:val="07B578BD"/>
    <w:rsid w:val="09312325"/>
    <w:rsid w:val="0BE23CE5"/>
    <w:rsid w:val="0F493C28"/>
    <w:rsid w:val="10FF1595"/>
    <w:rsid w:val="1220043A"/>
    <w:rsid w:val="173E1C2D"/>
    <w:rsid w:val="17AF3738"/>
    <w:rsid w:val="18101B13"/>
    <w:rsid w:val="1AE37DD8"/>
    <w:rsid w:val="1D1456FD"/>
    <w:rsid w:val="203B5D22"/>
    <w:rsid w:val="217156E7"/>
    <w:rsid w:val="28FD1BAE"/>
    <w:rsid w:val="2BB80B2B"/>
    <w:rsid w:val="2F0B1F33"/>
    <w:rsid w:val="33B86748"/>
    <w:rsid w:val="35555B84"/>
    <w:rsid w:val="355D57EF"/>
    <w:rsid w:val="3981372B"/>
    <w:rsid w:val="39D034D5"/>
    <w:rsid w:val="46237A4B"/>
    <w:rsid w:val="475517B8"/>
    <w:rsid w:val="4E7647A0"/>
    <w:rsid w:val="4EF13A58"/>
    <w:rsid w:val="4F3D0F11"/>
    <w:rsid w:val="56353A1E"/>
    <w:rsid w:val="5BAB2391"/>
    <w:rsid w:val="5D026B35"/>
    <w:rsid w:val="65CC7DA3"/>
    <w:rsid w:val="65FC0A89"/>
    <w:rsid w:val="67AC4BE7"/>
    <w:rsid w:val="6A673252"/>
    <w:rsid w:val="6CD067AF"/>
    <w:rsid w:val="6D476083"/>
    <w:rsid w:val="6DBF0BF8"/>
    <w:rsid w:val="73083A80"/>
    <w:rsid w:val="746439DF"/>
    <w:rsid w:val="79F0112C"/>
    <w:rsid w:val="7C1B6B6A"/>
    <w:rsid w:val="7D5E5EC6"/>
    <w:rsid w:val="7DD8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2</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2020-08-05T02:22:00Z</cp:lastPrinted>
  <dcterms:modified xsi:type="dcterms:W3CDTF">2021-01-19T02:32:12Z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