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w:pict>
          <v:group id="_x0000_s1026" o:spid="_x0000_s1026" o:spt="203" style="position:absolute;left:0pt;margin-left:-71.65pt;margin-top:30pt;height:69.6pt;width:600.25pt;z-index:-251666432;mso-width-relative:page;mso-height-relative:page;" coordorigin="13622,-66719" coordsize="12005,1392046">
            <o:lock v:ext="edit"/>
            <v:rect id="矩形 5" o:spid="_x0000_s1027" o:spt="1" style="position:absolute;left:13622;top:283;height:6170;width:12005;v-text-anchor:middle;" fillcolor="#FDBC11" filled="t" stroked="f" coordsize="21600,21600">
              <v:path/>
              <v:fill on="t" focussize="0,0"/>
              <v:stroke on="f" weight="1pt"/>
              <v:imagedata o:title=""/>
              <o:lock v:ext="edit"/>
            </v:rect>
            <v:shape id="_x0000_s1028" o:spid="_x0000_s1028"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shape id="文本框 10" o:spid="_x0000_s1029" o:spt="202" type="#_x0000_t202" style="position:absolute;left:0pt;margin-left:106.25pt;margin-top:693.55pt;height:79.95pt;width:404.15pt;z-index:251655168;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v:textbox>
          </v:shape>
        </w:pict>
      </w:r>
      <w:r>
        <w:pict>
          <v:shape id="椭圆 8" o:spid="_x0000_s1030" o:spt="3" type="#_x0000_t3" style="position:absolute;left:0pt;margin-left:53.5pt;margin-top:232.45pt;height:121.95pt;width:121.95pt;z-index:251652096;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1" o:spt="1" style="position:absolute;left:0pt;margin-left:33.6pt;margin-top:256.75pt;height:69.6pt;width:160.65pt;z-index:251657216;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2" o:spt="3" type="#_x0000_t3" style="position:absolute;left:0pt;margin-left:62.2pt;margin-top:242.75pt;height:103.45pt;width:103.45pt;z-index:251656192;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3" o:spid="_x0000_s1033" o:spt="203" style="position:absolute;left:0pt;margin-left:1.25pt;margin-top:821.7pt;height:21.45pt;width:595.25pt;z-index:251653120;mso-width-relative:page;mso-height-relative:page;" coordorigin="1483,16692" coordsize="11905,429203">
            <o:lock v:ext="edit"/>
            <v:rect id="矩形 6" o:spid="_x0000_s1034" o:spt="1" style="position:absolute;left:1483;top:16692;height:428;width:1125;v-text-anchor:middle;" fillcolor="#FDBC11" filled="t" stroked="f" coordsize="21600,21600">
              <v:path/>
              <v:fill on="t" focussize="0,0"/>
              <v:stroke on="f" weight="1pt"/>
              <v:imagedata o:title=""/>
              <o:lock v:ext="edit"/>
            </v:rect>
            <v:rect id="矩形 7" o:spid="_x0000_s1035" o:spt="1" style="position:absolute;left:2608;top:16693;height:428;width:10780;v-text-anchor:middle;" fillcolor="#1F2959" filled="t" stroked="f" coordsize="21600,21600">
              <v:path/>
              <v:fill on="t" focussize="0,0"/>
              <v:stroke on="f" weight="1pt"/>
              <v:imagedata o:title=""/>
              <o:lock v:ext="edit"/>
            </v:rect>
          </v:group>
        </w:pict>
      </w:r>
      <w:r>
        <w:pict>
          <v:rect id="矩形 11" o:spid="_x0000_s1036" o:spt="1" style="position:absolute;left:0pt;margin-left:184.75pt;margin-top:286.6pt;height:31.25pt;width:339.65pt;mso-wrap-style:none;z-index:251654144;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lang w:eastAsia="zh-CN"/>
        </w:rPr>
      </w:pPr>
      <w:r>
        <w:rPr>
          <w:rFonts w:hint="eastAsia" w:ascii="楷体_GB2312" w:hAnsi="楷体_GB2312" w:eastAsia="楷体_GB2312" w:cs="楷体_GB2312"/>
          <w:color w:val="000000"/>
          <w:kern w:val="0"/>
          <w:sz w:val="44"/>
          <w:szCs w:val="44"/>
          <w:lang w:eastAsia="zh-CN"/>
        </w:rPr>
        <w:t>保定市满城工业和信息化局</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p>
      <w:pPr>
        <w:tabs>
          <w:tab w:val="left" w:pos="2728"/>
        </w:tabs>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after="160" w:line="580" w:lineRule="exact"/>
        <w:ind w:firstLine="640" w:firstLineChars="200"/>
        <w:rPr>
          <w:rFonts w:eastAsia="黑体"/>
          <w:sz w:val="32"/>
          <w:szCs w:val="32"/>
        </w:rPr>
      </w:pPr>
    </w:p>
    <w:p>
      <w:pPr>
        <w:widowControl/>
        <w:spacing w:after="160"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p>
    <w:p>
      <w:pPr>
        <w:widowControl/>
        <w:spacing w:after="160" w:line="580" w:lineRule="exact"/>
        <w:ind w:firstLine="1273" w:firstLineChars="398"/>
        <w:rPr>
          <w:rFonts w:eastAsia="仿宋_GB2312"/>
          <w:sz w:val="32"/>
          <w:szCs w:val="32"/>
        </w:rPr>
      </w:pPr>
      <w:r>
        <w:rPr>
          <w:rFonts w:hint="eastAsia" w:eastAsia="仿宋_GB2312"/>
          <w:sz w:val="32"/>
          <w:szCs w:val="32"/>
        </w:rPr>
        <w:t>一、部门职责</w:t>
      </w:r>
    </w:p>
    <w:p>
      <w:pPr>
        <w:widowControl/>
        <w:spacing w:after="160" w:line="580" w:lineRule="exact"/>
        <w:ind w:firstLine="1273" w:firstLineChars="398"/>
        <w:rPr>
          <w:rFonts w:eastAsia="仿宋_GB2312"/>
          <w:sz w:val="32"/>
          <w:szCs w:val="32"/>
        </w:rPr>
      </w:pPr>
      <w:r>
        <w:rPr>
          <w:rFonts w:hint="eastAsia" w:eastAsia="仿宋_GB2312"/>
          <w:sz w:val="32"/>
          <w:szCs w:val="32"/>
        </w:rPr>
        <w:t>二、机构设置</w:t>
      </w:r>
    </w:p>
    <w:p>
      <w:pPr>
        <w:widowControl/>
        <w:spacing w:after="160" w:line="580" w:lineRule="exact"/>
        <w:ind w:firstLine="640" w:firstLineChars="200"/>
        <w:rPr>
          <w:rFonts w:eastAsia="黑体"/>
          <w:sz w:val="32"/>
          <w:szCs w:val="32"/>
        </w:rPr>
      </w:pPr>
      <w:r>
        <w:rPr>
          <w:rFonts w:hint="eastAsia" w:eastAsia="黑体"/>
          <w:sz w:val="32"/>
          <w:szCs w:val="32"/>
        </w:rPr>
        <w:t>第二部分</w:t>
      </w:r>
      <w:r>
        <w:rPr>
          <w:rFonts w:eastAsia="黑体"/>
          <w:sz w:val="32"/>
          <w:szCs w:val="32"/>
        </w:rPr>
        <w:t xml:space="preserve">   2019</w:t>
      </w:r>
      <w:r>
        <w:rPr>
          <w:rFonts w:hint="eastAsia" w:eastAsia="黑体"/>
          <w:sz w:val="32"/>
          <w:szCs w:val="32"/>
        </w:rPr>
        <w:t>年部门决算情况说明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四、财政拨款收入支出决算总体情况说明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五、一般公共预算</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after="160"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after="160" w:line="580" w:lineRule="exact"/>
        <w:ind w:left="640" w:firstLine="640" w:firstLineChars="200"/>
        <w:rPr>
          <w:rFonts w:hint="eastAsia" w:eastAsia="仿宋_GB2312"/>
          <w:sz w:val="32"/>
          <w:szCs w:val="32"/>
        </w:rPr>
      </w:pPr>
      <w:r>
        <w:rPr>
          <w:rFonts w:hint="eastAsia" w:eastAsia="仿宋_GB2312"/>
          <w:sz w:val="32"/>
          <w:szCs w:val="32"/>
        </w:rPr>
        <w:t>七、其他重要事项的说明</w:t>
      </w:r>
    </w:p>
    <w:p>
      <w:pPr>
        <w:ind w:firstLine="1280" w:firstLineChars="400"/>
        <w:rPr>
          <w:rFonts w:hint="eastAsia" w:eastAsia="仿宋_GB2312"/>
          <w:sz w:val="32"/>
          <w:szCs w:val="32"/>
        </w:rPr>
      </w:pPr>
      <w:r>
        <w:rPr>
          <w:rFonts w:hint="eastAsia" w:eastAsia="仿宋_GB2312"/>
          <w:sz w:val="32"/>
          <w:szCs w:val="32"/>
          <w:lang w:eastAsia="zh-CN"/>
        </w:rPr>
        <w:t>八、</w:t>
      </w:r>
      <w:r>
        <w:rPr>
          <w:rFonts w:hint="eastAsia" w:eastAsia="仿宋_GB2312"/>
          <w:sz w:val="32"/>
          <w:szCs w:val="32"/>
        </w:rPr>
        <w:t>其他需要说明的事项</w:t>
      </w:r>
    </w:p>
    <w:p>
      <w:pPr>
        <w:widowControl/>
        <w:spacing w:after="160"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400" w:firstLineChars="200"/>
        <w:rPr>
          <w:rFonts w:eastAsia="仿宋_GB2312"/>
          <w:sz w:val="20"/>
          <w:szCs w:val="32"/>
        </w:rPr>
      </w:pPr>
    </w:p>
    <w:p>
      <w:pPr>
        <w:spacing w:line="580" w:lineRule="exact"/>
        <w:ind w:firstLine="600"/>
        <w:rPr>
          <w:sz w:val="30"/>
          <w:szCs w:val="30"/>
        </w:rPr>
      </w:pPr>
    </w:p>
    <w:p>
      <w:pPr>
        <w:ind w:firstLine="640"/>
        <w:rPr>
          <w:rFonts w:hint="eastAsia"/>
        </w:rPr>
      </w:pPr>
    </w:p>
    <w:p>
      <w:pPr>
        <w:jc w:val="center"/>
        <w:rPr>
          <w:rFonts w:hint="eastAsia"/>
          <w:b/>
          <w:sz w:val="32"/>
          <w:szCs w:val="32"/>
        </w:rPr>
      </w:pPr>
    </w:p>
    <w:p>
      <w:pPr>
        <w:rPr>
          <w:rFonts w:hint="eastAsia"/>
          <w:b/>
          <w:sz w:val="32"/>
          <w:szCs w:val="32"/>
        </w:rPr>
      </w:pPr>
    </w:p>
    <w:p>
      <w:pPr>
        <w:jc w:val="center"/>
        <w:rPr>
          <w:rFonts w:hint="eastAsia" w:ascii="宋体" w:hAnsi="宋体" w:cs="宋体"/>
          <w:b/>
          <w:sz w:val="36"/>
          <w:szCs w:val="36"/>
        </w:rPr>
      </w:pPr>
    </w:p>
    <w:p>
      <w:pPr>
        <w:jc w:val="center"/>
        <w:rPr>
          <w:rFonts w:hint="eastAsia"/>
          <w:b/>
          <w:bCs/>
          <w:sz w:val="52"/>
          <w:szCs w:val="52"/>
        </w:rPr>
      </w:pPr>
      <w:r>
        <w:rPr>
          <w:rFonts w:hint="eastAsia"/>
          <w:b/>
          <w:bCs/>
          <w:sz w:val="52"/>
          <w:szCs w:val="52"/>
        </w:rPr>
        <w:t>第一部分  部门概况</w:t>
      </w:r>
    </w:p>
    <w:p>
      <w:pPr>
        <w:spacing w:line="620" w:lineRule="exact"/>
        <w:rPr>
          <w:rFonts w:hint="eastAsia" w:ascii="仿宋" w:hAnsi="仿宋" w:eastAsia="仿宋" w:cs="仿宋"/>
          <w:sz w:val="32"/>
          <w:szCs w:val="32"/>
        </w:rPr>
      </w:pPr>
      <w:r>
        <w:rPr>
          <w:rFonts w:hint="eastAsia" w:ascii="仿宋" w:hAnsi="仿宋" w:eastAsia="仿宋" w:cs="仿宋"/>
          <w:sz w:val="32"/>
          <w:szCs w:val="32"/>
        </w:rPr>
        <w:t>一、部门职责</w:t>
      </w:r>
    </w:p>
    <w:p>
      <w:pPr>
        <w:spacing w:line="520" w:lineRule="exact"/>
        <w:ind w:firstLine="600" w:firstLineChars="200"/>
        <w:rPr>
          <w:rFonts w:ascii="宋体" w:hAnsi="宋体" w:cs="宋体"/>
          <w:sz w:val="30"/>
          <w:szCs w:val="30"/>
        </w:rPr>
      </w:pPr>
      <w:r>
        <w:rPr>
          <w:rFonts w:hint="eastAsia" w:ascii="宋体" w:hAnsi="宋体" w:cs="宋体"/>
          <w:sz w:val="30"/>
          <w:szCs w:val="30"/>
        </w:rPr>
        <w:t>（一）落实国家、省、市新型工业化发展战略和政策，协调解决新型工业化进程中的重大问题，拟订并组织实施全区工业的发展规划，推进产业结构战略性调整和优化升级，推进信息化和工业化融合。</w:t>
      </w:r>
    </w:p>
    <w:p>
      <w:pPr>
        <w:spacing w:line="520" w:lineRule="exact"/>
        <w:ind w:firstLine="600" w:firstLineChars="200"/>
        <w:rPr>
          <w:rFonts w:ascii="宋体" w:hAnsi="宋体" w:cs="宋体"/>
          <w:sz w:val="30"/>
          <w:szCs w:val="30"/>
        </w:rPr>
      </w:pPr>
      <w:r>
        <w:rPr>
          <w:rFonts w:hint="eastAsia" w:ascii="宋体" w:hAnsi="宋体" w:cs="宋体"/>
          <w:sz w:val="30"/>
          <w:szCs w:val="30"/>
        </w:rPr>
        <w:t>（二）拟订并组织实施全区工业行业规划、计划和产业政策，提出优化产业布局、结构的政策建议，推进现代产业体系建设，组织实施行业技术规范和标准，指导行业生产质量管理，协调推进工信系统名牌战略工作。</w:t>
      </w:r>
    </w:p>
    <w:p>
      <w:pPr>
        <w:spacing w:line="520" w:lineRule="exact"/>
        <w:ind w:firstLine="600" w:firstLineChars="200"/>
        <w:rPr>
          <w:rFonts w:ascii="宋体" w:hAnsi="宋体" w:cs="宋体"/>
          <w:sz w:val="30"/>
          <w:szCs w:val="30"/>
        </w:rPr>
      </w:pPr>
      <w:r>
        <w:rPr>
          <w:rFonts w:hint="eastAsia" w:ascii="宋体" w:hAnsi="宋体" w:cs="宋体"/>
          <w:sz w:val="30"/>
          <w:szCs w:val="30"/>
        </w:rPr>
        <w:t>（三）监测、分析全区工业运行态势，统计并发布相关信息，进行预测预警和信息引导，协调解决行业运行发展中的有关问题并提出政策建议；负责工业应急管理、产业安全和国防动员有关工作。负责区级医药储备管理的有关工作。</w:t>
      </w:r>
    </w:p>
    <w:p>
      <w:pPr>
        <w:spacing w:line="520" w:lineRule="exact"/>
        <w:ind w:firstLine="600" w:firstLineChars="200"/>
        <w:rPr>
          <w:rFonts w:ascii="宋体" w:hAnsi="宋体" w:cs="宋体"/>
          <w:sz w:val="30"/>
          <w:szCs w:val="30"/>
        </w:rPr>
      </w:pPr>
      <w:r>
        <w:rPr>
          <w:rFonts w:hint="eastAsia" w:ascii="宋体" w:hAnsi="宋体" w:cs="宋体"/>
          <w:sz w:val="30"/>
          <w:szCs w:val="30"/>
        </w:rPr>
        <w:t>（四）负责提出全区工业固定资产投资规模和方向（含利用外资和境外投资）、国家和省、市、区财政性建设资金安排的意见。</w:t>
      </w:r>
    </w:p>
    <w:p>
      <w:pPr>
        <w:spacing w:line="520" w:lineRule="exact"/>
        <w:ind w:firstLine="600" w:firstLineChars="200"/>
        <w:rPr>
          <w:rFonts w:ascii="宋体" w:hAnsi="宋体" w:cs="宋体"/>
          <w:sz w:val="30"/>
          <w:szCs w:val="30"/>
        </w:rPr>
      </w:pPr>
      <w:r>
        <w:rPr>
          <w:rFonts w:hint="eastAsia" w:ascii="宋体" w:hAnsi="宋体" w:cs="宋体"/>
          <w:sz w:val="30"/>
          <w:szCs w:val="30"/>
        </w:rPr>
        <w:t>（五）负责对全区中小企业和民营经济促进工作进行指导、综合协调和监督检查，负责中小企业统计工作，研究拟订全区中小企业发展战略、中长期发展规划、年度计划并组织实施；会同有关部门拟定促进全区发展中小企业和民营经济发展的相关政策并组织实施，协调解决有关重大问题；指导和推进中小企业转变发展方式，推动结构调整优化；拟订中小企业产业集群发展规划及政策措施并组织实施。</w:t>
      </w:r>
    </w:p>
    <w:p>
      <w:pPr>
        <w:spacing w:line="520" w:lineRule="exact"/>
        <w:ind w:firstLine="600" w:firstLineChars="200"/>
        <w:rPr>
          <w:rFonts w:ascii="宋体" w:hAnsi="宋体" w:cs="宋体"/>
          <w:sz w:val="30"/>
          <w:szCs w:val="30"/>
        </w:rPr>
      </w:pPr>
      <w:r>
        <w:rPr>
          <w:rFonts w:hint="eastAsia" w:ascii="宋体" w:hAnsi="宋体" w:cs="宋体"/>
          <w:sz w:val="30"/>
          <w:szCs w:val="30"/>
        </w:rPr>
        <w:t>（六）拟订和组织实施中小企业发展专项资金年度计划和固定资产投资计划，提出区级中小企业发展专项资金年度预算建议，实施对中小企业发展专项资金使用的监督检查；提出中小企业融资的政策措施并组织实施；推动建立中小企业创业风险投资引导资金，确定资金使用方向；负责企业诚信体系建设；组织推进中小企业信用担保体系和信用制度建设；推动建立完善中小企业服务体系，引导各类中介组织为中小企业提供服务。</w:t>
      </w:r>
    </w:p>
    <w:p>
      <w:pPr>
        <w:spacing w:line="520" w:lineRule="exact"/>
        <w:ind w:firstLine="600" w:firstLineChars="200"/>
        <w:rPr>
          <w:rFonts w:ascii="宋体" w:hAnsi="宋体" w:cs="宋体"/>
          <w:sz w:val="30"/>
          <w:szCs w:val="30"/>
        </w:rPr>
      </w:pPr>
      <w:r>
        <w:rPr>
          <w:rFonts w:hint="eastAsia" w:ascii="宋体" w:hAnsi="宋体" w:cs="宋体"/>
          <w:sz w:val="30"/>
          <w:szCs w:val="30"/>
        </w:rPr>
        <w:t>（七）贯彻国家政策和标准，拟订高技术产业中涉及生物医药、新材料、信息产业等规划并组织实施； 指导行业技术创新和技术进步，以先进适用技术改造提升传统产业；组织实施有关国家、省、市、区科技重大专项，推进相关科研成果产业化，推动全区软件业、信息服务业和新兴产业发展。</w:t>
      </w:r>
    </w:p>
    <w:p>
      <w:pPr>
        <w:spacing w:line="520" w:lineRule="exact"/>
        <w:ind w:firstLine="600" w:firstLineChars="200"/>
        <w:rPr>
          <w:rFonts w:ascii="宋体" w:hAnsi="宋体" w:cs="宋体"/>
          <w:sz w:val="30"/>
          <w:szCs w:val="30"/>
        </w:rPr>
      </w:pPr>
      <w:r>
        <w:rPr>
          <w:rFonts w:hint="eastAsia" w:ascii="宋体" w:hAnsi="宋体" w:cs="宋体"/>
          <w:sz w:val="30"/>
          <w:szCs w:val="30"/>
        </w:rPr>
        <w:t>（八）承担全区振兴装备制造业的组织协调，贯彻执行国家、省、市重大技术装备发展和自主创新规划、政策，依托国家、省、市、区重点工程建设协调有关重大专项的实施，推进重大技术装备国产化，指导引进重大技术装备的消化创新。</w:t>
      </w:r>
    </w:p>
    <w:p>
      <w:pPr>
        <w:spacing w:line="520" w:lineRule="exact"/>
        <w:ind w:firstLine="600" w:firstLineChars="200"/>
        <w:rPr>
          <w:rFonts w:ascii="宋体" w:hAnsi="宋体" w:cs="宋体"/>
          <w:sz w:val="30"/>
          <w:szCs w:val="30"/>
        </w:rPr>
      </w:pPr>
      <w:r>
        <w:rPr>
          <w:rFonts w:hint="eastAsia" w:ascii="宋体" w:hAnsi="宋体" w:cs="宋体"/>
          <w:sz w:val="30"/>
          <w:szCs w:val="30"/>
        </w:rPr>
        <w:t>（九）组织实施国家、省、市工业能源节约和资源综合利用促进政策，协调相关重大示范工程和新产品、新技术、新设备、新材料的推广应用。</w:t>
      </w:r>
    </w:p>
    <w:p>
      <w:pPr>
        <w:spacing w:line="520" w:lineRule="exact"/>
        <w:ind w:firstLine="600" w:firstLineChars="200"/>
        <w:rPr>
          <w:rFonts w:ascii="宋体" w:hAnsi="宋体" w:cs="宋体"/>
          <w:sz w:val="30"/>
          <w:szCs w:val="30"/>
        </w:rPr>
      </w:pPr>
      <w:r>
        <w:rPr>
          <w:rFonts w:hint="eastAsia" w:ascii="宋体" w:hAnsi="宋体" w:cs="宋体"/>
          <w:sz w:val="30"/>
          <w:szCs w:val="30"/>
        </w:rPr>
        <w:t>（十）推进全区工业体制改革和管理创新，提高行业综合素质和核心竞争力，指导工业行业加强安全生产管理；负责证照齐全民用爆炸物品生产、流通企业单位的安全生产监督管理；负责本单位的安全生产和职业健康工作。</w:t>
      </w:r>
    </w:p>
    <w:p>
      <w:pPr>
        <w:spacing w:line="520" w:lineRule="exact"/>
        <w:ind w:firstLine="600" w:firstLineChars="200"/>
        <w:rPr>
          <w:rFonts w:ascii="宋体" w:hAnsi="宋体" w:cs="宋体"/>
          <w:sz w:val="30"/>
          <w:szCs w:val="30"/>
        </w:rPr>
      </w:pPr>
      <w:r>
        <w:rPr>
          <w:rFonts w:hint="eastAsia" w:ascii="宋体" w:hAnsi="宋体" w:cs="宋体"/>
          <w:sz w:val="30"/>
          <w:szCs w:val="30"/>
        </w:rPr>
        <w:t>（十一）组织开展工业、中小企业的对外合作与交流。</w:t>
      </w:r>
    </w:p>
    <w:p>
      <w:pPr>
        <w:spacing w:line="520" w:lineRule="exact"/>
        <w:ind w:firstLine="600" w:firstLineChars="200"/>
        <w:rPr>
          <w:rFonts w:ascii="宋体" w:hAnsi="宋体" w:cs="宋体"/>
          <w:sz w:val="30"/>
          <w:szCs w:val="30"/>
        </w:rPr>
      </w:pPr>
      <w:r>
        <w:rPr>
          <w:rFonts w:hint="eastAsia" w:ascii="宋体" w:hAnsi="宋体" w:cs="宋体"/>
          <w:sz w:val="30"/>
          <w:szCs w:val="30"/>
        </w:rPr>
        <w:t>（十二）承担履行《禁止化学武器公约》的组织协调工作。</w:t>
      </w:r>
    </w:p>
    <w:p>
      <w:pPr>
        <w:spacing w:line="520" w:lineRule="exact"/>
        <w:ind w:firstLine="600" w:firstLineChars="200"/>
        <w:rPr>
          <w:rFonts w:hint="eastAsia" w:ascii="宋体" w:hAnsi="宋体" w:cs="宋体"/>
          <w:sz w:val="30"/>
          <w:szCs w:val="30"/>
        </w:rPr>
      </w:pPr>
      <w:r>
        <w:rPr>
          <w:rFonts w:hint="eastAsia" w:ascii="宋体" w:hAnsi="宋体" w:cs="宋体"/>
          <w:sz w:val="30"/>
          <w:szCs w:val="30"/>
        </w:rPr>
        <w:t>（十三）承办区委、区政府交办的其他事项。</w:t>
      </w:r>
    </w:p>
    <w:p>
      <w:pPr>
        <w:spacing w:line="620" w:lineRule="exact"/>
        <w:rPr>
          <w:rFonts w:hint="eastAsia" w:ascii="仿宋" w:hAnsi="仿宋" w:eastAsia="仿宋" w:cs="仿宋"/>
          <w:sz w:val="32"/>
          <w:szCs w:val="32"/>
        </w:rPr>
      </w:pPr>
      <w:r>
        <w:rPr>
          <w:rFonts w:hint="eastAsia" w:ascii="仿宋" w:hAnsi="仿宋" w:eastAsia="仿宋" w:cs="仿宋"/>
          <w:sz w:val="32"/>
          <w:szCs w:val="32"/>
        </w:rPr>
        <w:t>二、机构设置</w:t>
      </w:r>
    </w:p>
    <w:tbl>
      <w:tblPr>
        <w:tblStyle w:val="5"/>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宋体" w:hAnsi="宋体" w:cs="宋体"/>
                <w:sz w:val="30"/>
                <w:szCs w:val="30"/>
              </w:rPr>
              <w:t>满城区工业和信息化局</w:t>
            </w:r>
          </w:p>
        </w:tc>
        <w:tc>
          <w:tcPr>
            <w:tcW w:w="2445"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bl>
    <w:p>
      <w:pPr>
        <w:spacing w:line="620" w:lineRule="exact"/>
        <w:rPr>
          <w:rFonts w:hint="eastAsia" w:ascii="仿宋" w:hAnsi="仿宋" w:eastAsia="仿宋" w:cs="仿宋"/>
          <w:sz w:val="32"/>
          <w:szCs w:val="32"/>
        </w:rPr>
      </w:pPr>
    </w:p>
    <w:p>
      <w:pPr>
        <w:spacing w:line="520" w:lineRule="exact"/>
        <w:ind w:firstLine="560" w:firstLineChars="200"/>
        <w:rPr>
          <w:rFonts w:hint="eastAsia" w:ascii="仿宋" w:hAnsi="仿宋" w:eastAsia="仿宋"/>
          <w:spacing w:val="-20"/>
          <w:sz w:val="32"/>
          <w:szCs w:val="32"/>
        </w:rPr>
      </w:pPr>
    </w:p>
    <w:p>
      <w:pPr>
        <w:widowControl/>
        <w:numPr>
          <w:ilvl w:val="0"/>
          <w:numId w:val="1"/>
        </w:numPr>
        <w:shd w:val="clear" w:color="auto" w:fill="FFFFFF"/>
        <w:spacing w:line="620" w:lineRule="exact"/>
        <w:jc w:val="center"/>
        <w:rPr>
          <w:rFonts w:hint="eastAsia" w:ascii="宋体" w:hAnsi="宋体" w:cs="宋体"/>
          <w:b/>
          <w:color w:val="000000"/>
          <w:kern w:val="0"/>
          <w:sz w:val="52"/>
          <w:szCs w:val="52"/>
        </w:rPr>
      </w:pPr>
    </w:p>
    <w:p>
      <w:pPr>
        <w:widowControl/>
        <w:numPr>
          <w:ilvl w:val="0"/>
          <w:numId w:val="0"/>
        </w:numPr>
        <w:shd w:val="clear" w:color="auto" w:fill="FFFFFF"/>
        <w:spacing w:line="620" w:lineRule="exact"/>
        <w:jc w:val="center"/>
        <w:rPr>
          <w:rFonts w:hint="eastAsia" w:ascii="宋体" w:hAnsi="宋体" w:cs="宋体"/>
          <w:b/>
          <w:color w:val="000000"/>
          <w:kern w:val="0"/>
          <w:sz w:val="52"/>
          <w:szCs w:val="52"/>
        </w:rPr>
      </w:pPr>
      <w:r>
        <w:rPr>
          <w:rFonts w:hint="eastAsia" w:ascii="宋体" w:hAnsi="宋体" w:cs="宋体"/>
          <w:b/>
          <w:color w:val="000000"/>
          <w:kern w:val="0"/>
          <w:sz w:val="52"/>
          <w:szCs w:val="52"/>
        </w:rPr>
        <w:t>2019年部门决算情况说明</w:t>
      </w:r>
    </w:p>
    <w:p>
      <w:pPr>
        <w:widowControl/>
        <w:numPr>
          <w:ilvl w:val="0"/>
          <w:numId w:val="0"/>
        </w:numPr>
        <w:shd w:val="clear" w:color="auto" w:fill="FFFFFF"/>
        <w:spacing w:line="620" w:lineRule="exact"/>
        <w:jc w:val="center"/>
        <w:rPr>
          <w:rFonts w:hint="eastAsia" w:ascii="宋体" w:hAnsi="宋体" w:cs="宋体"/>
          <w:b/>
          <w:color w:val="000000"/>
          <w:kern w:val="0"/>
          <w:sz w:val="52"/>
          <w:szCs w:val="52"/>
        </w:rPr>
      </w:pPr>
    </w:p>
    <w:p>
      <w:pPr>
        <w:widowControl/>
        <w:numPr>
          <w:ilvl w:val="0"/>
          <w:numId w:val="2"/>
        </w:numPr>
        <w:shd w:val="clear" w:color="auto" w:fill="FFFFFF"/>
        <w:spacing w:line="620" w:lineRule="exact"/>
        <w:jc w:val="left"/>
        <w:rPr>
          <w:rFonts w:hint="eastAsia" w:ascii="宋体" w:hAnsi="宋体" w:cs="宋体"/>
          <w:bCs/>
          <w:color w:val="000000"/>
          <w:kern w:val="0"/>
          <w:sz w:val="28"/>
          <w:szCs w:val="28"/>
        </w:rPr>
      </w:pPr>
      <w:r>
        <w:rPr>
          <w:rFonts w:hint="eastAsia" w:ascii="宋体" w:hAnsi="宋体" w:cs="宋体"/>
          <w:bCs/>
          <w:color w:val="000000"/>
          <w:kern w:val="0"/>
          <w:sz w:val="28"/>
          <w:szCs w:val="28"/>
        </w:rPr>
        <w:t>收入支出决算总体情况说明</w:t>
      </w:r>
    </w:p>
    <w:p>
      <w:pPr>
        <w:spacing w:line="520" w:lineRule="exact"/>
        <w:ind w:firstLine="600" w:firstLineChars="200"/>
        <w:rPr>
          <w:rFonts w:ascii="宋体" w:hAnsi="宋体"/>
          <w:b/>
          <w:sz w:val="30"/>
          <w:szCs w:val="30"/>
        </w:rPr>
      </w:pPr>
      <w:r>
        <w:rPr>
          <w:rFonts w:hint="eastAsia" w:ascii="宋体" w:hAnsi="宋体"/>
          <w:sz w:val="30"/>
          <w:szCs w:val="30"/>
        </w:rPr>
        <w:t>因本单位于2017年与发改局合并，故2019年部门预算由发改局预算并决算，工信局财务与发改局财务于2020年1月份正式分开，单独核算。</w:t>
      </w:r>
    </w:p>
    <w:p>
      <w:pPr>
        <w:widowControl/>
        <w:numPr>
          <w:ilvl w:val="0"/>
          <w:numId w:val="2"/>
        </w:numPr>
        <w:shd w:val="clear" w:color="auto" w:fill="FFFFFF"/>
        <w:spacing w:line="620" w:lineRule="exact"/>
        <w:jc w:val="left"/>
        <w:rPr>
          <w:rFonts w:hint="eastAsia" w:ascii="宋体" w:hAnsi="宋体" w:cs="宋体"/>
          <w:bCs/>
          <w:color w:val="000000"/>
          <w:kern w:val="0"/>
          <w:sz w:val="28"/>
          <w:szCs w:val="28"/>
        </w:rPr>
      </w:pPr>
      <w:r>
        <w:rPr>
          <w:rFonts w:hint="eastAsia" w:ascii="宋体" w:hAnsi="宋体" w:cs="宋体"/>
          <w:bCs/>
          <w:color w:val="000000"/>
          <w:kern w:val="0"/>
          <w:sz w:val="28"/>
          <w:szCs w:val="28"/>
        </w:rPr>
        <w:t>收入决算情况说明</w:t>
      </w:r>
    </w:p>
    <w:p>
      <w:pPr>
        <w:spacing w:line="520" w:lineRule="exact"/>
        <w:ind w:firstLine="600" w:firstLineChars="200"/>
        <w:rPr>
          <w:rFonts w:hint="eastAsia" w:ascii="宋体" w:hAnsi="宋体"/>
          <w:sz w:val="30"/>
          <w:szCs w:val="30"/>
        </w:rPr>
      </w:pPr>
      <w:r>
        <w:rPr>
          <w:rFonts w:hint="eastAsia" w:ascii="宋体" w:hAnsi="宋体"/>
          <w:sz w:val="30"/>
          <w:szCs w:val="30"/>
        </w:rPr>
        <w:t xml:space="preserve"> 2019年部门收入总额为377万元。全部为专项拨款收入。</w:t>
      </w:r>
    </w:p>
    <w:p>
      <w:pPr>
        <w:widowControl/>
        <w:numPr>
          <w:ilvl w:val="0"/>
          <w:numId w:val="2"/>
        </w:numPr>
        <w:shd w:val="clear" w:color="auto" w:fill="FFFFFF"/>
        <w:spacing w:line="620" w:lineRule="exact"/>
        <w:jc w:val="left"/>
        <w:rPr>
          <w:rFonts w:hint="eastAsia" w:ascii="宋体" w:hAnsi="宋体" w:cs="宋体"/>
          <w:bCs/>
          <w:color w:val="000000"/>
          <w:kern w:val="0"/>
          <w:sz w:val="28"/>
          <w:szCs w:val="28"/>
        </w:rPr>
      </w:pPr>
      <w:r>
        <w:rPr>
          <w:rFonts w:hint="eastAsia" w:ascii="宋体" w:hAnsi="宋体" w:cs="宋体"/>
          <w:bCs/>
          <w:color w:val="000000"/>
          <w:kern w:val="0"/>
          <w:sz w:val="28"/>
          <w:szCs w:val="28"/>
        </w:rPr>
        <w:t>支出决算情况说明</w:t>
      </w:r>
    </w:p>
    <w:p>
      <w:pPr>
        <w:spacing w:line="520" w:lineRule="exact"/>
        <w:ind w:firstLine="600" w:firstLineChars="200"/>
        <w:rPr>
          <w:rFonts w:hint="eastAsia" w:ascii="宋体" w:hAnsi="宋体"/>
          <w:sz w:val="30"/>
          <w:szCs w:val="30"/>
        </w:rPr>
      </w:pPr>
      <w:r>
        <w:rPr>
          <w:rFonts w:hint="eastAsia" w:ascii="宋体" w:hAnsi="宋体"/>
          <w:sz w:val="30"/>
          <w:szCs w:val="30"/>
        </w:rPr>
        <w:t>本年支出总计377万元。全部为专项拨款支出</w:t>
      </w:r>
    </w:p>
    <w:p>
      <w:pPr>
        <w:spacing w:line="520" w:lineRule="exact"/>
        <w:rPr>
          <w:rFonts w:ascii="宋体" w:hAnsi="宋体"/>
          <w:sz w:val="30"/>
          <w:szCs w:val="30"/>
        </w:rPr>
      </w:pPr>
      <w:r>
        <w:rPr>
          <w:rFonts w:hint="eastAsia" w:ascii="宋体" w:hAnsi="宋体" w:cs="宋体"/>
          <w:bCs/>
          <w:color w:val="000000"/>
          <w:kern w:val="0"/>
          <w:sz w:val="28"/>
          <w:szCs w:val="28"/>
        </w:rPr>
        <w:t>四、财政拨款收入支出决算总体情况说明</w:t>
      </w:r>
    </w:p>
    <w:p>
      <w:pPr>
        <w:spacing w:line="520" w:lineRule="exact"/>
        <w:ind w:firstLine="594" w:firstLineChars="198"/>
        <w:rPr>
          <w:rFonts w:asciiTheme="minorEastAsia" w:hAnsiTheme="minorEastAsia" w:eastAsiaTheme="minorEastAsia"/>
          <w:b/>
          <w:sz w:val="30"/>
          <w:szCs w:val="30"/>
        </w:rPr>
      </w:pPr>
      <w:r>
        <w:rPr>
          <w:rFonts w:hint="eastAsia" w:ascii="宋体" w:hAnsi="宋体"/>
          <w:sz w:val="30"/>
          <w:szCs w:val="30"/>
        </w:rPr>
        <w:t>1、本年支出总计377万元，全部为专项收入，均已如数拨付到位，本年无结转结余。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2、财政拨款支出与年初预算数对比情况</w:t>
      </w:r>
    </w:p>
    <w:p>
      <w:pPr>
        <w:spacing w:line="520" w:lineRule="exact"/>
        <w:ind w:firstLine="594" w:firstLineChars="198"/>
        <w:rPr>
          <w:rFonts w:ascii="宋体" w:hAnsi="宋体"/>
          <w:sz w:val="30"/>
          <w:szCs w:val="30"/>
        </w:rPr>
      </w:pPr>
      <w:r>
        <w:rPr>
          <w:rFonts w:hint="eastAsia" w:ascii="宋体" w:hAnsi="宋体"/>
          <w:sz w:val="30"/>
          <w:szCs w:val="30"/>
        </w:rPr>
        <w:t>2</w:t>
      </w:r>
      <w:r>
        <w:rPr>
          <w:rFonts w:ascii="宋体" w:hAnsi="宋体"/>
          <w:sz w:val="30"/>
          <w:szCs w:val="30"/>
        </w:rPr>
        <w:t>019</w:t>
      </w:r>
      <w:r>
        <w:rPr>
          <w:rFonts w:hint="eastAsia" w:ascii="宋体" w:hAnsi="宋体"/>
          <w:sz w:val="30"/>
          <w:szCs w:val="30"/>
        </w:rPr>
        <w:t>年一般公共预算与决算由发改局预决算。</w:t>
      </w:r>
    </w:p>
    <w:p>
      <w:pPr>
        <w:pStyle w:val="10"/>
        <w:numPr>
          <w:ilvl w:val="0"/>
          <w:numId w:val="3"/>
        </w:numPr>
        <w:ind w:firstLineChars="0"/>
        <w:rPr>
          <w:rFonts w:ascii="宋体" w:hAnsi="宋体" w:cs="仿宋_GB2312"/>
          <w:b/>
          <w:sz w:val="28"/>
          <w:szCs w:val="28"/>
        </w:rPr>
      </w:pPr>
      <w:r>
        <w:rPr>
          <w:rFonts w:hint="eastAsia" w:ascii="宋体" w:hAnsi="宋体" w:cs="仿宋_GB2312"/>
          <w:b/>
          <w:sz w:val="28"/>
          <w:szCs w:val="28"/>
        </w:rPr>
        <w:t>一般公共预算财政拨款“三公”经费支出决算情况说明</w:t>
      </w:r>
    </w:p>
    <w:p>
      <w:pPr>
        <w:ind w:firstLine="600" w:firstLineChars="200"/>
        <w:rPr>
          <w:rFonts w:ascii="宋体" w:hAnsi="宋体"/>
          <w:sz w:val="30"/>
          <w:szCs w:val="30"/>
        </w:rPr>
      </w:pPr>
      <w:r>
        <w:rPr>
          <w:rFonts w:hint="eastAsia" w:ascii="宋体" w:hAnsi="宋体"/>
          <w:sz w:val="30"/>
          <w:szCs w:val="30"/>
        </w:rPr>
        <w:t>2019年“三公经费”由发改局核算</w:t>
      </w:r>
    </w:p>
    <w:p>
      <w:pPr>
        <w:pStyle w:val="10"/>
        <w:numPr>
          <w:ilvl w:val="0"/>
          <w:numId w:val="3"/>
        </w:numPr>
        <w:ind w:firstLineChars="0"/>
        <w:jc w:val="left"/>
        <w:rPr>
          <w:rFonts w:ascii="宋体" w:hAnsi="宋体" w:cs="宋体"/>
          <w:b/>
          <w:bCs/>
          <w:color w:val="000000"/>
          <w:kern w:val="0"/>
          <w:sz w:val="28"/>
          <w:szCs w:val="28"/>
        </w:rPr>
      </w:pPr>
      <w:r>
        <w:rPr>
          <w:rFonts w:hint="eastAsia" w:ascii="宋体" w:hAnsi="宋体" w:cs="宋体"/>
          <w:b/>
          <w:bCs/>
          <w:color w:val="000000"/>
          <w:kern w:val="0"/>
          <w:sz w:val="28"/>
          <w:szCs w:val="28"/>
        </w:rPr>
        <w:t>绩效预算信息情况</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ind w:firstLine="450" w:firstLineChars="150"/>
        <w:rPr>
          <w:rFonts w:hint="eastAsia" w:ascii="宋体" w:hAnsi="宋体" w:eastAsia="宋体"/>
          <w:sz w:val="30"/>
          <w:szCs w:val="30"/>
          <w:lang w:val="en-US" w:eastAsia="zh-CN"/>
        </w:rPr>
      </w:pPr>
      <w:r>
        <w:rPr>
          <w:rFonts w:hint="eastAsia" w:ascii="宋体" w:hAnsi="宋体"/>
          <w:sz w:val="30"/>
          <w:szCs w:val="30"/>
        </w:rPr>
        <w:t>根据预算绩效管理要求，本部门组织对2019年度一般公共预算项目支出全面开展绩效自评，其中，一级项目</w:t>
      </w:r>
      <w:r>
        <w:rPr>
          <w:rFonts w:hint="eastAsia" w:ascii="宋体" w:hAnsi="宋体"/>
          <w:sz w:val="30"/>
          <w:szCs w:val="30"/>
          <w:lang w:val="en-US" w:eastAsia="zh-CN"/>
        </w:rPr>
        <w:t>3</w:t>
      </w:r>
      <w:r>
        <w:rPr>
          <w:rFonts w:hint="eastAsia" w:ascii="宋体" w:hAnsi="宋体"/>
          <w:sz w:val="30"/>
          <w:szCs w:val="30"/>
        </w:rPr>
        <w:t>个，共涉及资金</w:t>
      </w:r>
      <w:r>
        <w:rPr>
          <w:rFonts w:hint="eastAsia" w:ascii="宋体" w:hAnsi="宋体"/>
          <w:sz w:val="30"/>
          <w:szCs w:val="30"/>
          <w:lang w:val="en-US" w:eastAsia="zh-CN"/>
        </w:rPr>
        <w:t>377</w:t>
      </w:r>
      <w:r>
        <w:rPr>
          <w:rFonts w:hint="eastAsia" w:ascii="宋体" w:hAnsi="宋体"/>
          <w:sz w:val="30"/>
          <w:szCs w:val="30"/>
        </w:rPr>
        <w:t>万元。组织对2019年度支付破产或改制企业职工安置费政府性基金预算项目支出开展绩效自评，共涉及资金</w:t>
      </w:r>
      <w:r>
        <w:rPr>
          <w:rFonts w:hint="eastAsia" w:ascii="宋体" w:hAnsi="宋体"/>
          <w:sz w:val="30"/>
          <w:szCs w:val="30"/>
          <w:lang w:val="en-US" w:eastAsia="zh-CN"/>
        </w:rPr>
        <w:t>231</w:t>
      </w:r>
      <w:r>
        <w:rPr>
          <w:rFonts w:hint="eastAsia" w:ascii="宋体" w:hAnsi="宋体"/>
          <w:sz w:val="30"/>
          <w:szCs w:val="30"/>
        </w:rPr>
        <w:t>万元，占政府性基金预算项目支出总额的</w:t>
      </w:r>
      <w:r>
        <w:rPr>
          <w:rFonts w:hint="eastAsia" w:ascii="宋体" w:hAnsi="宋体"/>
          <w:sz w:val="30"/>
          <w:szCs w:val="30"/>
          <w:lang w:val="en-US" w:eastAsia="zh-CN"/>
        </w:rPr>
        <w:t>100%</w:t>
      </w:r>
      <w:r>
        <w:rPr>
          <w:rFonts w:hint="eastAsia" w:ascii="宋体" w:hAnsi="宋体"/>
          <w:sz w:val="30"/>
          <w:szCs w:val="30"/>
        </w:rPr>
        <w:t>。组织对“</w:t>
      </w:r>
      <w:r>
        <w:rPr>
          <w:rFonts w:hint="eastAsia" w:ascii="宋体" w:hAnsi="宋体"/>
          <w:sz w:val="30"/>
          <w:szCs w:val="30"/>
          <w:lang w:eastAsia="zh-CN"/>
        </w:rPr>
        <w:t>信访事务</w:t>
      </w:r>
      <w:r>
        <w:rPr>
          <w:rFonts w:hint="eastAsia" w:ascii="宋体" w:hAnsi="宋体"/>
          <w:sz w:val="30"/>
          <w:szCs w:val="30"/>
        </w:rPr>
        <w:t>”“</w:t>
      </w:r>
      <w:r>
        <w:rPr>
          <w:rFonts w:hint="eastAsia" w:ascii="宋体" w:hAnsi="宋体"/>
          <w:sz w:val="30"/>
          <w:szCs w:val="30"/>
          <w:lang w:eastAsia="zh-CN"/>
        </w:rPr>
        <w:t>技术改造</w:t>
      </w:r>
      <w:r>
        <w:rPr>
          <w:rFonts w:hint="eastAsia" w:ascii="宋体" w:hAnsi="宋体"/>
          <w:sz w:val="30"/>
          <w:szCs w:val="30"/>
        </w:rPr>
        <w:t>”等</w:t>
      </w:r>
      <w:r>
        <w:rPr>
          <w:rFonts w:hint="eastAsia" w:ascii="宋体" w:hAnsi="宋体"/>
          <w:sz w:val="30"/>
          <w:szCs w:val="30"/>
          <w:lang w:val="en-US" w:eastAsia="zh-CN"/>
        </w:rPr>
        <w:t>2</w:t>
      </w:r>
      <w:r>
        <w:rPr>
          <w:rFonts w:hint="eastAsia" w:ascii="宋体" w:hAnsi="宋体"/>
          <w:sz w:val="30"/>
          <w:szCs w:val="30"/>
        </w:rPr>
        <w:t>个项目开展了部门评价，涉及一般公共预算支出</w:t>
      </w:r>
      <w:r>
        <w:rPr>
          <w:rFonts w:hint="eastAsia" w:ascii="宋体" w:hAnsi="宋体"/>
          <w:sz w:val="30"/>
          <w:szCs w:val="30"/>
          <w:lang w:val="en-US" w:eastAsia="zh-CN"/>
        </w:rPr>
        <w:t>146</w:t>
      </w:r>
      <w:r>
        <w:rPr>
          <w:rFonts w:hint="eastAsia" w:ascii="宋体" w:hAnsi="宋体"/>
          <w:sz w:val="30"/>
          <w:szCs w:val="30"/>
        </w:rPr>
        <w:t>万元</w:t>
      </w:r>
      <w:r>
        <w:rPr>
          <w:rFonts w:hint="eastAsia" w:ascii="宋体" w:hAnsi="宋体"/>
          <w:sz w:val="30"/>
          <w:szCs w:val="30"/>
          <w:lang w:eastAsia="zh-CN"/>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ind w:firstLine="450" w:firstLineChars="150"/>
        <w:rPr>
          <w:rFonts w:hint="eastAsia" w:ascii="宋体" w:hAnsi="宋体"/>
          <w:sz w:val="30"/>
          <w:szCs w:val="30"/>
        </w:rPr>
      </w:pPr>
      <w:r>
        <w:rPr>
          <w:rFonts w:hint="eastAsia" w:ascii="宋体" w:hAnsi="宋体"/>
          <w:sz w:val="30"/>
          <w:szCs w:val="30"/>
        </w:rPr>
        <w:t xml:space="preserve">本部门在今年部门决算公开中反映 付破产或改制企业职工安置费项目及 </w:t>
      </w:r>
      <w:r>
        <w:rPr>
          <w:rFonts w:hint="eastAsia" w:ascii="宋体" w:hAnsi="宋体"/>
          <w:sz w:val="30"/>
          <w:szCs w:val="30"/>
          <w:lang w:eastAsia="zh-CN"/>
        </w:rPr>
        <w:t>信访支出</w:t>
      </w:r>
      <w:r>
        <w:rPr>
          <w:rFonts w:hint="eastAsia" w:ascii="宋体" w:hAnsi="宋体"/>
          <w:sz w:val="30"/>
          <w:szCs w:val="30"/>
        </w:rPr>
        <w:t>项目等</w:t>
      </w:r>
      <w:r>
        <w:rPr>
          <w:rFonts w:hint="eastAsia" w:ascii="宋体" w:hAnsi="宋体"/>
          <w:sz w:val="30"/>
          <w:szCs w:val="30"/>
          <w:lang w:val="en-US" w:eastAsia="zh-CN"/>
        </w:rPr>
        <w:t>3</w:t>
      </w:r>
      <w:r>
        <w:rPr>
          <w:rFonts w:hint="eastAsia" w:ascii="宋体" w:hAnsi="宋体"/>
          <w:sz w:val="30"/>
          <w:szCs w:val="30"/>
        </w:rPr>
        <w:t>个项目绩效自评结果。</w:t>
      </w:r>
    </w:p>
    <w:p>
      <w:pPr>
        <w:ind w:firstLine="450" w:firstLineChars="150"/>
        <w:rPr>
          <w:rFonts w:hint="eastAsia" w:ascii="宋体" w:hAnsi="宋体"/>
          <w:sz w:val="30"/>
          <w:szCs w:val="30"/>
        </w:rPr>
      </w:pPr>
      <w:r>
        <w:rPr>
          <w:rFonts w:hint="eastAsia" w:ascii="宋体" w:hAnsi="宋体"/>
          <w:sz w:val="30"/>
          <w:szCs w:val="30"/>
          <w:lang w:eastAsia="zh-CN"/>
        </w:rPr>
        <w:t>信访</w:t>
      </w:r>
      <w:r>
        <w:rPr>
          <w:rFonts w:hint="eastAsia" w:ascii="宋体" w:hAnsi="宋体"/>
          <w:sz w:val="30"/>
          <w:szCs w:val="30"/>
        </w:rPr>
        <w:t>项目自评综述：根据</w:t>
      </w:r>
      <w:r>
        <w:rPr>
          <w:rFonts w:hint="eastAsia" w:ascii="宋体" w:hAnsi="宋体"/>
          <w:sz w:val="30"/>
          <w:szCs w:val="30"/>
          <w:lang w:eastAsia="zh-CN"/>
        </w:rPr>
        <w:t>申请时设定</w:t>
      </w:r>
      <w:r>
        <w:rPr>
          <w:rFonts w:hint="eastAsia" w:ascii="宋体" w:hAnsi="宋体"/>
          <w:sz w:val="30"/>
          <w:szCs w:val="30"/>
        </w:rPr>
        <w:t>的绩效目标，</w:t>
      </w:r>
      <w:r>
        <w:rPr>
          <w:rFonts w:hint="eastAsia" w:ascii="宋体" w:hAnsi="宋体"/>
          <w:sz w:val="30"/>
          <w:szCs w:val="30"/>
          <w:lang w:eastAsia="zh-CN"/>
        </w:rPr>
        <w:t>信访事务</w:t>
      </w:r>
      <w:r>
        <w:rPr>
          <w:rFonts w:hint="eastAsia" w:ascii="宋体" w:hAnsi="宋体"/>
          <w:sz w:val="30"/>
          <w:szCs w:val="30"/>
        </w:rPr>
        <w:t>项目绩效自评得分为</w:t>
      </w:r>
      <w:r>
        <w:rPr>
          <w:rFonts w:hint="eastAsia" w:ascii="宋体" w:hAnsi="宋体"/>
          <w:sz w:val="30"/>
          <w:szCs w:val="30"/>
          <w:lang w:val="en-US" w:eastAsia="zh-CN"/>
        </w:rPr>
        <w:t>100</w:t>
      </w:r>
      <w:r>
        <w:rPr>
          <w:rFonts w:hint="eastAsia" w:ascii="宋体" w:hAnsi="宋体"/>
          <w:sz w:val="30"/>
          <w:szCs w:val="30"/>
        </w:rPr>
        <w:t>分。全年预算数为</w:t>
      </w:r>
      <w:r>
        <w:rPr>
          <w:rFonts w:hint="eastAsia" w:ascii="宋体" w:hAnsi="宋体"/>
          <w:sz w:val="30"/>
          <w:szCs w:val="30"/>
          <w:lang w:val="en-US" w:eastAsia="zh-CN"/>
        </w:rPr>
        <w:t>6</w:t>
      </w:r>
      <w:r>
        <w:rPr>
          <w:rFonts w:hint="eastAsia" w:ascii="宋体" w:hAnsi="宋体"/>
          <w:sz w:val="30"/>
          <w:szCs w:val="30"/>
        </w:rPr>
        <w:t>万元，执行数为</w:t>
      </w:r>
      <w:r>
        <w:rPr>
          <w:rFonts w:hint="eastAsia" w:ascii="宋体" w:hAnsi="宋体"/>
          <w:sz w:val="30"/>
          <w:szCs w:val="30"/>
          <w:lang w:val="en-US" w:eastAsia="zh-CN"/>
        </w:rPr>
        <w:t>6</w:t>
      </w:r>
      <w:r>
        <w:rPr>
          <w:rFonts w:hint="eastAsia" w:ascii="宋体" w:hAnsi="宋体"/>
          <w:sz w:val="30"/>
          <w:szCs w:val="30"/>
        </w:rPr>
        <w:t>万元，完成预算的</w:t>
      </w:r>
      <w:r>
        <w:rPr>
          <w:rFonts w:hint="eastAsia" w:ascii="宋体" w:hAnsi="宋体"/>
          <w:sz w:val="30"/>
          <w:szCs w:val="30"/>
          <w:lang w:val="en-US" w:eastAsia="zh-CN"/>
        </w:rPr>
        <w:t>100%</w:t>
      </w:r>
      <w:r>
        <w:rPr>
          <w:rFonts w:hint="eastAsia" w:ascii="宋体" w:hAnsi="宋体"/>
          <w:sz w:val="30"/>
          <w:szCs w:val="30"/>
        </w:rPr>
        <w:t>。项目绩效目标完成情况：一是</w:t>
      </w:r>
      <w:r>
        <w:rPr>
          <w:rFonts w:hint="eastAsia" w:ascii="宋体" w:hAnsi="宋体"/>
          <w:sz w:val="30"/>
          <w:szCs w:val="30"/>
          <w:lang w:eastAsia="zh-CN"/>
        </w:rPr>
        <w:t>解决了困难职工的生活补助支出问题</w:t>
      </w:r>
      <w:r>
        <w:rPr>
          <w:rFonts w:hint="eastAsia" w:ascii="宋体" w:hAnsi="宋体"/>
          <w:sz w:val="30"/>
          <w:szCs w:val="30"/>
        </w:rPr>
        <w:t>；二是</w:t>
      </w:r>
      <w:r>
        <w:rPr>
          <w:rFonts w:hint="eastAsia" w:ascii="宋体" w:hAnsi="宋体"/>
          <w:sz w:val="30"/>
          <w:szCs w:val="30"/>
          <w:lang w:eastAsia="zh-CN"/>
        </w:rPr>
        <w:t>有效制止了进京访事件</w:t>
      </w:r>
      <w:r>
        <w:rPr>
          <w:rFonts w:hint="eastAsia" w:ascii="宋体" w:hAnsi="宋体"/>
          <w:sz w:val="30"/>
          <w:szCs w:val="30"/>
        </w:rPr>
        <w:t>。</w:t>
      </w:r>
    </w:p>
    <w:p>
      <w:pPr>
        <w:ind w:firstLine="450" w:firstLineChars="150"/>
        <w:rPr>
          <w:rFonts w:hint="eastAsia" w:ascii="宋体" w:hAnsi="宋体"/>
          <w:sz w:val="30"/>
          <w:szCs w:val="30"/>
        </w:rPr>
      </w:pPr>
      <w:r>
        <w:rPr>
          <w:rFonts w:hint="eastAsia" w:ascii="宋体" w:hAnsi="宋体"/>
          <w:sz w:val="30"/>
          <w:szCs w:val="30"/>
          <w:lang w:eastAsia="zh-CN"/>
        </w:rPr>
        <w:t>支付破产企业改制</w:t>
      </w:r>
      <w:r>
        <w:rPr>
          <w:rFonts w:hint="eastAsia" w:ascii="宋体" w:hAnsi="宋体"/>
          <w:sz w:val="30"/>
          <w:szCs w:val="30"/>
        </w:rPr>
        <w:t>项目绩效自评综述：</w:t>
      </w:r>
      <w:r>
        <w:rPr>
          <w:rFonts w:hint="eastAsia" w:ascii="宋体" w:hAnsi="宋体"/>
          <w:sz w:val="30"/>
          <w:szCs w:val="30"/>
          <w:lang w:eastAsia="zh-CN"/>
        </w:rPr>
        <w:t>解决职工安置问题，使企业顺利改制</w:t>
      </w:r>
      <w:r>
        <w:rPr>
          <w:rFonts w:hint="eastAsia" w:ascii="宋体" w:hAnsi="宋体"/>
          <w:sz w:val="30"/>
          <w:szCs w:val="30"/>
        </w:rPr>
        <w:t>。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numPr>
          <w:ilvl w:val="0"/>
          <w:numId w:val="4"/>
        </w:numPr>
        <w:ind w:firstLine="482" w:firstLineChars="15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p>
    <w:p>
      <w:pPr>
        <w:numPr>
          <w:ilvl w:val="0"/>
          <w:numId w:val="0"/>
        </w:numP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无财政评价项目。</w:t>
      </w:r>
    </w:p>
    <w:p>
      <w:pPr>
        <w:jc w:val="left"/>
        <w:rPr>
          <w:rFonts w:ascii="宋体" w:hAnsi="宋体" w:cs="宋体"/>
          <w:b/>
          <w:bCs/>
          <w:color w:val="000000"/>
          <w:kern w:val="0"/>
          <w:sz w:val="28"/>
          <w:szCs w:val="28"/>
        </w:rPr>
      </w:pPr>
      <w:r>
        <w:rPr>
          <w:rFonts w:hint="eastAsia" w:ascii="宋体" w:hAnsi="宋体" w:cs="宋体"/>
          <w:b/>
          <w:bCs/>
          <w:color w:val="000000"/>
          <w:kern w:val="0"/>
          <w:sz w:val="28"/>
          <w:szCs w:val="28"/>
        </w:rPr>
        <w:t>七、其他重要事项的说明</w:t>
      </w:r>
    </w:p>
    <w:p>
      <w:pPr>
        <w:rPr>
          <w:rFonts w:hint="eastAsia" w:ascii="宋体" w:hAnsi="宋体"/>
          <w:sz w:val="30"/>
          <w:szCs w:val="30"/>
        </w:rPr>
      </w:pPr>
      <w:r>
        <w:rPr>
          <w:rFonts w:hint="eastAsia" w:ascii="宋体" w:hAnsi="宋体"/>
          <w:sz w:val="30"/>
          <w:szCs w:val="30"/>
        </w:rPr>
        <w:t>我单位2019年末与发改局分开，预决算由发改统一安排。</w:t>
      </w:r>
    </w:p>
    <w:p>
      <w:pPr>
        <w:rPr>
          <w:rFonts w:ascii="黑体" w:hAnsi="黑体" w:eastAsia="黑体" w:cs="黑体"/>
          <w:sz w:val="28"/>
          <w:szCs w:val="28"/>
        </w:rPr>
      </w:pPr>
      <w:r>
        <w:rPr>
          <w:rFonts w:hint="eastAsia" w:ascii="黑体" w:hAnsi="黑体" w:eastAsia="黑体" w:cs="黑体"/>
          <w:sz w:val="28"/>
          <w:szCs w:val="28"/>
          <w:lang w:eastAsia="zh-CN"/>
        </w:rPr>
        <w:t>八</w:t>
      </w:r>
      <w:r>
        <w:rPr>
          <w:rFonts w:hint="eastAsia" w:ascii="黑体" w:hAnsi="黑体" w:eastAsia="黑体" w:cs="黑体"/>
          <w:sz w:val="28"/>
          <w:szCs w:val="28"/>
        </w:rPr>
        <w:t>、其他需要说明的事项</w:t>
      </w:r>
    </w:p>
    <w:p>
      <w:pPr>
        <w:rPr>
          <w:rFonts w:ascii="宋体" w:hAnsi="宋体"/>
          <w:sz w:val="30"/>
          <w:szCs w:val="30"/>
        </w:rPr>
      </w:pPr>
      <w:r>
        <w:rPr>
          <w:rFonts w:hint="eastAsia" w:ascii="宋体" w:hAnsi="宋体"/>
          <w:sz w:val="30"/>
          <w:szCs w:val="30"/>
        </w:rPr>
        <w:t>我单位无政府性基金预算及国有资本经营预算，空表列示。</w:t>
      </w:r>
    </w:p>
    <w:p>
      <w:pPr>
        <w:rPr>
          <w:rFonts w:hint="eastAsia" w:ascii="宋体" w:hAnsi="宋体"/>
          <w:sz w:val="30"/>
          <w:szCs w:val="30"/>
        </w:rPr>
      </w:pPr>
    </w:p>
    <w:p>
      <w:pPr>
        <w:spacing w:line="600" w:lineRule="exact"/>
        <w:jc w:val="center"/>
        <w:outlineLvl w:val="0"/>
        <w:rPr>
          <w:rFonts w:hint="eastAsia" w:eastAsia="黑体"/>
          <w:sz w:val="52"/>
          <w:szCs w:val="52"/>
        </w:rPr>
      </w:pPr>
    </w:p>
    <w:p>
      <w:pPr>
        <w:spacing w:line="600" w:lineRule="exact"/>
        <w:jc w:val="center"/>
        <w:outlineLvl w:val="0"/>
        <w:rPr>
          <w:rFonts w:hint="eastAsia" w:eastAsia="黑体"/>
          <w:sz w:val="52"/>
          <w:szCs w:val="52"/>
        </w:rPr>
      </w:pPr>
    </w:p>
    <w:p>
      <w:pPr>
        <w:spacing w:line="600" w:lineRule="exact"/>
        <w:jc w:val="center"/>
        <w:outlineLvl w:val="0"/>
        <w:rPr>
          <w:rFonts w:hint="eastAsia" w:eastAsia="黑体"/>
          <w:sz w:val="52"/>
          <w:szCs w:val="52"/>
        </w:rPr>
      </w:pPr>
    </w:p>
    <w:p>
      <w:pPr>
        <w:spacing w:line="600" w:lineRule="exact"/>
        <w:jc w:val="center"/>
        <w:outlineLvl w:val="0"/>
        <w:rPr>
          <w:rFonts w:ascii="黑体" w:hAnsi="仿宋" w:eastAsia="黑体" w:cs="仿宋"/>
          <w:sz w:val="52"/>
          <w:szCs w:val="52"/>
        </w:rPr>
      </w:pPr>
      <w:bookmarkStart w:id="0" w:name="_GoBack"/>
      <w:bookmarkEnd w:id="0"/>
      <w:r>
        <w:rPr>
          <w:rFonts w:hint="eastAsia" w:eastAsia="黑体"/>
          <w:sz w:val="52"/>
          <w:szCs w:val="52"/>
        </w:rPr>
        <w:t>第三部分</w:t>
      </w:r>
      <w:r>
        <w:rPr>
          <w:rFonts w:eastAsia="黑体"/>
          <w:sz w:val="52"/>
          <w:szCs w:val="52"/>
        </w:rPr>
        <w:t xml:space="preserve">  </w:t>
      </w:r>
      <w:r>
        <w:rPr>
          <w:rFonts w:hint="eastAsia" w:eastAsia="黑体"/>
          <w:sz w:val="52"/>
          <w:szCs w:val="52"/>
        </w:rPr>
        <w:t>名词解释</w:t>
      </w:r>
    </w:p>
    <w:p>
      <w:pPr>
        <w:spacing w:line="600" w:lineRule="exact"/>
        <w:jc w:val="left"/>
        <w:outlineLvl w:val="0"/>
        <w:rPr>
          <w:rFonts w:ascii="宋体" w:hAnsi="宋体"/>
          <w:sz w:val="30"/>
          <w:szCs w:val="30"/>
        </w:rPr>
      </w:pPr>
      <w:r>
        <w:rPr>
          <w:rFonts w:hint="eastAsia" w:ascii="宋体" w:hAnsi="宋体"/>
          <w:sz w:val="30"/>
          <w:szCs w:val="30"/>
        </w:rPr>
        <w:t xml:space="preserve">1、一般公共预算拨款收入：指财政当年拨付的资金。 </w:t>
      </w:r>
    </w:p>
    <w:p>
      <w:pPr>
        <w:spacing w:line="600" w:lineRule="exact"/>
        <w:jc w:val="left"/>
        <w:outlineLvl w:val="0"/>
        <w:rPr>
          <w:rFonts w:ascii="宋体" w:hAnsi="宋体"/>
          <w:sz w:val="30"/>
          <w:szCs w:val="30"/>
        </w:rPr>
      </w:pPr>
      <w:r>
        <w:rPr>
          <w:rFonts w:hint="eastAsia" w:ascii="宋体" w:hAnsi="宋体"/>
          <w:sz w:val="30"/>
          <w:szCs w:val="30"/>
        </w:rPr>
        <w:t>2、事业收入：指事业单位开展专业业务活动及辅助活动所取得的收入。</w:t>
      </w:r>
    </w:p>
    <w:p>
      <w:pPr>
        <w:spacing w:line="600" w:lineRule="exact"/>
        <w:jc w:val="left"/>
        <w:outlineLvl w:val="0"/>
        <w:rPr>
          <w:rFonts w:ascii="宋体" w:hAnsi="宋体"/>
          <w:sz w:val="30"/>
          <w:szCs w:val="30"/>
        </w:rPr>
      </w:pPr>
      <w:r>
        <w:rPr>
          <w:rFonts w:hint="eastAsia" w:ascii="宋体" w:hAnsi="宋体"/>
          <w:sz w:val="30"/>
          <w:szCs w:val="30"/>
        </w:rPr>
        <w:t>3、其他收入：指上述“财政拨款收入”、“事业收入”等以外的收入。</w:t>
      </w:r>
    </w:p>
    <w:p>
      <w:pPr>
        <w:spacing w:line="600" w:lineRule="exact"/>
        <w:jc w:val="left"/>
        <w:outlineLvl w:val="0"/>
        <w:rPr>
          <w:rFonts w:ascii="宋体" w:hAnsi="宋体"/>
          <w:sz w:val="30"/>
          <w:szCs w:val="30"/>
        </w:rPr>
      </w:pPr>
      <w:r>
        <w:rPr>
          <w:rFonts w:hint="eastAsia" w:ascii="宋体" w:hAnsi="宋体"/>
          <w:sz w:val="30"/>
          <w:szCs w:val="30"/>
        </w:rPr>
        <w:t>4、基本支出：指为保障机构正常运转、完成日常工作任务而发生的人员支出和公用支出。</w:t>
      </w:r>
    </w:p>
    <w:p>
      <w:pPr>
        <w:spacing w:line="600" w:lineRule="exact"/>
        <w:jc w:val="left"/>
        <w:outlineLvl w:val="0"/>
        <w:rPr>
          <w:rFonts w:ascii="宋体" w:hAnsi="宋体"/>
          <w:sz w:val="30"/>
          <w:szCs w:val="30"/>
        </w:rPr>
      </w:pPr>
      <w:r>
        <w:rPr>
          <w:rFonts w:hint="eastAsia" w:ascii="宋体" w:hAnsi="宋体"/>
          <w:sz w:val="30"/>
          <w:szCs w:val="30"/>
        </w:rPr>
        <w:t>5、项目支出；指在基本支出之外为完成特定行政任务和事业发展目标所发生的支出。</w:t>
      </w:r>
    </w:p>
    <w:p>
      <w:pPr>
        <w:spacing w:line="600" w:lineRule="exact"/>
        <w:jc w:val="left"/>
        <w:outlineLvl w:val="0"/>
        <w:rPr>
          <w:rFonts w:ascii="宋体" w:hAnsi="宋体"/>
          <w:sz w:val="30"/>
          <w:szCs w:val="30"/>
        </w:rPr>
      </w:pPr>
      <w:r>
        <w:rPr>
          <w:rFonts w:hint="eastAsia" w:ascii="宋体" w:hAnsi="宋体"/>
          <w:sz w:val="30"/>
          <w:szCs w:val="30"/>
        </w:rPr>
        <w:t>6、上缴上级支出：指所属单位上缴上级的支出。</w:t>
      </w:r>
    </w:p>
    <w:p>
      <w:pPr>
        <w:spacing w:line="600" w:lineRule="exact"/>
        <w:jc w:val="left"/>
        <w:outlineLvl w:val="0"/>
        <w:rPr>
          <w:rFonts w:ascii="宋体" w:hAnsi="宋体"/>
          <w:sz w:val="30"/>
          <w:szCs w:val="30"/>
        </w:rPr>
      </w:pPr>
      <w:r>
        <w:rPr>
          <w:rFonts w:hint="eastAsia" w:ascii="宋体" w:hAnsi="宋体"/>
          <w:sz w:val="30"/>
          <w:szCs w:val="30"/>
        </w:rPr>
        <w:t>7、“三公”经费：包括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jc w:val="left"/>
        <w:outlineLvl w:val="0"/>
        <w:rPr>
          <w:rFonts w:hint="eastAsia" w:ascii="宋体" w:hAnsi="宋体"/>
          <w:sz w:val="30"/>
          <w:szCs w:val="30"/>
        </w:rPr>
      </w:pPr>
      <w:r>
        <w:rPr>
          <w:rFonts w:hint="eastAsia" w:ascii="宋体" w:hAnsi="宋体"/>
          <w:sz w:val="30"/>
          <w:szCs w:val="30"/>
        </w:rPr>
        <w:t>8、机关运行费：为保障单位正常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left"/>
        <w:outlineLvl w:val="0"/>
        <w:rPr>
          <w:rFonts w:hint="eastAsia" w:ascii="宋体" w:hAnsi="宋体"/>
          <w:sz w:val="30"/>
          <w:szCs w:val="30"/>
        </w:rPr>
      </w:pPr>
    </w:p>
    <w:p>
      <w:pPr>
        <w:spacing w:line="600" w:lineRule="exact"/>
        <w:jc w:val="left"/>
        <w:outlineLvl w:val="0"/>
        <w:rPr>
          <w:rFonts w:hint="eastAsia" w:ascii="宋体" w:hAnsi="宋体"/>
          <w:sz w:val="30"/>
          <w:szCs w:val="30"/>
        </w:rPr>
      </w:pPr>
    </w:p>
    <w:p>
      <w:pPr>
        <w:spacing w:line="600" w:lineRule="exact"/>
        <w:jc w:val="left"/>
        <w:outlineLvl w:val="0"/>
        <w:rPr>
          <w:rFonts w:hint="eastAsia" w:ascii="宋体" w:hAnsi="宋体"/>
          <w:sz w:val="30"/>
          <w:szCs w:val="30"/>
        </w:rPr>
      </w:pPr>
    </w:p>
    <w:p>
      <w:pPr>
        <w:widowControl/>
        <w:jc w:val="center"/>
        <w:rPr>
          <w:rFonts w:hint="eastAsia" w:ascii="黑体" w:hAnsi="黑体" w:eastAsia="黑体" w:cs="黑体"/>
          <w:color w:val="000000"/>
          <w:sz w:val="52"/>
          <w:szCs w:val="52"/>
        </w:rPr>
      </w:pPr>
    </w:p>
    <w:p>
      <w:pPr>
        <w:widowControl/>
        <w:jc w:val="center"/>
        <w:rPr>
          <w:rFonts w:ascii="黑体" w:hAnsi="黑体" w:eastAsia="黑体" w:cs="黑体"/>
          <w:color w:val="000000"/>
          <w:sz w:val="52"/>
          <w:szCs w:val="52"/>
        </w:rPr>
      </w:pPr>
      <w:r>
        <w:rPr>
          <w:rFonts w:hint="eastAsia" w:ascii="黑体" w:hAnsi="黑体" w:eastAsia="黑体" w:cs="黑体"/>
          <w:color w:val="000000"/>
          <w:sz w:val="52"/>
          <w:szCs w:val="52"/>
        </w:rPr>
        <w:t>第四部分</w:t>
      </w:r>
      <w:r>
        <w:rPr>
          <w:rFonts w:ascii="黑体" w:hAnsi="黑体" w:eastAsia="黑体" w:cs="黑体"/>
          <w:color w:val="000000"/>
          <w:sz w:val="52"/>
          <w:szCs w:val="52"/>
        </w:rPr>
        <w:t xml:space="preserve"> </w:t>
      </w:r>
    </w:p>
    <w:p>
      <w:pPr>
        <w:widowControl/>
        <w:jc w:val="center"/>
        <w:rPr>
          <w:rFonts w:ascii="宋体" w:hAnsi="宋体"/>
          <w:sz w:val="30"/>
          <w:szCs w:val="30"/>
        </w:rPr>
      </w:pPr>
      <w:r>
        <w:rPr>
          <w:rFonts w:ascii="黑体" w:hAnsi="黑体" w:eastAsia="黑体" w:cs="黑体"/>
          <w:color w:val="000000"/>
          <w:sz w:val="52"/>
          <w:szCs w:val="52"/>
        </w:rPr>
        <w:t>2019</w:t>
      </w:r>
      <w:r>
        <w:rPr>
          <w:rFonts w:hint="eastAsia" w:ascii="黑体" w:hAnsi="黑体" w:eastAsia="黑体" w:cs="黑体"/>
          <w:color w:val="000000"/>
          <w:sz w:val="52"/>
          <w:szCs w:val="52"/>
        </w:rPr>
        <w:t>年度部门决算报表</w:t>
      </w:r>
    </w:p>
    <w:p>
      <w:pPr>
        <w:snapToGrid w:val="0"/>
        <w:spacing w:line="520" w:lineRule="exact"/>
        <w:ind w:firstLine="600" w:firstLineChars="200"/>
        <w:rPr>
          <w:rFonts w:ascii="宋体" w:hAnsi="宋体"/>
          <w:sz w:val="30"/>
          <w:szCs w:val="30"/>
        </w:rPr>
      </w:pPr>
    </w:p>
    <w:tbl>
      <w:tblPr>
        <w:tblStyle w:val="5"/>
        <w:tblW w:w="9668" w:type="dxa"/>
        <w:tblInd w:w="0" w:type="dxa"/>
        <w:shd w:val="clear" w:color="auto" w:fill="auto"/>
        <w:tblLayout w:type="fixed"/>
        <w:tblCellMar>
          <w:top w:w="0" w:type="dxa"/>
          <w:left w:w="0" w:type="dxa"/>
          <w:bottom w:w="0" w:type="dxa"/>
          <w:right w:w="0" w:type="dxa"/>
        </w:tblCellMar>
      </w:tblPr>
      <w:tblGrid>
        <w:gridCol w:w="261"/>
        <w:gridCol w:w="262"/>
        <w:gridCol w:w="266"/>
        <w:gridCol w:w="1837"/>
        <w:gridCol w:w="712"/>
        <w:gridCol w:w="935"/>
        <w:gridCol w:w="1947"/>
        <w:gridCol w:w="741"/>
        <w:gridCol w:w="398"/>
        <w:gridCol w:w="352"/>
        <w:gridCol w:w="275"/>
        <w:gridCol w:w="206"/>
        <w:gridCol w:w="70"/>
        <w:gridCol w:w="460"/>
        <w:gridCol w:w="403"/>
        <w:gridCol w:w="81"/>
        <w:gridCol w:w="462"/>
      </w:tblGrid>
      <w:tr>
        <w:tblPrEx>
          <w:tblCellMar>
            <w:top w:w="0" w:type="dxa"/>
            <w:left w:w="0" w:type="dxa"/>
            <w:bottom w:w="0" w:type="dxa"/>
            <w:right w:w="0" w:type="dxa"/>
          </w:tblCellMar>
        </w:tblPrEx>
        <w:trPr>
          <w:gridAfter w:val="2"/>
          <w:wAfter w:w="543" w:type="dxa"/>
          <w:trHeight w:val="390" w:hRule="atLeast"/>
        </w:trPr>
        <w:tc>
          <w:tcPr>
            <w:tcW w:w="9125" w:type="dxa"/>
            <w:gridSpan w:val="1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gridAfter w:val="2"/>
          <w:wAfter w:w="543" w:type="dxa"/>
          <w:trHeight w:val="255" w:hRule="atLeast"/>
        </w:trPr>
        <w:tc>
          <w:tcPr>
            <w:tcW w:w="2626" w:type="dxa"/>
            <w:gridSpan w:val="4"/>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71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86"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33"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3"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shd w:val="clear" w:color="auto" w:fill="auto"/>
          <w:tblCellMar>
            <w:top w:w="0" w:type="dxa"/>
            <w:left w:w="0" w:type="dxa"/>
            <w:bottom w:w="0" w:type="dxa"/>
            <w:right w:w="0" w:type="dxa"/>
          </w:tblCellMar>
        </w:tblPrEx>
        <w:trPr>
          <w:gridAfter w:val="2"/>
          <w:wAfter w:w="543" w:type="dxa"/>
          <w:trHeight w:val="255" w:hRule="atLeast"/>
        </w:trPr>
        <w:tc>
          <w:tcPr>
            <w:tcW w:w="2626"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部门：保定市满城区工业和信息化局</w:t>
            </w:r>
          </w:p>
        </w:tc>
        <w:tc>
          <w:tcPr>
            <w:tcW w:w="71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86"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33" w:type="dxa"/>
            <w:gridSpan w:val="3"/>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33"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gridAfter w:val="2"/>
          <w:wAfter w:w="543" w:type="dxa"/>
          <w:trHeight w:val="308" w:hRule="atLeast"/>
        </w:trPr>
        <w:tc>
          <w:tcPr>
            <w:tcW w:w="4273" w:type="dxa"/>
            <w:gridSpan w:val="6"/>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852" w:type="dxa"/>
            <w:gridSpan w:val="9"/>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146.00</w:t>
            </w: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r>
      <w:tr>
        <w:tblPrEx>
          <w:shd w:val="clear" w:color="auto" w:fill="auto"/>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r>
      <w:tr>
        <w:tblPrEx>
          <w:shd w:val="clear" w:color="auto" w:fill="auto"/>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r>
      <w:tr>
        <w:tblPrEx>
          <w:shd w:val="clear" w:color="auto" w:fill="auto"/>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377.00</w:t>
            </w: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377.00</w:t>
            </w: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543" w:type="dxa"/>
          <w:trHeight w:val="308" w:hRule="atLeast"/>
        </w:trPr>
        <w:tc>
          <w:tcPr>
            <w:tcW w:w="2626"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71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377.00</w:t>
            </w:r>
          </w:p>
        </w:tc>
        <w:tc>
          <w:tcPr>
            <w:tcW w:w="3086"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833" w:type="dxa"/>
            <w:gridSpan w:val="3"/>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93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377.00</w:t>
            </w:r>
          </w:p>
        </w:tc>
      </w:tr>
      <w:tr>
        <w:tblPrEx>
          <w:shd w:val="clear" w:color="auto" w:fill="auto"/>
          <w:tblCellMar>
            <w:top w:w="0" w:type="dxa"/>
            <w:left w:w="0" w:type="dxa"/>
            <w:bottom w:w="0" w:type="dxa"/>
            <w:right w:w="0" w:type="dxa"/>
          </w:tblCellMar>
        </w:tblPrEx>
        <w:trPr>
          <w:gridAfter w:val="2"/>
          <w:wAfter w:w="543" w:type="dxa"/>
          <w:trHeight w:val="308" w:hRule="atLeast"/>
        </w:trPr>
        <w:tc>
          <w:tcPr>
            <w:tcW w:w="9125" w:type="dxa"/>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tc>
      </w:tr>
      <w:tr>
        <w:tblPrEx>
          <w:shd w:val="clear" w:color="auto" w:fill="auto"/>
          <w:tblCellMar>
            <w:top w:w="0" w:type="dxa"/>
            <w:left w:w="0" w:type="dxa"/>
            <w:bottom w:w="0" w:type="dxa"/>
            <w:right w:w="0" w:type="dxa"/>
          </w:tblCellMar>
        </w:tblPrEx>
        <w:trPr>
          <w:trHeight w:val="390" w:hRule="atLeast"/>
        </w:trPr>
        <w:tc>
          <w:tcPr>
            <w:tcW w:w="9668" w:type="dxa"/>
            <w:gridSpan w:val="1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261"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6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431" w:type="dxa"/>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4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06"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shd w:val="clear" w:color="auto" w:fill="auto"/>
          <w:tblCellMar>
            <w:top w:w="0" w:type="dxa"/>
            <w:left w:w="0" w:type="dxa"/>
            <w:bottom w:w="0" w:type="dxa"/>
            <w:right w:w="0" w:type="dxa"/>
          </w:tblCellMar>
        </w:tblPrEx>
        <w:trPr>
          <w:trHeight w:val="380" w:hRule="atLeast"/>
        </w:trPr>
        <w:tc>
          <w:tcPr>
            <w:tcW w:w="62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部门：保定市满城区工业和信息化局</w:t>
            </w:r>
          </w:p>
        </w:tc>
        <w:tc>
          <w:tcPr>
            <w:tcW w:w="74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5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76"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406"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80" w:hRule="atLeast"/>
        </w:trPr>
        <w:tc>
          <w:tcPr>
            <w:tcW w:w="6220" w:type="dxa"/>
            <w:gridSpan w:val="7"/>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4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750"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27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276"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46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484" w:type="dxa"/>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46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shd w:val="clear" w:color="auto" w:fill="auto"/>
          <w:tblCellMar>
            <w:top w:w="0" w:type="dxa"/>
            <w:left w:w="0" w:type="dxa"/>
            <w:bottom w:w="0" w:type="dxa"/>
            <w:right w:w="0" w:type="dxa"/>
          </w:tblCellMar>
        </w:tblPrEx>
        <w:trPr>
          <w:trHeight w:val="380" w:hRule="atLeast"/>
        </w:trPr>
        <w:tc>
          <w:tcPr>
            <w:tcW w:w="789"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431" w:type="dxa"/>
            <w:gridSpan w:val="4"/>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4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6"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4"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789"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31" w:type="dxa"/>
            <w:gridSpan w:val="4"/>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6"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4"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00" w:hRule="atLeast"/>
        </w:trPr>
        <w:tc>
          <w:tcPr>
            <w:tcW w:w="789"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31" w:type="dxa"/>
            <w:gridSpan w:val="4"/>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6"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4" w:type="dxa"/>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6220" w:type="dxa"/>
            <w:gridSpan w:val="7"/>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41"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50"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76"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6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4" w:type="dxa"/>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6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80" w:hRule="atLeast"/>
        </w:trPr>
        <w:tc>
          <w:tcPr>
            <w:tcW w:w="6220" w:type="dxa"/>
            <w:gridSpan w:val="7"/>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377.00</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377.00</w:t>
            </w:r>
          </w:p>
        </w:tc>
        <w:tc>
          <w:tcPr>
            <w:tcW w:w="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80" w:hRule="atLeast"/>
        </w:trPr>
        <w:tc>
          <w:tcPr>
            <w:tcW w:w="7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543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7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543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7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2010308</w:t>
            </w:r>
          </w:p>
        </w:tc>
        <w:tc>
          <w:tcPr>
            <w:tcW w:w="543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信访事务</w:t>
            </w: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7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543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7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543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0" w:hRule="atLeast"/>
        </w:trPr>
        <w:tc>
          <w:tcPr>
            <w:tcW w:w="7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2120809</w:t>
            </w:r>
          </w:p>
        </w:tc>
        <w:tc>
          <w:tcPr>
            <w:tcW w:w="543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支付破产或改制企业职工安置费</w:t>
            </w: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7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543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7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21599</w:t>
            </w:r>
          </w:p>
        </w:tc>
        <w:tc>
          <w:tcPr>
            <w:tcW w:w="543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其他资源勘探信息等支出</w:t>
            </w: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7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2159904</w:t>
            </w:r>
          </w:p>
        </w:tc>
        <w:tc>
          <w:tcPr>
            <w:tcW w:w="543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技术改造支出</w:t>
            </w: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7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3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7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3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789"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3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trPr>
        <w:tc>
          <w:tcPr>
            <w:tcW w:w="9668"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tbl>
      <w:tblPr>
        <w:tblStyle w:val="5"/>
        <w:tblW w:w="9668" w:type="dxa"/>
        <w:tblInd w:w="0" w:type="dxa"/>
        <w:shd w:val="clear" w:color="auto" w:fill="auto"/>
        <w:tblLayout w:type="fixed"/>
        <w:tblCellMar>
          <w:top w:w="0" w:type="dxa"/>
          <w:left w:w="0" w:type="dxa"/>
          <w:bottom w:w="0" w:type="dxa"/>
          <w:right w:w="0" w:type="dxa"/>
        </w:tblCellMar>
      </w:tblPr>
      <w:tblGrid>
        <w:gridCol w:w="2275"/>
        <w:gridCol w:w="240"/>
        <w:gridCol w:w="240"/>
        <w:gridCol w:w="3037"/>
        <w:gridCol w:w="900"/>
        <w:gridCol w:w="817"/>
        <w:gridCol w:w="566"/>
        <w:gridCol w:w="404"/>
        <w:gridCol w:w="677"/>
        <w:gridCol w:w="512"/>
      </w:tblGrid>
      <w:tr>
        <w:tblPrEx>
          <w:tblCellMar>
            <w:top w:w="0" w:type="dxa"/>
            <w:left w:w="0" w:type="dxa"/>
            <w:bottom w:w="0" w:type="dxa"/>
            <w:right w:w="0" w:type="dxa"/>
          </w:tblCellMar>
        </w:tblPrEx>
        <w:trPr>
          <w:trHeight w:val="390" w:hRule="atLeast"/>
        </w:trPr>
        <w:tc>
          <w:tcPr>
            <w:tcW w:w="9668"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2275"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3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1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89"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2275"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部门：保定市满城区工业和信息化局</w:t>
            </w: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03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0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1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6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189"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79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81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56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4"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677"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512"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2755"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037"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755"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755"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4"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7"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2"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79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0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66"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0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77"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12"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579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377.00</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377.00</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275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75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3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75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2010308</w:t>
            </w:r>
          </w:p>
        </w:tc>
        <w:tc>
          <w:tcPr>
            <w:tcW w:w="3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信访事务</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5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3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5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3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75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2120809</w:t>
            </w:r>
          </w:p>
        </w:tc>
        <w:tc>
          <w:tcPr>
            <w:tcW w:w="3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支付破产或改制企业职工安置费</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75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5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21599</w:t>
            </w:r>
          </w:p>
        </w:tc>
        <w:tc>
          <w:tcPr>
            <w:tcW w:w="3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其他资源勘探信息等支出</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5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2159904</w:t>
            </w:r>
          </w:p>
        </w:tc>
        <w:tc>
          <w:tcPr>
            <w:tcW w:w="3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技术改造支出</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5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5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75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966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tbl>
      <w:tblPr>
        <w:tblStyle w:val="5"/>
        <w:tblW w:w="9840" w:type="dxa"/>
        <w:tblInd w:w="0" w:type="dxa"/>
        <w:shd w:val="clear" w:color="auto" w:fill="auto"/>
        <w:tblLayout w:type="autofit"/>
        <w:tblCellMar>
          <w:top w:w="0" w:type="dxa"/>
          <w:left w:w="0" w:type="dxa"/>
          <w:bottom w:w="0" w:type="dxa"/>
          <w:right w:w="0" w:type="dxa"/>
        </w:tblCellMar>
      </w:tblPr>
      <w:tblGrid>
        <w:gridCol w:w="2890"/>
        <w:gridCol w:w="320"/>
        <w:gridCol w:w="828"/>
        <w:gridCol w:w="3330"/>
        <w:gridCol w:w="320"/>
        <w:gridCol w:w="690"/>
        <w:gridCol w:w="1140"/>
        <w:gridCol w:w="852"/>
      </w:tblGrid>
      <w:tr>
        <w:tblPrEx>
          <w:shd w:val="clear" w:color="auto" w:fill="auto"/>
          <w:tblCellMar>
            <w:top w:w="0" w:type="dxa"/>
            <w:left w:w="0" w:type="dxa"/>
            <w:bottom w:w="0" w:type="dxa"/>
            <w:right w:w="0" w:type="dxa"/>
          </w:tblCellMar>
        </w:tblPrEx>
        <w:trPr>
          <w:trHeight w:val="390" w:hRule="atLeast"/>
        </w:trPr>
        <w:tc>
          <w:tcPr>
            <w:tcW w:w="984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部门：保定市满城区工业和信息化局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3" w:hRule="atLeast"/>
        </w:trPr>
        <w:tc>
          <w:tcPr>
            <w:tcW w:w="192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1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8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4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2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shd w:val="clear" w:color="auto" w:fill="auto"/>
          <w:tblCellMar>
            <w:top w:w="0" w:type="dxa"/>
            <w:left w:w="0" w:type="dxa"/>
            <w:bottom w:w="0" w:type="dxa"/>
            <w:right w:w="0" w:type="dxa"/>
          </w:tblCellMar>
        </w:tblPrEx>
        <w:trPr>
          <w:trHeight w:val="615" w:hRule="atLeast"/>
        </w:trPr>
        <w:tc>
          <w:tcPr>
            <w:tcW w:w="192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8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231.00</w:t>
            </w:r>
          </w:p>
        </w:tc>
      </w:tr>
      <w:tr>
        <w:tblPrEx>
          <w:tblCellMar>
            <w:top w:w="0" w:type="dxa"/>
            <w:left w:w="0" w:type="dxa"/>
            <w:bottom w:w="0" w:type="dxa"/>
            <w:right w:w="0" w:type="dxa"/>
          </w:tblCellMar>
        </w:tblPrEx>
        <w:trPr>
          <w:trHeight w:val="308" w:hRule="atLeas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snapToGrid w:val="0"/>
        <w:spacing w:line="520" w:lineRule="exact"/>
        <w:rPr>
          <w:rFonts w:ascii="宋体" w:hAnsi="宋体"/>
          <w:sz w:val="30"/>
          <w:szCs w:val="30"/>
        </w:rPr>
      </w:pPr>
    </w:p>
    <w:tbl>
      <w:tblPr>
        <w:tblStyle w:val="5"/>
        <w:tblW w:w="9008" w:type="dxa"/>
        <w:tblInd w:w="0" w:type="dxa"/>
        <w:shd w:val="clear" w:color="auto" w:fill="auto"/>
        <w:tblLayout w:type="fixed"/>
        <w:tblCellMar>
          <w:top w:w="0" w:type="dxa"/>
          <w:left w:w="0" w:type="dxa"/>
          <w:bottom w:w="0" w:type="dxa"/>
          <w:right w:w="0" w:type="dxa"/>
        </w:tblCellMar>
      </w:tblPr>
      <w:tblGrid>
        <w:gridCol w:w="2342"/>
        <w:gridCol w:w="924"/>
        <w:gridCol w:w="36"/>
        <w:gridCol w:w="2940"/>
        <w:gridCol w:w="1096"/>
        <w:gridCol w:w="571"/>
        <w:gridCol w:w="1099"/>
      </w:tblGrid>
      <w:tr>
        <w:tblPrEx>
          <w:shd w:val="clear" w:color="auto" w:fill="auto"/>
          <w:tblCellMar>
            <w:top w:w="0" w:type="dxa"/>
            <w:left w:w="0" w:type="dxa"/>
            <w:bottom w:w="0" w:type="dxa"/>
            <w:right w:w="0" w:type="dxa"/>
          </w:tblCellMar>
        </w:tblPrEx>
        <w:trPr>
          <w:trHeight w:val="390" w:hRule="atLeast"/>
        </w:trPr>
        <w:tc>
          <w:tcPr>
            <w:tcW w:w="9008"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shd w:val="clear" w:color="auto" w:fill="auto"/>
          <w:tblCellMar>
            <w:top w:w="0" w:type="dxa"/>
            <w:left w:w="0" w:type="dxa"/>
            <w:bottom w:w="0" w:type="dxa"/>
            <w:right w:w="0" w:type="dxa"/>
          </w:tblCellMar>
        </w:tblPrEx>
        <w:trPr>
          <w:trHeight w:val="255" w:hRule="atLeast"/>
        </w:trPr>
        <w:tc>
          <w:tcPr>
            <w:tcW w:w="2342"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9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9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9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2342"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部门：保定市满城区工业和信息化局</w:t>
            </w:r>
          </w:p>
        </w:tc>
        <w:tc>
          <w:tcPr>
            <w:tcW w:w="9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94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9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57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99"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24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76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330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94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96"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57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99"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8" w:hRule="atLeast"/>
        </w:trPr>
        <w:tc>
          <w:tcPr>
            <w:tcW w:w="33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0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6"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9"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24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7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99"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624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146.00</w:t>
            </w:r>
          </w:p>
        </w:tc>
        <w:tc>
          <w:tcPr>
            <w:tcW w:w="5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146.00</w:t>
            </w:r>
          </w:p>
        </w:tc>
      </w:tr>
      <w:tr>
        <w:tblPrEx>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5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r>
      <w:tr>
        <w:tblPrEx>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2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5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r>
      <w:tr>
        <w:tblPrEx>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2010308</w:t>
            </w:r>
          </w:p>
        </w:tc>
        <w:tc>
          <w:tcPr>
            <w:tcW w:w="2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信访事务</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5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r>
      <w:tr>
        <w:tblPrEx>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2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资源勘探信息等支出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5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r>
      <w:tr>
        <w:tblPrEx>
          <w:shd w:val="clear" w:color="auto" w:fill="auto"/>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21599</w:t>
            </w:r>
          </w:p>
        </w:tc>
        <w:tc>
          <w:tcPr>
            <w:tcW w:w="2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其他资源勘探信息等支出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5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r>
      <w:tr>
        <w:tblPrEx>
          <w:shd w:val="clear" w:color="auto" w:fill="auto"/>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2159904</w:t>
            </w:r>
          </w:p>
        </w:tc>
        <w:tc>
          <w:tcPr>
            <w:tcW w:w="2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技术改造支出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c>
          <w:tcPr>
            <w:tcW w:w="5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140.00</w:t>
            </w:r>
          </w:p>
        </w:tc>
      </w:tr>
      <w:tr>
        <w:tblPrEx>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7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0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008"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tbl>
      <w:tblPr>
        <w:tblStyle w:val="5"/>
        <w:tblW w:w="9120" w:type="dxa"/>
        <w:tblInd w:w="0" w:type="dxa"/>
        <w:shd w:val="clear" w:color="auto" w:fill="auto"/>
        <w:tblLayout w:type="autofit"/>
        <w:tblCellMar>
          <w:top w:w="0" w:type="dxa"/>
          <w:left w:w="0" w:type="dxa"/>
          <w:bottom w:w="0" w:type="dxa"/>
          <w:right w:w="0" w:type="dxa"/>
        </w:tblCellMar>
      </w:tblPr>
      <w:tblGrid>
        <w:gridCol w:w="453"/>
        <w:gridCol w:w="2570"/>
        <w:gridCol w:w="369"/>
        <w:gridCol w:w="453"/>
        <w:gridCol w:w="1723"/>
        <w:gridCol w:w="199"/>
        <w:gridCol w:w="453"/>
        <w:gridCol w:w="3248"/>
        <w:gridCol w:w="200"/>
      </w:tblGrid>
      <w:tr>
        <w:tblPrEx>
          <w:shd w:val="clear" w:color="auto" w:fill="auto"/>
          <w:tblCellMar>
            <w:top w:w="0" w:type="dxa"/>
            <w:left w:w="0" w:type="dxa"/>
            <w:bottom w:w="0" w:type="dxa"/>
            <w:right w:w="0" w:type="dxa"/>
          </w:tblCellMar>
        </w:tblPrEx>
        <w:trPr>
          <w:trHeight w:val="390" w:hRule="atLeast"/>
        </w:trPr>
        <w:tc>
          <w:tcPr>
            <w:tcW w:w="9120"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shd w:val="clear" w:color="auto" w:fill="auto"/>
          <w:tblCellMar>
            <w:top w:w="0" w:type="dxa"/>
            <w:left w:w="0" w:type="dxa"/>
            <w:bottom w:w="0" w:type="dxa"/>
            <w:right w:w="0" w:type="dxa"/>
          </w:tblCellMar>
        </w:tblPrEx>
        <w:trPr>
          <w:trHeight w:val="255" w:hRule="atLeast"/>
        </w:trPr>
        <w:tc>
          <w:tcPr>
            <w:tcW w:w="0" w:type="auto"/>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部门：保定市满城区工业和信息化局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shd w:val="clear" w:color="auto" w:fill="auto"/>
          <w:tblCellMar>
            <w:top w:w="0" w:type="dxa"/>
            <w:left w:w="0" w:type="dxa"/>
            <w:bottom w:w="0" w:type="dxa"/>
            <w:right w:w="0"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89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3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78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2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12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注：本表反映部门本年度一般公共预算财政拨款基本支出明细情况。本部门本年度无一般公共预算财政拨款基本支出，按要求以空表列示。</w:t>
            </w:r>
          </w:p>
        </w:tc>
      </w:tr>
    </w:tbl>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tbl>
      <w:tblPr>
        <w:tblStyle w:val="5"/>
        <w:tblW w:w="8640" w:type="dxa"/>
        <w:tblInd w:w="0" w:type="dxa"/>
        <w:shd w:val="clear" w:color="auto" w:fill="auto"/>
        <w:tblLayout w:type="autofit"/>
        <w:tblCellMar>
          <w:top w:w="0" w:type="dxa"/>
          <w:left w:w="0" w:type="dxa"/>
          <w:bottom w:w="0" w:type="dxa"/>
          <w:right w:w="0" w:type="dxa"/>
        </w:tblCellMar>
      </w:tblPr>
      <w:tblGrid>
        <w:gridCol w:w="808"/>
        <w:gridCol w:w="808"/>
        <w:gridCol w:w="808"/>
        <w:gridCol w:w="806"/>
        <w:gridCol w:w="720"/>
        <w:gridCol w:w="720"/>
        <w:gridCol w:w="720"/>
        <w:gridCol w:w="720"/>
        <w:gridCol w:w="720"/>
        <w:gridCol w:w="720"/>
        <w:gridCol w:w="720"/>
        <w:gridCol w:w="720"/>
      </w:tblGrid>
      <w:tr>
        <w:tblPrEx>
          <w:shd w:val="clear" w:color="auto" w:fill="auto"/>
          <w:tblCellMar>
            <w:top w:w="0" w:type="dxa"/>
            <w:left w:w="0" w:type="dxa"/>
            <w:bottom w:w="0" w:type="dxa"/>
            <w:right w:w="0" w:type="dxa"/>
          </w:tblCellMar>
        </w:tblPrEx>
        <w:trPr>
          <w:trHeight w:val="450" w:hRule="atLeast"/>
        </w:trPr>
        <w:tc>
          <w:tcPr>
            <w:tcW w:w="8640"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部门：保定市满城区工业和信息化局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1280" w:hRule="atLeast"/>
        </w:trPr>
        <w:tc>
          <w:tcPr>
            <w:tcW w:w="4320" w:type="dxa"/>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4320" w:type="dxa"/>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72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2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160"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72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72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2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160"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72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1180" w:hRule="atLeast"/>
        </w:trPr>
        <w:tc>
          <w:tcPr>
            <w:tcW w:w="72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72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72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0" w:hRule="atLeast"/>
        </w:trPr>
        <w:tc>
          <w:tcPr>
            <w:tcW w:w="720"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380" w:hRule="atLeast"/>
        </w:trPr>
        <w:tc>
          <w:tcPr>
            <w:tcW w:w="8640"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部门本年度无“三公”经费支出预决算情况，按要求以空表列示。</w:t>
            </w:r>
          </w:p>
        </w:tc>
      </w:tr>
    </w:tbl>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tbl>
      <w:tblPr>
        <w:tblStyle w:val="5"/>
        <w:tblW w:w="9135" w:type="dxa"/>
        <w:tblInd w:w="0" w:type="dxa"/>
        <w:shd w:val="clear" w:color="auto" w:fill="auto"/>
        <w:tblLayout w:type="autofit"/>
        <w:tblCellMar>
          <w:top w:w="0" w:type="dxa"/>
          <w:left w:w="0" w:type="dxa"/>
          <w:bottom w:w="0" w:type="dxa"/>
          <w:right w:w="0" w:type="dxa"/>
        </w:tblCellMar>
      </w:tblPr>
      <w:tblGrid>
        <w:gridCol w:w="256"/>
        <w:gridCol w:w="256"/>
        <w:gridCol w:w="260"/>
        <w:gridCol w:w="5291"/>
        <w:gridCol w:w="328"/>
        <w:gridCol w:w="789"/>
        <w:gridCol w:w="789"/>
        <w:gridCol w:w="328"/>
        <w:gridCol w:w="862"/>
        <w:gridCol w:w="509"/>
      </w:tblGrid>
      <w:tr>
        <w:tblPrEx>
          <w:shd w:val="clear" w:color="auto" w:fill="auto"/>
          <w:tblCellMar>
            <w:top w:w="0" w:type="dxa"/>
            <w:left w:w="0" w:type="dxa"/>
            <w:bottom w:w="0" w:type="dxa"/>
            <w:right w:w="0" w:type="dxa"/>
          </w:tblCellMar>
        </w:tblPrEx>
        <w:trPr>
          <w:trHeight w:val="390" w:hRule="atLeast"/>
        </w:trPr>
        <w:tc>
          <w:tcPr>
            <w:tcW w:w="9135"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0" w:type="auto"/>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部门：保定市满城区工业和信息化局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9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700"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900"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0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支付破产或改制企业职工安置费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135"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tbl>
      <w:tblPr>
        <w:tblStyle w:val="5"/>
        <w:tblW w:w="8678" w:type="dxa"/>
        <w:tblInd w:w="0" w:type="dxa"/>
        <w:shd w:val="clear" w:color="auto" w:fill="auto"/>
        <w:tblLayout w:type="autofit"/>
        <w:tblCellMar>
          <w:top w:w="0" w:type="dxa"/>
          <w:left w:w="0" w:type="dxa"/>
          <w:bottom w:w="0" w:type="dxa"/>
          <w:right w:w="0" w:type="dxa"/>
        </w:tblCellMar>
      </w:tblPr>
      <w:tblGrid>
        <w:gridCol w:w="382"/>
        <w:gridCol w:w="745"/>
        <w:gridCol w:w="745"/>
        <w:gridCol w:w="952"/>
        <w:gridCol w:w="1394"/>
        <w:gridCol w:w="2695"/>
        <w:gridCol w:w="2755"/>
      </w:tblGrid>
      <w:tr>
        <w:tblPrEx>
          <w:tblCellMar>
            <w:top w:w="0" w:type="dxa"/>
            <w:left w:w="0" w:type="dxa"/>
            <w:bottom w:w="0" w:type="dxa"/>
            <w:right w:w="0" w:type="dxa"/>
          </w:tblCellMar>
        </w:tblPrEx>
        <w:trPr>
          <w:trHeight w:val="540" w:hRule="atLeast"/>
        </w:trPr>
        <w:tc>
          <w:tcPr>
            <w:tcW w:w="8275"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国有资本经营预算财政拨款支出决算表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48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trHeight w:val="255" w:hRule="atLeast"/>
        </w:trPr>
        <w:tc>
          <w:tcPr>
            <w:tcW w:w="0" w:type="auto"/>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部门：保定市满城区工业和信息化局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0" w:type="auto"/>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615" w:hRule="atLeast"/>
        </w:trPr>
        <w:tc>
          <w:tcPr>
            <w:tcW w:w="250"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gridSpan w:val="2"/>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91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27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注：本表反映部门本年度国有资本经营预算财政拨款支出情况。本部门本年度无相关支出情况，按要求以空表列示。</w:t>
            </w:r>
          </w:p>
        </w:tc>
      </w:tr>
    </w:tbl>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p>
      <w:pPr>
        <w:snapToGrid w:val="0"/>
        <w:spacing w:line="520" w:lineRule="exact"/>
        <w:rPr>
          <w:rFonts w:ascii="宋体" w:hAnsi="宋体"/>
          <w:sz w:val="30"/>
          <w:szCs w:val="30"/>
        </w:rPr>
      </w:pPr>
    </w:p>
    <w:tbl>
      <w:tblPr>
        <w:tblStyle w:val="5"/>
        <w:tblW w:w="8820" w:type="dxa"/>
        <w:tblInd w:w="0" w:type="dxa"/>
        <w:shd w:val="clear" w:color="auto" w:fill="auto"/>
        <w:tblLayout w:type="autofit"/>
        <w:tblCellMar>
          <w:top w:w="0" w:type="dxa"/>
          <w:left w:w="0" w:type="dxa"/>
          <w:bottom w:w="0" w:type="dxa"/>
          <w:right w:w="0" w:type="dxa"/>
        </w:tblCellMar>
      </w:tblPr>
      <w:tblGrid>
        <w:gridCol w:w="1240"/>
        <w:gridCol w:w="1230"/>
        <w:gridCol w:w="1230"/>
        <w:gridCol w:w="1230"/>
        <w:gridCol w:w="1230"/>
        <w:gridCol w:w="1230"/>
        <w:gridCol w:w="1430"/>
      </w:tblGrid>
      <w:tr>
        <w:tblPrEx>
          <w:shd w:val="clear" w:color="auto" w:fill="auto"/>
          <w:tblCellMar>
            <w:top w:w="0" w:type="dxa"/>
            <w:left w:w="0" w:type="dxa"/>
            <w:bottom w:w="0" w:type="dxa"/>
            <w:right w:w="0" w:type="dxa"/>
          </w:tblCellMar>
        </w:tblPrEx>
        <w:trPr>
          <w:trHeight w:val="390" w:hRule="atLeast"/>
        </w:trPr>
        <w:tc>
          <w:tcPr>
            <w:tcW w:w="88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政府采购情况表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公开10表</w:t>
            </w:r>
          </w:p>
        </w:tc>
      </w:tr>
      <w:tr>
        <w:tblPrEx>
          <w:tblCellMar>
            <w:top w:w="0" w:type="dxa"/>
            <w:left w:w="0" w:type="dxa"/>
            <w:bottom w:w="0" w:type="dxa"/>
            <w:right w:w="0" w:type="dxa"/>
          </w:tblCellMar>
        </w:tblPrEx>
        <w:trPr>
          <w:trHeight w:val="255" w:hRule="atLeast"/>
        </w:trPr>
        <w:tc>
          <w:tcPr>
            <w:tcW w:w="0" w:type="auto"/>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部门：保定市满城区工业和信息化局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采购计划金额</w:t>
            </w:r>
          </w:p>
        </w:tc>
      </w:tr>
      <w:tr>
        <w:tblPrEx>
          <w:tblCellMar>
            <w:top w:w="0" w:type="dxa"/>
            <w:left w:w="0" w:type="dxa"/>
            <w:bottom w:w="0" w:type="dxa"/>
            <w:right w:w="0" w:type="dxa"/>
          </w:tblCellMar>
        </w:tblPrEx>
        <w:trPr>
          <w:trHeight w:val="30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5040"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采购预算（财政性资金）</w:t>
            </w:r>
          </w:p>
        </w:tc>
        <w:tc>
          <w:tcPr>
            <w:tcW w:w="12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非财政性资金</w:t>
            </w:r>
          </w:p>
        </w:tc>
      </w:tr>
      <w:tr>
        <w:tblPrEx>
          <w:tblCellMar>
            <w:top w:w="0" w:type="dxa"/>
            <w:left w:w="0" w:type="dxa"/>
            <w:bottom w:w="0" w:type="dxa"/>
            <w:right w:w="0"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2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560"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实际采购金额</w:t>
            </w:r>
          </w:p>
        </w:tc>
      </w:tr>
      <w:tr>
        <w:tblPrEx>
          <w:tblCellMar>
            <w:top w:w="0" w:type="dxa"/>
            <w:left w:w="0" w:type="dxa"/>
            <w:bottom w:w="0" w:type="dxa"/>
            <w:right w:w="0"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5040"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采购预算（财政性资金）</w:t>
            </w:r>
          </w:p>
        </w:tc>
        <w:tc>
          <w:tcPr>
            <w:tcW w:w="12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非财政性资金</w:t>
            </w:r>
          </w:p>
        </w:tc>
      </w:tr>
      <w:tr>
        <w:tblPrEx>
          <w:tblCellMar>
            <w:top w:w="0" w:type="dxa"/>
            <w:left w:w="0" w:type="dxa"/>
            <w:bottom w:w="0" w:type="dxa"/>
            <w:right w:w="0" w:type="dxa"/>
          </w:tblCellMar>
        </w:tblPrEx>
        <w:trPr>
          <w:trHeight w:val="979"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12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2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2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注：本表反映部门本年度纳入部门预算范围的政府采购预算及支出情况。本部门本年度无政府采购预算，按要求空表列示。</w:t>
            </w:r>
          </w:p>
        </w:tc>
      </w:tr>
    </w:tbl>
    <w:p>
      <w:pPr>
        <w:snapToGrid w:val="0"/>
        <w:spacing w:line="520" w:lineRule="exact"/>
        <w:rPr>
          <w:rFonts w:ascii="宋体" w:hAnsi="宋体"/>
          <w:sz w:val="30"/>
          <w:szCs w:val="30"/>
        </w:rPr>
      </w:pPr>
    </w:p>
    <w:sectPr>
      <w:footerReference r:id="rId7" w:type="default"/>
      <w:footerReference r:id="rId8" w:type="even"/>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
    <w:altName w:val="宋体"/>
    <w:panose1 w:val="00000000000000000000"/>
    <w:charset w:val="86"/>
    <w:family w:val="roman"/>
    <w:pitch w:val="default"/>
    <w:sig w:usb0="00000000" w:usb1="00000000" w:usb2="00000010" w:usb3="00000000" w:csb0="00040000" w:csb1="00000000"/>
  </w:font>
  <w:font w:name="思源黑体 HW Bold">
    <w:altName w:val="宋体"/>
    <w:panose1 w:val="00000000000000000000"/>
    <w:charset w:val="86"/>
    <w:family w:val="swiss"/>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9680"/>
    <w:multiLevelType w:val="singleLevel"/>
    <w:tmpl w:val="01169680"/>
    <w:lvl w:ilvl="0" w:tentative="0">
      <w:start w:val="3"/>
      <w:numFmt w:val="decimal"/>
      <w:lvlText w:val="%1."/>
      <w:lvlJc w:val="left"/>
      <w:pPr>
        <w:tabs>
          <w:tab w:val="left" w:pos="312"/>
        </w:tabs>
      </w:pPr>
    </w:lvl>
  </w:abstractNum>
  <w:abstractNum w:abstractNumId="1">
    <w:nsid w:val="160B4E6B"/>
    <w:multiLevelType w:val="singleLevel"/>
    <w:tmpl w:val="160B4E6B"/>
    <w:lvl w:ilvl="0" w:tentative="0">
      <w:start w:val="1"/>
      <w:numFmt w:val="chineseCounting"/>
      <w:suff w:val="nothing"/>
      <w:lvlText w:val="%1、"/>
      <w:lvlJc w:val="left"/>
      <w:rPr>
        <w:rFonts w:hint="eastAsia"/>
      </w:rPr>
    </w:lvl>
  </w:abstractNum>
  <w:abstractNum w:abstractNumId="2">
    <w:nsid w:val="2A1F76BC"/>
    <w:multiLevelType w:val="singleLevel"/>
    <w:tmpl w:val="2A1F76BC"/>
    <w:lvl w:ilvl="0" w:tentative="0">
      <w:start w:val="2"/>
      <w:numFmt w:val="chineseCounting"/>
      <w:suff w:val="space"/>
      <w:lvlText w:val="第%1部分"/>
      <w:lvlJc w:val="left"/>
      <w:rPr>
        <w:rFonts w:hint="eastAsia"/>
      </w:rPr>
    </w:lvl>
  </w:abstractNum>
  <w:abstractNum w:abstractNumId="3">
    <w:nsid w:val="705002D9"/>
    <w:multiLevelType w:val="multilevel"/>
    <w:tmpl w:val="705002D9"/>
    <w:lvl w:ilvl="0" w:tentative="0">
      <w:start w:val="5"/>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869BA"/>
    <w:rsid w:val="000E40A0"/>
    <w:rsid w:val="000E417E"/>
    <w:rsid w:val="000E7658"/>
    <w:rsid w:val="0010125E"/>
    <w:rsid w:val="00114DCE"/>
    <w:rsid w:val="00161BD8"/>
    <w:rsid w:val="00162E9F"/>
    <w:rsid w:val="00163569"/>
    <w:rsid w:val="001639CE"/>
    <w:rsid w:val="00182742"/>
    <w:rsid w:val="001C5BC4"/>
    <w:rsid w:val="001F1AEF"/>
    <w:rsid w:val="001F319C"/>
    <w:rsid w:val="002102D3"/>
    <w:rsid w:val="00215A55"/>
    <w:rsid w:val="0022141A"/>
    <w:rsid w:val="00223011"/>
    <w:rsid w:val="00231CDA"/>
    <w:rsid w:val="00253110"/>
    <w:rsid w:val="002539A3"/>
    <w:rsid w:val="002631CC"/>
    <w:rsid w:val="002969CB"/>
    <w:rsid w:val="002B31C3"/>
    <w:rsid w:val="002C655C"/>
    <w:rsid w:val="002F636D"/>
    <w:rsid w:val="003074A0"/>
    <w:rsid w:val="00307ADA"/>
    <w:rsid w:val="00324CFE"/>
    <w:rsid w:val="00326CDB"/>
    <w:rsid w:val="00346033"/>
    <w:rsid w:val="00356D1B"/>
    <w:rsid w:val="00387AE7"/>
    <w:rsid w:val="003C481A"/>
    <w:rsid w:val="003D6E29"/>
    <w:rsid w:val="003E7232"/>
    <w:rsid w:val="003F0FBC"/>
    <w:rsid w:val="003F5072"/>
    <w:rsid w:val="00403F70"/>
    <w:rsid w:val="00413F43"/>
    <w:rsid w:val="00416734"/>
    <w:rsid w:val="0045363A"/>
    <w:rsid w:val="00491B93"/>
    <w:rsid w:val="004B4EF5"/>
    <w:rsid w:val="004C1765"/>
    <w:rsid w:val="004E588E"/>
    <w:rsid w:val="00500D97"/>
    <w:rsid w:val="0050602B"/>
    <w:rsid w:val="00521B93"/>
    <w:rsid w:val="005302F6"/>
    <w:rsid w:val="005371FC"/>
    <w:rsid w:val="00546A7C"/>
    <w:rsid w:val="00577C70"/>
    <w:rsid w:val="005A7E47"/>
    <w:rsid w:val="005B2F2B"/>
    <w:rsid w:val="005C3D28"/>
    <w:rsid w:val="005C601C"/>
    <w:rsid w:val="005D06FC"/>
    <w:rsid w:val="00630505"/>
    <w:rsid w:val="00666870"/>
    <w:rsid w:val="006677F1"/>
    <w:rsid w:val="00697B1E"/>
    <w:rsid w:val="006D1B59"/>
    <w:rsid w:val="006D30E9"/>
    <w:rsid w:val="006D49DC"/>
    <w:rsid w:val="006F420A"/>
    <w:rsid w:val="00721715"/>
    <w:rsid w:val="007270D0"/>
    <w:rsid w:val="00745362"/>
    <w:rsid w:val="00766258"/>
    <w:rsid w:val="00793850"/>
    <w:rsid w:val="007A1BED"/>
    <w:rsid w:val="007B3D5E"/>
    <w:rsid w:val="007B6B3E"/>
    <w:rsid w:val="007C5BD7"/>
    <w:rsid w:val="007E15EF"/>
    <w:rsid w:val="007F67C1"/>
    <w:rsid w:val="008038EE"/>
    <w:rsid w:val="00814A4B"/>
    <w:rsid w:val="0082090F"/>
    <w:rsid w:val="0086281C"/>
    <w:rsid w:val="00864502"/>
    <w:rsid w:val="00866654"/>
    <w:rsid w:val="008702BF"/>
    <w:rsid w:val="00871857"/>
    <w:rsid w:val="00873D73"/>
    <w:rsid w:val="008905F4"/>
    <w:rsid w:val="008959CE"/>
    <w:rsid w:val="008A5A44"/>
    <w:rsid w:val="008B0525"/>
    <w:rsid w:val="008E56A7"/>
    <w:rsid w:val="008F2283"/>
    <w:rsid w:val="00900B2A"/>
    <w:rsid w:val="00925A51"/>
    <w:rsid w:val="0095460D"/>
    <w:rsid w:val="00962065"/>
    <w:rsid w:val="00966CB2"/>
    <w:rsid w:val="00980A89"/>
    <w:rsid w:val="009929B3"/>
    <w:rsid w:val="009A6CC5"/>
    <w:rsid w:val="009A7330"/>
    <w:rsid w:val="009B4483"/>
    <w:rsid w:val="009D7B8B"/>
    <w:rsid w:val="009F0A13"/>
    <w:rsid w:val="009F4464"/>
    <w:rsid w:val="00A17E37"/>
    <w:rsid w:val="00A37D97"/>
    <w:rsid w:val="00A40752"/>
    <w:rsid w:val="00A463A1"/>
    <w:rsid w:val="00A93915"/>
    <w:rsid w:val="00AF13DA"/>
    <w:rsid w:val="00B156AB"/>
    <w:rsid w:val="00B22EC9"/>
    <w:rsid w:val="00B25056"/>
    <w:rsid w:val="00B363B4"/>
    <w:rsid w:val="00B50E24"/>
    <w:rsid w:val="00B6535C"/>
    <w:rsid w:val="00B70CB3"/>
    <w:rsid w:val="00B758A6"/>
    <w:rsid w:val="00B81704"/>
    <w:rsid w:val="00B90937"/>
    <w:rsid w:val="00B934A5"/>
    <w:rsid w:val="00BA5E13"/>
    <w:rsid w:val="00BB0F0E"/>
    <w:rsid w:val="00BB19BF"/>
    <w:rsid w:val="00BC7373"/>
    <w:rsid w:val="00BE7434"/>
    <w:rsid w:val="00C052A9"/>
    <w:rsid w:val="00C063DB"/>
    <w:rsid w:val="00C11C26"/>
    <w:rsid w:val="00C1230E"/>
    <w:rsid w:val="00C140E4"/>
    <w:rsid w:val="00C16D4C"/>
    <w:rsid w:val="00C37FDC"/>
    <w:rsid w:val="00C41E1A"/>
    <w:rsid w:val="00C44498"/>
    <w:rsid w:val="00C507AC"/>
    <w:rsid w:val="00C81887"/>
    <w:rsid w:val="00C96F7B"/>
    <w:rsid w:val="00CA27F2"/>
    <w:rsid w:val="00CA31E3"/>
    <w:rsid w:val="00CC50EA"/>
    <w:rsid w:val="00CE7805"/>
    <w:rsid w:val="00CF2799"/>
    <w:rsid w:val="00D03E9B"/>
    <w:rsid w:val="00D16507"/>
    <w:rsid w:val="00D55ED0"/>
    <w:rsid w:val="00D61534"/>
    <w:rsid w:val="00D6514C"/>
    <w:rsid w:val="00D6647C"/>
    <w:rsid w:val="00D703D5"/>
    <w:rsid w:val="00D96A66"/>
    <w:rsid w:val="00DA1175"/>
    <w:rsid w:val="00DA5D9F"/>
    <w:rsid w:val="00DD5A95"/>
    <w:rsid w:val="00DE1901"/>
    <w:rsid w:val="00E12071"/>
    <w:rsid w:val="00E149EC"/>
    <w:rsid w:val="00E156C4"/>
    <w:rsid w:val="00E26E01"/>
    <w:rsid w:val="00E26F58"/>
    <w:rsid w:val="00E31CE1"/>
    <w:rsid w:val="00E36CE9"/>
    <w:rsid w:val="00E41CDD"/>
    <w:rsid w:val="00E5305A"/>
    <w:rsid w:val="00E63636"/>
    <w:rsid w:val="00E8053C"/>
    <w:rsid w:val="00E92041"/>
    <w:rsid w:val="00E92089"/>
    <w:rsid w:val="00E96D97"/>
    <w:rsid w:val="00EC5FD8"/>
    <w:rsid w:val="00EE24D5"/>
    <w:rsid w:val="00EF2717"/>
    <w:rsid w:val="00F0723F"/>
    <w:rsid w:val="00F220DF"/>
    <w:rsid w:val="00F334E7"/>
    <w:rsid w:val="00F57889"/>
    <w:rsid w:val="00F8196B"/>
    <w:rsid w:val="00F8697C"/>
    <w:rsid w:val="00F869BA"/>
    <w:rsid w:val="00FA2C76"/>
    <w:rsid w:val="00FA43D7"/>
    <w:rsid w:val="00FA7A61"/>
    <w:rsid w:val="00FB270D"/>
    <w:rsid w:val="00FC1355"/>
    <w:rsid w:val="00FC2AF0"/>
    <w:rsid w:val="01C535BA"/>
    <w:rsid w:val="03BA243D"/>
    <w:rsid w:val="0A2D7192"/>
    <w:rsid w:val="0AF94973"/>
    <w:rsid w:val="0CD54D4D"/>
    <w:rsid w:val="163B772D"/>
    <w:rsid w:val="18AE1DA3"/>
    <w:rsid w:val="1CBF146C"/>
    <w:rsid w:val="1CD01EE6"/>
    <w:rsid w:val="1DE53CC9"/>
    <w:rsid w:val="23067CF0"/>
    <w:rsid w:val="23DD6CA4"/>
    <w:rsid w:val="24161CF1"/>
    <w:rsid w:val="271E529C"/>
    <w:rsid w:val="274F25F6"/>
    <w:rsid w:val="288E3259"/>
    <w:rsid w:val="295D2667"/>
    <w:rsid w:val="2A14736B"/>
    <w:rsid w:val="347A6434"/>
    <w:rsid w:val="378234E7"/>
    <w:rsid w:val="37C04442"/>
    <w:rsid w:val="41C14651"/>
    <w:rsid w:val="44761ABC"/>
    <w:rsid w:val="455B5488"/>
    <w:rsid w:val="46CD3433"/>
    <w:rsid w:val="48351A1E"/>
    <w:rsid w:val="4AE312E2"/>
    <w:rsid w:val="4CF60892"/>
    <w:rsid w:val="50CE7E08"/>
    <w:rsid w:val="54D92A9F"/>
    <w:rsid w:val="5C1F328D"/>
    <w:rsid w:val="611D2848"/>
    <w:rsid w:val="66CA6B44"/>
    <w:rsid w:val="68CD3DDF"/>
    <w:rsid w:val="6D78592F"/>
    <w:rsid w:val="6E8870D1"/>
    <w:rsid w:val="6F402DB1"/>
    <w:rsid w:val="793D5290"/>
    <w:rsid w:val="7B724F49"/>
    <w:rsid w:val="7F580A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paragraph" w:customStyle="1" w:styleId="8">
    <w:name w:val="Default"/>
    <w:uiPriority w:val="0"/>
    <w:pPr>
      <w:widowControl w:val="0"/>
      <w:autoSpaceDE w:val="0"/>
      <w:autoSpaceDN w:val="0"/>
      <w:adjustRightInd w:val="0"/>
    </w:pPr>
    <w:rPr>
      <w:rFonts w:ascii="方正小标宋" w:hAnsi="Calibri" w:eastAsia="方正小标宋" w:cs="方正小标宋"/>
      <w:color w:val="000000"/>
      <w:sz w:val="24"/>
      <w:szCs w:val="24"/>
      <w:lang w:val="en-US" w:eastAsia="zh-CN" w:bidi="ar-SA"/>
    </w:rPr>
  </w:style>
  <w:style w:type="character" w:customStyle="1" w:styleId="9">
    <w:name w:val="页眉 Char"/>
    <w:basedOn w:val="6"/>
    <w:link w:val="3"/>
    <w:qFormat/>
    <w:uiPriority w:val="0"/>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6"/>
    <customShpInfo spid="_x0000_s1029"/>
    <customShpInfo spid="_x0000_s1030"/>
    <customShpInfo spid="_x0000_s1031"/>
    <customShpInfo spid="_x0000_s1032"/>
    <customShpInfo spid="_x0000_s1034"/>
    <customShpInfo spid="_x0000_s1035"/>
    <customShpInfo spid="_x0000_s1033"/>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367</Words>
  <Characters>2094</Characters>
  <Lines>17</Lines>
  <Paragraphs>4</Paragraphs>
  <TotalTime>2</TotalTime>
  <ScaleCrop>false</ScaleCrop>
  <LinksUpToDate>false</LinksUpToDate>
  <CharactersWithSpaces>2457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2020-01-16T01:43:00Z</dcterms:created>
  <dc:creator>Administrator</dc:creator>
  <cp:lastModifiedBy>晁宇</cp:lastModifiedBy>
  <dcterms:modified xsi:type="dcterms:W3CDTF">2021-06-23T01:32:20Z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