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黑体" w:hAnsi="黑体" w:eastAsia="黑体"/>
          <w:b/>
          <w:sz w:val="72"/>
          <w:szCs w:val="72"/>
        </w:rPr>
      </w:pPr>
      <w:r>
        <w:pict>
          <v:shape id="图片 7" o:spid="_x0000_s1026" o:spt="75" alt="wc ga" type="#_x0000_t75" style="position:absolute;left:0pt;margin-left:-78.75pt;margin-top:-106.7pt;height:850.15pt;width:596.6pt;z-index:-1024;mso-width-relative:page;mso-height-relative:page;" filled="f" o:preferrelative="t" stroked="f" coordsize="21600,21600">
            <v:path/>
            <v:fill on="f" focussize="0,0"/>
            <v:stroke on="f" joinstyle="miter"/>
            <v:imagedata r:id="rId4" o:title=""/>
            <o:lock v:ext="edit" aspectratio="t"/>
          </v:shape>
        </w:pict>
      </w:r>
    </w:p>
    <w:p>
      <w:pPr>
        <w:widowControl/>
        <w:jc w:val="center"/>
        <w:rPr>
          <w:rFonts w:ascii="黑体" w:hAnsi="宋体" w:eastAsia="黑体"/>
          <w:color w:val="002060"/>
          <w:sz w:val="72"/>
          <w:szCs w:val="72"/>
        </w:rPr>
      </w:pPr>
      <w:r>
        <w:pict>
          <v:shape id="文本框 8" o:spid="_x0000_s1027" o:spt="202" type="#_x0000_t202" style="position:absolute;left:0pt;margin-left:-83.1pt;margin-top:43.25pt;height:166.25pt;width:596.2pt;z-index:1024;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保定市满城区林业局</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w:t>
                  </w:r>
                </w:p>
                <w:p>
                  <w:pPr>
                    <w:rPr>
                      <w:color w:val="FDEFBE"/>
                      <w:sz w:val="96"/>
                      <w:szCs w:val="96"/>
                    </w:rPr>
                  </w:pPr>
                </w:p>
              </w:txbxContent>
            </v:textbox>
          </v:shape>
        </w:pict>
      </w: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rPr>
          <w:rFonts w:ascii="黑体" w:hAnsi="黑体" w:eastAsia="黑体"/>
          <w:b/>
          <w:sz w:val="72"/>
          <w:szCs w:val="72"/>
        </w:rPr>
      </w:pPr>
    </w:p>
    <w:p>
      <w:pPr>
        <w:widowControl/>
        <w:rPr>
          <w:rFonts w:ascii="黑体" w:hAnsi="黑体" w:eastAsia="黑体"/>
          <w:b/>
          <w:sz w:val="72"/>
          <w:szCs w:val="72"/>
        </w:rPr>
      </w:pPr>
    </w:p>
    <w:p>
      <w:pPr>
        <w:widowControl/>
        <w:rPr>
          <w:rFonts w:ascii="黑体" w:hAnsi="黑体" w:eastAsia="黑体"/>
          <w:b/>
          <w:sz w:val="72"/>
          <w:szCs w:val="72"/>
        </w:rPr>
      </w:pPr>
    </w:p>
    <w:p>
      <w:pPr>
        <w:widowControl/>
        <w:ind w:firstLine="2871" w:firstLineChars="650"/>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rPr>
        <w:t>二〇一九年十一月</w:t>
      </w:r>
    </w:p>
    <w:p>
      <w:pPr>
        <w:widowControl/>
        <w:spacing w:after="0" w:line="600" w:lineRule="exact"/>
        <w:jc w:val="left"/>
        <w:rPr>
          <w:rFonts w:ascii="楷体" w:hAnsi="楷体" w:eastAsia="楷体" w:cs="楷体"/>
          <w:sz w:val="32"/>
          <w:szCs w:val="32"/>
          <w:highlight w:val="yellow"/>
        </w:rPr>
      </w:pPr>
    </w:p>
    <w:p>
      <w:pPr>
        <w:spacing w:beforeLines="200" w:after="0" w:line="1000" w:lineRule="exact"/>
        <w:jc w:val="center"/>
        <w:rPr>
          <w:rFonts w:ascii="黑体" w:eastAsia="黑体"/>
          <w:sz w:val="48"/>
          <w:szCs w:val="48"/>
        </w:rPr>
      </w:pPr>
      <w:r>
        <w:pict>
          <v:group id="组合 179" o:spid="_x0000_s1028" o:spt="203" style="position:absolute;left:0pt;margin-left:-80.8pt;margin-top:39.95pt;height:46.7pt;width:250.05pt;mso-position-vertical-relative:page;z-index:1024;mso-width-relative:page;mso-height-relative:page;" coordorigin="4551,52615" coordsize="8546,1398" o:allowoverlap="f">
            <o:lock v:ext="edit"/>
            <v:rect id="矩形 13" o:spid="_x0000_s1029" o:spt="1" style="position:absolute;left:4551;top:52615;height:1175;width:8546;v-text-anchor:middle;" fillcolor="#96DA9D" filled="t" stroked="f" coordsize="21600,21600">
              <v:path/>
              <v:fill on="t" focussize="0,0"/>
              <v:stroke on="f" weight="2pt"/>
              <v:imagedata o:title=""/>
              <o:lock v:ext="edit"/>
            </v:rect>
            <v:rect id="矩形 14" o:spid="_x0000_s1030" o:spt="1" style="position:absolute;left:4577;top:52890;height:1123;width:8324;v-text-anchor:middle;" fillcolor="#AD002D" filled="t" stroked="t" coordsize="21600,21600">
              <v:path/>
              <v:fill on="t" focussize="0,0"/>
              <v:stroke weight="2pt" color="#845209"/>
              <v:imagedata o:title=""/>
              <o:lock v:ext="edit"/>
              <v:textbox>
                <w:txbxContent/>
              </v:textbox>
            </v:rect>
            <w10:anchorlock/>
          </v:group>
        </w:pict>
      </w:r>
      <w:r>
        <w:rPr>
          <w:rFonts w:hint="eastAsia" w:ascii="黑体" w:eastAsia="黑体"/>
          <w:sz w:val="48"/>
          <w:szCs w:val="48"/>
        </w:rPr>
        <w:t>目</w:t>
      </w:r>
      <w:r>
        <w:rPr>
          <w:rFonts w:ascii="黑体" w:eastAsia="黑体"/>
          <w:sz w:val="48"/>
          <w:szCs w:val="48"/>
        </w:rPr>
        <w:t xml:space="preserve">    </w:t>
      </w:r>
      <w:r>
        <w:rPr>
          <w:rFonts w:hint="eastAsia" w:ascii="黑体" w:eastAsia="黑体"/>
          <w:sz w:val="48"/>
          <w:szCs w:val="48"/>
        </w:rPr>
        <w:t>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hint="eastAsia" w:eastAsia="黑体"/>
          <w:sz w:val="32"/>
          <w:szCs w:val="32"/>
        </w:rPr>
        <w:t>第一部分</w:t>
      </w:r>
      <w:r>
        <w:rPr>
          <w:rFonts w:eastAsia="黑体"/>
          <w:sz w:val="32"/>
          <w:szCs w:val="32"/>
        </w:rPr>
        <w:t xml:space="preserve">   </w:t>
      </w:r>
      <w:r>
        <w:rPr>
          <w:rFonts w:hint="eastAsia" w:eastAsia="黑体"/>
          <w:sz w:val="32"/>
          <w:szCs w:val="32"/>
        </w:rPr>
        <w:t>部门概况</w:t>
      </w:r>
      <w:r>
        <w:rPr>
          <w:rFonts w:eastAsia="仿宋_GB2312"/>
          <w:sz w:val="24"/>
          <w:szCs w:val="32"/>
        </w:rPr>
        <w:t xml:space="preserve"> </w:t>
      </w:r>
    </w:p>
    <w:p>
      <w:pPr>
        <w:widowControl/>
        <w:spacing w:line="580" w:lineRule="exact"/>
        <w:ind w:firstLine="1273" w:firstLineChars="398"/>
        <w:rPr>
          <w:rFonts w:eastAsia="仿宋_GB2312"/>
          <w:sz w:val="32"/>
          <w:szCs w:val="32"/>
        </w:rPr>
      </w:pPr>
      <w:r>
        <w:rPr>
          <w:rFonts w:hint="eastAsia" w:eastAsia="仿宋_GB2312"/>
          <w:sz w:val="32"/>
          <w:szCs w:val="32"/>
        </w:rPr>
        <w:t>一、部门职责</w:t>
      </w:r>
    </w:p>
    <w:p>
      <w:pPr>
        <w:widowControl/>
        <w:spacing w:line="580" w:lineRule="exact"/>
        <w:ind w:firstLine="1273" w:firstLineChars="398"/>
        <w:rPr>
          <w:rFonts w:eastAsia="仿宋_GB2312"/>
          <w:sz w:val="32"/>
          <w:szCs w:val="32"/>
        </w:rPr>
      </w:pPr>
      <w:r>
        <w:rPr>
          <w:rFonts w:hint="eastAsia" w:eastAsia="仿宋_GB2312"/>
          <w:sz w:val="32"/>
          <w:szCs w:val="32"/>
        </w:rPr>
        <w:t>二、机构设置</w:t>
      </w:r>
    </w:p>
    <w:p>
      <w:pPr>
        <w:widowControl/>
        <w:spacing w:line="580" w:lineRule="exact"/>
        <w:ind w:firstLine="640" w:firstLineChars="200"/>
        <w:rPr>
          <w:rFonts w:eastAsia="仿宋_GB2312"/>
          <w:sz w:val="20"/>
          <w:szCs w:val="32"/>
        </w:rPr>
      </w:pPr>
      <w:r>
        <w:rPr>
          <w:rFonts w:hint="eastAsia" w:eastAsia="黑体"/>
          <w:sz w:val="32"/>
          <w:szCs w:val="32"/>
        </w:rPr>
        <w:t>第二部分</w:t>
      </w:r>
      <w:r>
        <w:rPr>
          <w:rFonts w:eastAsia="黑体"/>
          <w:sz w:val="32"/>
          <w:szCs w:val="32"/>
        </w:rPr>
        <w:t xml:space="preserve">   2018</w:t>
      </w:r>
      <w:r>
        <w:rPr>
          <w:rFonts w:hint="eastAsia" w:eastAsia="黑体"/>
          <w:sz w:val="32"/>
          <w:szCs w:val="32"/>
        </w:rPr>
        <w:t>年度部门决算报表</w: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二、收入决算表</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七、一般公共预算财政拨款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九、国有资本经营预算财政拨款支出决算表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hint="eastAsia" w:eastAsia="黑体"/>
          <w:sz w:val="32"/>
          <w:szCs w:val="32"/>
        </w:rPr>
        <w:t>第三部分</w:t>
      </w:r>
      <w:r>
        <w:rPr>
          <w:rFonts w:eastAsia="黑体"/>
          <w:sz w:val="32"/>
          <w:szCs w:val="32"/>
        </w:rPr>
        <w:t xml:space="preserve">  </w:t>
      </w:r>
      <w:r>
        <w:rPr>
          <w:rFonts w:hint="eastAsia" w:eastAsia="黑体"/>
          <w:sz w:val="32"/>
          <w:szCs w:val="32"/>
        </w:rPr>
        <w:t>林业局部门</w:t>
      </w:r>
      <w:r>
        <w:rPr>
          <w:rFonts w:eastAsia="黑体"/>
          <w:sz w:val="32"/>
          <w:szCs w:val="32"/>
        </w:rPr>
        <w:t>2018</w:t>
      </w:r>
      <w:r>
        <w:rPr>
          <w:rFonts w:hint="eastAsia" w:eastAsia="黑体"/>
          <w:sz w:val="32"/>
          <w:szCs w:val="32"/>
        </w:rPr>
        <w:t>年部门决算情况说明</w:t>
      </w:r>
      <w:r>
        <w:pict>
          <v:group id="组合 176" o:spid="_x0000_s1031" o:spt="203" style="position:absolute;left:0pt;margin-left:-80.8pt;margin-top:38.95pt;height:46.7pt;width:222.8pt;mso-position-vertical-relative:page;z-index:1024;mso-width-relative:page;mso-height-relative:page;" coordorigin="4551,52615" coordsize="8546,1398">
            <o:lock v:ext="edit"/>
            <v:rect id="矩形 13" o:spid="_x0000_s1032" o:spt="1" style="position:absolute;left:4551;top:52615;height:1175;width:8546;v-text-anchor:middle;" fillcolor="#96DA9D" filled="t" stroked="f" coordsize="21600,21600">
              <v:path/>
              <v:fill on="t" focussize="0,0"/>
              <v:stroke on="f" weight="2pt"/>
              <v:imagedata o:title=""/>
              <o:lock v:ext="edit"/>
            </v:rect>
            <v:rect id="矩形 14" o:spid="_x0000_s1033"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w:t>
                    </w:r>
                    <w:r>
                      <w:rPr>
                        <w:rFonts w:ascii="楷体" w:hAnsi="楷体" w:eastAsia="楷体" w:cs="楷体"/>
                        <w:b/>
                        <w:bCs/>
                        <w:color w:val="FDEFBE"/>
                        <w:kern w:val="0"/>
                        <w:sz w:val="32"/>
                        <w:szCs w:val="32"/>
                      </w:rPr>
                      <w:t xml:space="preserve"> </w:t>
                    </w:r>
                    <w:r>
                      <w:rPr>
                        <w:rFonts w:hint="eastAsia" w:ascii="楷体" w:hAnsi="楷体" w:eastAsia="楷体" w:cs="楷体"/>
                        <w:b/>
                        <w:bCs/>
                        <w:color w:val="FDEFBE"/>
                        <w:kern w:val="0"/>
                        <w:sz w:val="32"/>
                        <w:szCs w:val="32"/>
                      </w:rPr>
                      <w:t>录</w:t>
                    </w:r>
                  </w:p>
                  <w:p>
                    <w:pPr>
                      <w:jc w:val="center"/>
                    </w:pPr>
                  </w:p>
                </w:txbxContent>
              </v:textbox>
            </v:rect>
            <w10:anchorlock/>
          </v:group>
        </w:pic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七、其他重要事项的说明</w:t>
      </w:r>
    </w:p>
    <w:p>
      <w:pPr>
        <w:widowControl/>
        <w:spacing w:line="580" w:lineRule="exact"/>
        <w:ind w:firstLine="640" w:firstLineChars="200"/>
        <w:rPr>
          <w:rFonts w:eastAsia="黑体"/>
          <w:sz w:val="32"/>
          <w:szCs w:val="32"/>
        </w:rPr>
      </w:pPr>
      <w:r>
        <w:rPr>
          <w:rFonts w:hint="eastAsia" w:eastAsia="黑体"/>
          <w:sz w:val="32"/>
          <w:szCs w:val="32"/>
        </w:rPr>
        <w:t>第四部分</w:t>
      </w:r>
      <w:r>
        <w:rPr>
          <w:rFonts w:eastAsia="黑体"/>
          <w:sz w:val="32"/>
          <w:szCs w:val="32"/>
        </w:rPr>
        <w:t xml:space="preserve">  </w:t>
      </w:r>
      <w:r>
        <w:rPr>
          <w:rFonts w:hint="eastAsia" w:eastAsia="黑体"/>
          <w:sz w:val="32"/>
          <w:szCs w:val="32"/>
        </w:rPr>
        <w:t>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pict>
          <v:shape id="图片 12" o:spid="_x0000_s1034" o:spt="75" alt="2" type="#_x0000_t75" style="position:absolute;left:0pt;margin-left:-80.7pt;margin-top:-106.45pt;height:844.65pt;width:597.3pt;z-index:-1024;mso-width-relative:page;mso-height-relative:page;" filled="f" o:preferrelative="t" stroked="f" coordsize="21600,21600">
            <v:path/>
            <v:fill on="f" focussize="0,0"/>
            <v:stroke on="f" joinstyle="miter"/>
            <v:imagedata r:id="rId5" o:title=""/>
            <o:lock v:ext="edit" aspectratio="t"/>
          </v:shape>
        </w:pict>
      </w:r>
      <w:r>
        <w:pict>
          <v:shape id="文本框 118" o:spid="_x0000_s1035" o:spt="202" type="#_x0000_t202" style="position:absolute;left:0pt;margin-left:-97.3pt;margin-top:259.1pt;height:81.7pt;width:613.65pt;z-index:1024;mso-width-relative:page;mso-height-relative:page;" filled="f" stroked="f" coordsize="21600,21600">
            <v:path/>
            <v:fill on="f" focussize="0,0"/>
            <v:stroke on="f" weight="0.5pt" joinstyle="miter"/>
            <v:imagedata o:title=""/>
            <o:lock v:ext="edit"/>
            <v:textbox>
              <w:txbxContent>
                <w:p>
                  <w:pPr>
                    <w:widowControl/>
                    <w:jc w:val="center"/>
                    <w:rPr>
                      <w:color w:val="FDEFBE"/>
                      <w:sz w:val="96"/>
                      <w:szCs w:val="96"/>
                    </w:rPr>
                  </w:pPr>
                  <w:r>
                    <w:rPr>
                      <w:rFonts w:hint="eastAsia" w:ascii="黑体" w:hAnsi="宋体" w:eastAsia="黑体"/>
                      <w:color w:val="FDEFBE"/>
                      <w:sz w:val="96"/>
                      <w:szCs w:val="96"/>
                    </w:rPr>
                    <w:t>第一部分</w:t>
                  </w:r>
                  <w:r>
                    <w:rPr>
                      <w:rFonts w:ascii="黑体" w:hAnsi="宋体" w:eastAsia="黑体"/>
                      <w:color w:val="FDEFBE"/>
                      <w:sz w:val="96"/>
                      <w:szCs w:val="96"/>
                    </w:rPr>
                    <w:t xml:space="preserve">  </w:t>
                  </w:r>
                  <w:r>
                    <w:rPr>
                      <w:rFonts w:hint="eastAsia" w:ascii="黑体" w:hAnsi="宋体" w:eastAsia="黑体"/>
                      <w:color w:val="FDEFBE"/>
                      <w:sz w:val="96"/>
                      <w:szCs w:val="96"/>
                    </w:rPr>
                    <w:t>部门概况</w:t>
                  </w:r>
                </w:p>
              </w:txbxContent>
            </v:textbox>
          </v:shape>
        </w:pict>
      </w:r>
    </w:p>
    <w:p/>
    <w:p/>
    <w:p/>
    <w:p/>
    <w:p/>
    <w:p/>
    <w:p/>
    <w:p/>
    <w:p/>
    <w:p/>
    <w:p/>
    <w:p/>
    <w:p/>
    <w:p/>
    <w:p/>
    <w:p>
      <w:pPr>
        <w:pStyle w:val="2"/>
        <w:spacing w:before="0" w:after="0" w:line="600" w:lineRule="exact"/>
        <w:jc w:val="left"/>
        <w:rPr>
          <w:rFonts w:ascii="黑体" w:hAnsi="Cambria" w:eastAsia="黑体" w:cs="黑体"/>
          <w:b w:val="0"/>
          <w:bCs w:val="0"/>
          <w:kern w:val="0"/>
          <w:sz w:val="32"/>
          <w:szCs w:val="32"/>
        </w:rPr>
      </w:pPr>
      <w:r>
        <w:pict>
          <v:group id="组合 15" o:spid="_x0000_s1036" o:spt="203" style="position:absolute;left:0pt;margin-left:-80.8pt;margin-top:39.5pt;height:46.7pt;width:245.25pt;mso-position-vertical-relative:page;z-index:1024;mso-width-relative:page;mso-height-relative:page;" coordorigin="4551,52615" coordsize="8546,1398">
            <o:lock v:ext="edit"/>
            <v:rect id="_x0000_s1037" o:spid="_x0000_s1037" o:spt="1" style="position:absolute;left:4551;top:52615;height:1175;width:8546;v-text-anchor:middle;" fillcolor="#96DA9D" filled="t" stroked="f" coordsize="21600,21600">
              <v:path/>
              <v:fill on="t" focussize="0,0"/>
              <v:stroke on="f" weight="2pt"/>
              <v:imagedata o:title=""/>
              <o:lock v:ext="edit"/>
            </v:rect>
            <v:rect id="_x0000_s1038" o:spid="_x0000_s103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pPr>
                      <w:jc w:val="center"/>
                    </w:pPr>
                  </w:p>
                </w:txbxContent>
              </v:textbox>
            </v:rect>
            <w10:anchorlock/>
          </v:group>
        </w:pict>
      </w:r>
      <w:r>
        <w:rPr>
          <w:rFonts w:hint="eastAsia" w:ascii="黑体" w:hAnsi="Cambria" w:eastAsia="黑体" w:cs="黑体"/>
          <w:b w:val="0"/>
          <w:bCs w:val="0"/>
          <w:kern w:val="0"/>
          <w:sz w:val="32"/>
          <w:szCs w:val="32"/>
        </w:rPr>
        <w:t>一、部门职责</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满城区林业局由行政编制和事业编制组成。根据满政办（</w:t>
      </w:r>
      <w:r>
        <w:rPr>
          <w:rFonts w:ascii="仿宋_GB2312" w:hAnsi="Cambria" w:eastAsia="仿宋_GB2312" w:cs="ArialUnicodeMS"/>
          <w:kern w:val="0"/>
          <w:sz w:val="32"/>
          <w:szCs w:val="32"/>
        </w:rPr>
        <w:t>2010</w:t>
      </w:r>
      <w:r>
        <w:rPr>
          <w:rFonts w:hint="eastAsia" w:ascii="仿宋_GB2312" w:hAnsi="Cambria" w:eastAsia="仿宋_GB2312" w:cs="ArialUnicodeMS"/>
          <w:kern w:val="0"/>
          <w:sz w:val="32"/>
          <w:szCs w:val="32"/>
        </w:rPr>
        <w:t>）</w:t>
      </w:r>
      <w:r>
        <w:rPr>
          <w:rFonts w:ascii="仿宋_GB2312" w:hAnsi="Cambria" w:eastAsia="仿宋_GB2312" w:cs="ArialUnicodeMS"/>
          <w:kern w:val="0"/>
          <w:sz w:val="32"/>
          <w:szCs w:val="32"/>
        </w:rPr>
        <w:t>158</w:t>
      </w:r>
      <w:r>
        <w:rPr>
          <w:rFonts w:hint="eastAsia" w:ascii="仿宋_GB2312" w:hAnsi="Cambria" w:eastAsia="仿宋_GB2312" w:cs="ArialUnicodeMS"/>
          <w:kern w:val="0"/>
          <w:sz w:val="32"/>
          <w:szCs w:val="32"/>
        </w:rPr>
        <w:t>号关于《满城区林业局主要职责内设机构和人员编制规定》的通知要求，满城区林业局主要职责是：</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ascii="仿宋_GB2312" w:hAnsi="Cambria" w:eastAsia="仿宋_GB2312" w:cs="ArialUnicodeMS"/>
          <w:kern w:val="0"/>
          <w:sz w:val="32"/>
          <w:szCs w:val="32"/>
        </w:rPr>
        <w:t>1</w:t>
      </w:r>
      <w:r>
        <w:rPr>
          <w:rFonts w:hint="eastAsia" w:ascii="仿宋_GB2312" w:hAnsi="Cambria" w:eastAsia="仿宋_GB2312" w:cs="ArialUnicodeMS"/>
          <w:kern w:val="0"/>
          <w:sz w:val="32"/>
          <w:szCs w:val="32"/>
        </w:rPr>
        <w:t>、负责全区林业及其生态建设的监督管理；贯彻执行国家关于林业及其生态建设的方针政策和法律法规；拟定全区林业及其生态建设中长期规划、年度计划、综合规划和有关专业规划并组织实施。</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ascii="仿宋_GB2312" w:hAnsi="Cambria" w:eastAsia="仿宋_GB2312" w:cs="ArialUnicodeMS"/>
          <w:kern w:val="0"/>
          <w:sz w:val="32"/>
          <w:szCs w:val="32"/>
        </w:rPr>
        <w:t>2</w:t>
      </w:r>
      <w:r>
        <w:rPr>
          <w:rFonts w:hint="eastAsia" w:ascii="仿宋_GB2312" w:hAnsi="Cambria" w:eastAsia="仿宋_GB2312" w:cs="ArialUnicodeMS"/>
          <w:kern w:val="0"/>
          <w:sz w:val="32"/>
          <w:szCs w:val="32"/>
        </w:rPr>
        <w:t>、组织、协调、指导和监督全区造林绿化工作；科学制定造林规划、设计，并按规划设计要求，组织植树造林、封山育林、飞播造林；组织国土绿化、防治荒漠化和防沙、治沙工作，并组织检查验收；指导监督全民义务植树工作；承担满城区绿化委员会的具体工作。</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ascii="仿宋_GB2312" w:hAnsi="Cambria" w:eastAsia="仿宋_GB2312" w:cs="ArialUnicodeMS"/>
          <w:kern w:val="0"/>
          <w:sz w:val="32"/>
          <w:szCs w:val="32"/>
        </w:rPr>
        <w:t>3</w:t>
      </w:r>
      <w:r>
        <w:rPr>
          <w:rFonts w:hint="eastAsia" w:ascii="仿宋_GB2312" w:hAnsi="Cambria" w:eastAsia="仿宋_GB2312" w:cs="ArialUnicodeMS"/>
          <w:kern w:val="0"/>
          <w:sz w:val="32"/>
          <w:szCs w:val="32"/>
        </w:rPr>
        <w:t>、承担全区森林资源保护、监督、管理的责任。</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w:t>
      </w:r>
      <w:r>
        <w:rPr>
          <w:rFonts w:ascii="仿宋_GB2312" w:hAnsi="Cambria" w:eastAsia="仿宋_GB2312" w:cs="ArialUnicodeMS"/>
          <w:kern w:val="0"/>
          <w:sz w:val="32"/>
          <w:szCs w:val="32"/>
        </w:rPr>
        <w:t>1</w:t>
      </w:r>
      <w:r>
        <w:rPr>
          <w:rFonts w:hint="eastAsia" w:ascii="仿宋_GB2312" w:hAnsi="Cambria" w:eastAsia="仿宋_GB2312" w:cs="ArialUnicodeMS"/>
          <w:kern w:val="0"/>
          <w:sz w:val="32"/>
          <w:szCs w:val="32"/>
        </w:rPr>
        <w:t>）组织指导林地、林权管理，组织实施林权登记、发证工作；拟定林地保护利用规划并指导实施，依法承担林地征用、占用的初审工作。</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w:t>
      </w:r>
      <w:r>
        <w:rPr>
          <w:rFonts w:ascii="仿宋_GB2312" w:hAnsi="Cambria" w:eastAsia="仿宋_GB2312" w:cs="ArialUnicodeMS"/>
          <w:kern w:val="0"/>
          <w:sz w:val="32"/>
          <w:szCs w:val="32"/>
        </w:rPr>
        <w:t>2</w:t>
      </w:r>
      <w:r>
        <w:rPr>
          <w:rFonts w:hint="eastAsia" w:ascii="仿宋_GB2312" w:hAnsi="Cambria" w:eastAsia="仿宋_GB2312" w:cs="ArialUnicodeMS"/>
          <w:kern w:val="0"/>
          <w:sz w:val="32"/>
          <w:szCs w:val="32"/>
        </w:rPr>
        <w:t>）负责林木采伐管理。根据年度森林采伐限额，核定年度采伐量指标，依法核发林木采伐许可证；监督检查林木凭证采伐、运输，制止无证运输和无证经营加工。</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w:t>
      </w:r>
      <w:r>
        <w:rPr>
          <w:rFonts w:ascii="仿宋_GB2312" w:hAnsi="Cambria" w:eastAsia="仿宋_GB2312" w:cs="ArialUnicodeMS"/>
          <w:kern w:val="0"/>
          <w:sz w:val="32"/>
          <w:szCs w:val="32"/>
        </w:rPr>
        <w:t>3</w:t>
      </w:r>
      <w:r>
        <w:rPr>
          <w:rFonts w:hint="eastAsia" w:ascii="仿宋_GB2312" w:hAnsi="Cambria" w:eastAsia="仿宋_GB2312" w:cs="ArialUnicodeMS"/>
          <w:kern w:val="0"/>
          <w:sz w:val="32"/>
          <w:szCs w:val="32"/>
        </w:rPr>
        <w:t>）指导林业有害生物的防治、检疫工作。</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w:t>
      </w:r>
      <w:r>
        <w:rPr>
          <w:rFonts w:ascii="仿宋_GB2312" w:hAnsi="Cambria" w:eastAsia="仿宋_GB2312" w:cs="ArialUnicodeMS"/>
          <w:kern w:val="0"/>
          <w:sz w:val="32"/>
          <w:szCs w:val="32"/>
        </w:rPr>
        <w:t>4</w:t>
      </w:r>
      <w:r>
        <w:rPr>
          <w:rFonts w:hint="eastAsia" w:ascii="仿宋_GB2312" w:hAnsi="Cambria" w:eastAsia="仿宋_GB2312" w:cs="ArialUnicodeMS"/>
          <w:kern w:val="0"/>
          <w:sz w:val="32"/>
          <w:szCs w:val="32"/>
        </w:rPr>
        <w:t>）组织、指导、监督野生动、植物资源保护和合理开发；监督管理全区陆生野生动、植物猎捕或采集、驯养繁殖或培植、经营利用。</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w:t>
      </w:r>
      <w:r>
        <w:rPr>
          <w:rFonts w:ascii="仿宋_GB2312" w:hAnsi="Cambria" w:eastAsia="仿宋_GB2312" w:cs="ArialUnicodeMS"/>
          <w:kern w:val="0"/>
          <w:sz w:val="32"/>
          <w:szCs w:val="32"/>
        </w:rPr>
        <w:t>5</w:t>
      </w:r>
      <w:r>
        <w:rPr>
          <w:rFonts w:hint="eastAsia" w:ascii="仿宋_GB2312" w:hAnsi="Cambria" w:eastAsia="仿宋_GB2312" w:cs="ArialUnicodeMS"/>
          <w:kern w:val="0"/>
          <w:sz w:val="32"/>
          <w:szCs w:val="32"/>
        </w:rPr>
        <w:t>）负责林木、果树种籽生产、经营管理，实行“一签两证”制度，净化林果种苗市场。</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w:t>
      </w:r>
      <w:r>
        <w:rPr>
          <w:rFonts w:ascii="仿宋_GB2312" w:hAnsi="Cambria" w:eastAsia="仿宋_GB2312" w:cs="ArialUnicodeMS"/>
          <w:kern w:val="0"/>
          <w:sz w:val="32"/>
          <w:szCs w:val="32"/>
        </w:rPr>
        <w:t>6</w:t>
      </w:r>
      <w:r>
        <w:rPr>
          <w:rFonts w:hint="eastAsia" w:ascii="仿宋_GB2312" w:hAnsi="Cambria" w:eastAsia="仿宋_GB2312" w:cs="ArialUnicodeMS"/>
          <w:kern w:val="0"/>
          <w:sz w:val="32"/>
          <w:szCs w:val="32"/>
        </w:rPr>
        <w:t>）牵头组织森林资源清查，建立资源档案，掌握资源消长。</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w:t>
      </w:r>
      <w:r>
        <w:rPr>
          <w:rFonts w:ascii="仿宋_GB2312" w:hAnsi="Cambria" w:eastAsia="仿宋_GB2312" w:cs="ArialUnicodeMS"/>
          <w:kern w:val="0"/>
          <w:sz w:val="32"/>
          <w:szCs w:val="32"/>
        </w:rPr>
        <w:t>7</w:t>
      </w:r>
      <w:r>
        <w:rPr>
          <w:rFonts w:hint="eastAsia" w:ascii="仿宋_GB2312" w:hAnsi="Cambria" w:eastAsia="仿宋_GB2312" w:cs="ArialUnicodeMS"/>
          <w:kern w:val="0"/>
          <w:sz w:val="32"/>
          <w:szCs w:val="32"/>
        </w:rPr>
        <w:t>）负责查处林业行政案件。会同区公安局指导全区森林公安工作，指导、协调、监督查处破坏资源和野生动、植物资源的重大案件。</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ascii="仿宋_GB2312" w:hAnsi="Cambria" w:eastAsia="仿宋_GB2312" w:cs="ArialUnicodeMS"/>
          <w:kern w:val="0"/>
          <w:sz w:val="32"/>
          <w:szCs w:val="32"/>
        </w:rPr>
        <w:t>4</w:t>
      </w:r>
      <w:r>
        <w:rPr>
          <w:rFonts w:hint="eastAsia" w:ascii="仿宋_GB2312" w:hAnsi="Cambria" w:eastAsia="仿宋_GB2312" w:cs="ArialUnicodeMS"/>
          <w:kern w:val="0"/>
          <w:sz w:val="32"/>
          <w:szCs w:val="32"/>
        </w:rPr>
        <w:t>、指导森林、湿地和陆生野生动物类型自然保护区的建设和管理。</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ascii="仿宋_GB2312" w:hAnsi="Cambria" w:eastAsia="仿宋_GB2312" w:cs="ArialUnicodeMS"/>
          <w:kern w:val="0"/>
          <w:sz w:val="32"/>
          <w:szCs w:val="32"/>
        </w:rPr>
        <w:t>5</w:t>
      </w:r>
      <w:r>
        <w:rPr>
          <w:rFonts w:hint="eastAsia" w:ascii="仿宋_GB2312" w:hAnsi="Cambria" w:eastAsia="仿宋_GB2312" w:cs="ArialUnicodeMS"/>
          <w:kern w:val="0"/>
          <w:sz w:val="32"/>
          <w:szCs w:val="32"/>
        </w:rPr>
        <w:t>、承担推进全区林业改革，维护农民经营林业合法权益的责任；指导监督农村林地承包经营和林权流转，指导林权纠纷调处和林地承包合同纠纷调处；依法负责退耕还林工作；指导国有林场（苗圃）、森林公园和基层林业站工作。</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ascii="仿宋_GB2312" w:hAnsi="Cambria" w:eastAsia="仿宋_GB2312" w:cs="ArialUnicodeMS"/>
          <w:kern w:val="0"/>
          <w:sz w:val="32"/>
          <w:szCs w:val="32"/>
        </w:rPr>
        <w:t>6</w:t>
      </w:r>
      <w:r>
        <w:rPr>
          <w:rFonts w:hint="eastAsia" w:ascii="仿宋_GB2312" w:hAnsi="Cambria" w:eastAsia="仿宋_GB2312" w:cs="ArialUnicodeMS"/>
          <w:kern w:val="0"/>
          <w:sz w:val="32"/>
          <w:szCs w:val="32"/>
        </w:rPr>
        <w:t>、组织、协调、指导、监督全区森林防火工作；组织、协调、指导森林火灾的预防与扑救工作，承担满城区森林防火指挥部的具体工作；承担林业综合行政执法监管的责任；指导区森林公安局工作，监督管理森林公安队伍，指导全区林业重大违法案件的查处。</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ascii="仿宋_GB2312" w:hAnsi="Cambria" w:eastAsia="仿宋_GB2312" w:cs="ArialUnicodeMS"/>
          <w:kern w:val="0"/>
          <w:sz w:val="32"/>
          <w:szCs w:val="32"/>
        </w:rPr>
        <w:t>7</w:t>
      </w:r>
      <w:r>
        <w:rPr>
          <w:rFonts w:hint="eastAsia" w:ascii="仿宋_GB2312" w:hAnsi="Cambria" w:eastAsia="仿宋_GB2312" w:cs="ArialUnicodeMS"/>
          <w:kern w:val="0"/>
          <w:sz w:val="32"/>
          <w:szCs w:val="32"/>
        </w:rPr>
        <w:t>、负责全区果品、蚕桑、花卉的管理工作；组织指导果品、蚕桑、花卉的品种改良、品质提高和标准化生产工作；监督管理果品质量安全。</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ascii="仿宋_GB2312" w:hAnsi="Cambria" w:eastAsia="仿宋_GB2312" w:cs="ArialUnicodeMS"/>
          <w:kern w:val="0"/>
          <w:sz w:val="32"/>
          <w:szCs w:val="32"/>
        </w:rPr>
        <w:t>8</w:t>
      </w:r>
      <w:r>
        <w:rPr>
          <w:rFonts w:hint="eastAsia" w:ascii="仿宋_GB2312" w:hAnsi="Cambria" w:eastAsia="仿宋_GB2312" w:cs="ArialUnicodeMS"/>
          <w:kern w:val="0"/>
          <w:sz w:val="32"/>
          <w:szCs w:val="32"/>
        </w:rPr>
        <w:t>、指导全区林业的科技、教育工作；组织推广林业适用技术，指导乡、村建立协会组织，培训管理科技人才，健全林业科普网络。</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ascii="仿宋_GB2312" w:hAnsi="Cambria" w:eastAsia="仿宋_GB2312" w:cs="ArialUnicodeMS"/>
          <w:kern w:val="0"/>
          <w:sz w:val="32"/>
          <w:szCs w:val="32"/>
        </w:rPr>
        <w:t>9</w:t>
      </w:r>
      <w:r>
        <w:rPr>
          <w:rFonts w:hint="eastAsia" w:ascii="仿宋_GB2312" w:hAnsi="Cambria" w:eastAsia="仿宋_GB2312" w:cs="ArialUnicodeMS"/>
          <w:kern w:val="0"/>
          <w:sz w:val="32"/>
          <w:szCs w:val="32"/>
        </w:rPr>
        <w:t>、承办区政府交办的其他事项。</w:t>
      </w:r>
    </w:p>
    <w:p>
      <w:pPr>
        <w:autoSpaceDE w:val="0"/>
        <w:autoSpaceDN w:val="0"/>
        <w:adjustRightInd w:val="0"/>
        <w:spacing w:after="0" w:line="560" w:lineRule="exact"/>
        <w:jc w:val="left"/>
        <w:rPr>
          <w:rFonts w:ascii="仿宋_GB2312" w:hAnsi="Cambria" w:eastAsia="仿宋_GB2312" w:cs="ArialUnicodeMS"/>
          <w:kern w:val="0"/>
          <w:sz w:val="32"/>
          <w:szCs w:val="32"/>
        </w:rPr>
      </w:pPr>
    </w:p>
    <w:p>
      <w:pPr>
        <w:pStyle w:val="2"/>
        <w:spacing w:before="0" w:after="0" w:line="600" w:lineRule="exact"/>
        <w:jc w:val="left"/>
        <w:rPr>
          <w:rFonts w:ascii="黑体" w:hAnsi="Cambria" w:eastAsia="黑体" w:cs="黑体"/>
          <w:b w:val="0"/>
          <w:bCs w:val="0"/>
          <w:kern w:val="0"/>
          <w:sz w:val="32"/>
          <w:szCs w:val="32"/>
        </w:rPr>
      </w:pPr>
      <w:r>
        <w:rPr>
          <w:rFonts w:hint="eastAsia" w:ascii="黑体" w:hAnsi="Cambria" w:eastAsia="黑体" w:cs="黑体"/>
          <w:b w:val="0"/>
          <w:bCs w:val="0"/>
          <w:kern w:val="0"/>
          <w:sz w:val="32"/>
          <w:szCs w:val="32"/>
        </w:rPr>
        <w:t>二、机构设置</w:t>
      </w:r>
    </w:p>
    <w:p>
      <w:pPr>
        <w:spacing w:after="0" w:line="560" w:lineRule="exac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从决算编报单位构成看，纳入</w:t>
      </w:r>
      <w:r>
        <w:rPr>
          <w:rFonts w:ascii="仿宋_GB2312" w:hAnsi="Cambria" w:eastAsia="仿宋_GB2312" w:cs="ArialUnicodeMS"/>
          <w:kern w:val="0"/>
          <w:sz w:val="32"/>
          <w:szCs w:val="32"/>
        </w:rPr>
        <w:t xml:space="preserve">2018 </w:t>
      </w:r>
      <w:r>
        <w:rPr>
          <w:rFonts w:hint="eastAsia" w:ascii="仿宋_GB2312" w:hAnsi="Cambria" w:eastAsia="仿宋_GB2312" w:cs="ArialUnicodeMS"/>
          <w:kern w:val="0"/>
          <w:sz w:val="32"/>
          <w:szCs w:val="32"/>
        </w:rPr>
        <w:t>年度本部门决算汇编范围的独立核算单位（以下简称“单位”）共</w:t>
      </w:r>
      <w:r>
        <w:rPr>
          <w:rFonts w:ascii="仿宋_GB2312" w:hAnsi="Cambria" w:eastAsia="仿宋_GB2312" w:cs="ArialUnicodeMS"/>
          <w:kern w:val="0"/>
          <w:sz w:val="32"/>
          <w:szCs w:val="32"/>
        </w:rPr>
        <w:t xml:space="preserve">3 </w:t>
      </w:r>
      <w:r>
        <w:rPr>
          <w:rFonts w:hint="eastAsia" w:ascii="仿宋_GB2312" w:hAnsi="Cambria" w:eastAsia="仿宋_GB2312" w:cs="ArialUnicodeMS"/>
          <w:kern w:val="0"/>
          <w:sz w:val="32"/>
          <w:szCs w:val="32"/>
        </w:rPr>
        <w:t>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402"/>
        <w:gridCol w:w="2696"/>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817"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序号</w:t>
            </w:r>
          </w:p>
        </w:tc>
        <w:tc>
          <w:tcPr>
            <w:tcW w:w="3402"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单位名称</w:t>
            </w:r>
          </w:p>
        </w:tc>
        <w:tc>
          <w:tcPr>
            <w:tcW w:w="2696"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单位基本性质</w:t>
            </w:r>
          </w:p>
        </w:tc>
        <w:tc>
          <w:tcPr>
            <w:tcW w:w="266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817" w:type="dxa"/>
            <w:vAlign w:val="center"/>
          </w:tcPr>
          <w:p>
            <w:pPr>
              <w:widowControl/>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1</w:t>
            </w:r>
          </w:p>
        </w:tc>
        <w:tc>
          <w:tcPr>
            <w:tcW w:w="3402" w:type="dxa"/>
            <w:vAlign w:val="center"/>
          </w:tcPr>
          <w:p>
            <w:pPr>
              <w:widowControl/>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保定市满城区林业局</w:t>
            </w:r>
          </w:p>
        </w:tc>
        <w:tc>
          <w:tcPr>
            <w:tcW w:w="2696" w:type="dxa"/>
            <w:vAlign w:val="center"/>
          </w:tcPr>
          <w:p>
            <w:pPr>
              <w:widowControl/>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行政单位</w:t>
            </w:r>
          </w:p>
        </w:tc>
        <w:tc>
          <w:tcPr>
            <w:tcW w:w="2665" w:type="dxa"/>
            <w:vAlign w:val="center"/>
          </w:tcPr>
          <w:p>
            <w:pPr>
              <w:widowControl/>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817" w:type="dxa"/>
            <w:vAlign w:val="center"/>
          </w:tcPr>
          <w:p>
            <w:pPr>
              <w:widowControl/>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2</w:t>
            </w:r>
          </w:p>
        </w:tc>
        <w:tc>
          <w:tcPr>
            <w:tcW w:w="3402" w:type="dxa"/>
            <w:vAlign w:val="center"/>
          </w:tcPr>
          <w:p>
            <w:pPr>
              <w:widowControl/>
              <w:spacing w:after="0"/>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保定市满城区林业局</w:t>
            </w:r>
          </w:p>
          <w:p>
            <w:pPr>
              <w:widowControl/>
              <w:spacing w:after="0"/>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林政资源管理股</w:t>
            </w:r>
          </w:p>
        </w:tc>
        <w:tc>
          <w:tcPr>
            <w:tcW w:w="2696" w:type="dxa"/>
            <w:vAlign w:val="center"/>
          </w:tcPr>
          <w:p>
            <w:pPr>
              <w:widowControl/>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财政补助事业单位</w:t>
            </w:r>
          </w:p>
        </w:tc>
        <w:tc>
          <w:tcPr>
            <w:tcW w:w="2665" w:type="dxa"/>
            <w:vAlign w:val="center"/>
          </w:tcPr>
          <w:p>
            <w:pPr>
              <w:widowControl/>
              <w:spacing w:after="0"/>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财政性资金</w:t>
            </w:r>
          </w:p>
          <w:p>
            <w:pPr>
              <w:widowControl/>
              <w:spacing w:after="0"/>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817" w:type="dxa"/>
            <w:vAlign w:val="center"/>
          </w:tcPr>
          <w:p>
            <w:pPr>
              <w:widowControl/>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3</w:t>
            </w:r>
          </w:p>
        </w:tc>
        <w:tc>
          <w:tcPr>
            <w:tcW w:w="3402" w:type="dxa"/>
            <w:vAlign w:val="center"/>
          </w:tcPr>
          <w:p>
            <w:pPr>
              <w:widowControl/>
              <w:spacing w:after="0"/>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保定市满城区林业局</w:t>
            </w:r>
          </w:p>
          <w:p>
            <w:pPr>
              <w:widowControl/>
              <w:spacing w:after="0"/>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林业技术推广站</w:t>
            </w:r>
          </w:p>
        </w:tc>
        <w:tc>
          <w:tcPr>
            <w:tcW w:w="2696" w:type="dxa"/>
            <w:vAlign w:val="center"/>
          </w:tcPr>
          <w:p>
            <w:pPr>
              <w:widowControl/>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财政补助事业单位</w:t>
            </w:r>
          </w:p>
        </w:tc>
        <w:tc>
          <w:tcPr>
            <w:tcW w:w="2665" w:type="dxa"/>
            <w:vAlign w:val="center"/>
          </w:tcPr>
          <w:p>
            <w:pPr>
              <w:widowControl/>
              <w:spacing w:after="0"/>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财政性资金</w:t>
            </w:r>
          </w:p>
          <w:p>
            <w:pPr>
              <w:widowControl/>
              <w:spacing w:after="0"/>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基本保证</w:t>
            </w:r>
          </w:p>
        </w:tc>
      </w:tr>
    </w:tbl>
    <w:p>
      <w:pPr>
        <w:widowControl/>
        <w:spacing w:line="560" w:lineRule="exact"/>
        <w:jc w:val="center"/>
        <w:rPr>
          <w:rFonts w:ascii="黑体" w:hAnsi="Cambria" w:eastAsia="黑体" w:cs="MS-UIGothic,Bold"/>
          <w:bCs/>
          <w:kern w:val="0"/>
          <w:sz w:val="52"/>
          <w:szCs w:val="52"/>
        </w:rPr>
      </w:pPr>
    </w:p>
    <w:p>
      <w:pPr>
        <w:widowControl/>
        <w:spacing w:line="560" w:lineRule="exact"/>
        <w:jc w:val="center"/>
        <w:rPr>
          <w:rFonts w:ascii="黑体" w:hAnsi="Cambria" w:eastAsia="黑体" w:cs="MS-UIGothic,Bold"/>
          <w:bCs/>
          <w:kern w:val="0"/>
          <w:sz w:val="52"/>
          <w:szCs w:val="52"/>
        </w:rPr>
      </w:pPr>
    </w:p>
    <w:p>
      <w:pPr>
        <w:widowControl/>
        <w:spacing w:line="560" w:lineRule="exact"/>
        <w:jc w:val="center"/>
        <w:rPr>
          <w:rFonts w:ascii="黑体" w:hAnsi="Cambria" w:eastAsia="黑体" w:cs="MS-UIGothic,Bold"/>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hAnsi="Cambria" w:eastAsia="黑体" w:cs="MS-UIGothic,Bold"/>
          <w:bCs/>
          <w:kern w:val="0"/>
          <w:sz w:val="52"/>
          <w:szCs w:val="52"/>
        </w:rPr>
      </w:pPr>
      <w:r>
        <w:pict>
          <v:shape id="图片 16" o:spid="_x0000_s1039" o:spt="75" alt="2" type="#_x0000_t75" style="position:absolute;left:0pt;margin-left:-80.6pt;margin-top:-104.5pt;height:840.95pt;width:596.15pt;z-index:-1024;mso-width-relative:page;mso-height-relative:page;" filled="f" o:preferrelative="t" stroked="f" coordsize="21600,21600">
            <v:path/>
            <v:fill on="f" focussize="0,0"/>
            <v:stroke on="f" joinstyle="miter"/>
            <v:imagedata r:id="rId5" o:title=""/>
            <o:lock v:ext="edit" aspectratio="t"/>
          </v:shape>
        </w:pict>
      </w:r>
    </w:p>
    <w:p>
      <w:pPr>
        <w:widowControl/>
        <w:spacing w:line="560" w:lineRule="exact"/>
        <w:jc w:val="center"/>
        <w:rPr>
          <w:rFonts w:ascii="黑体" w:hAnsi="Cambria" w:eastAsia="黑体" w:cs="MS-UIGothic,Bold"/>
          <w:bCs/>
          <w:kern w:val="0"/>
          <w:sz w:val="52"/>
          <w:szCs w:val="52"/>
        </w:rPr>
      </w:pPr>
    </w:p>
    <w:p>
      <w:pPr>
        <w:rPr>
          <w:rFonts w:ascii="宋体" w:cs="ArialUnicodeMS"/>
          <w:color w:val="000000"/>
          <w:kern w:val="0"/>
        </w:r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pict>
          <v:shape id="文本框 17" o:spid="_x0000_s1040" o:spt="202" type="#_x0000_t202" style="position:absolute;left:0pt;margin-left:-74.2pt;margin-top:120.3pt;height:159.1pt;width:596.2pt;z-index:1024;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年度部门决算报表</w:t>
                  </w:r>
                </w:p>
              </w:txbxContent>
            </v:textbox>
          </v:shape>
        </w:pic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pict>
                <v:group id="组合 10" o:spid="_x0000_s1041" o:spt="203" style="position:absolute;left:0pt;margin-left:-70.25pt;margin-top:-81.85pt;height:41.2pt;width:243.2pt;mso-position-vertical-relative:page;z-index:1024;mso-width-relative:page;mso-height-relative:page;" coordorigin="4551,52615" coordsize="8546,1398">
                  <o:lock v:ext="edit"/>
                  <v:rect id="矩形 13" o:spid="_x0000_s1042" o:spt="1" style="position:absolute;left:4551;top:52615;height:1175;width:8546;v-text-anchor:middle;" fillcolor="#96DA9D" filled="t" stroked="f" coordsize="21600,21600">
                    <v:path/>
                    <v:fill on="t" focussize="0,0"/>
                    <v:stroke on="f" weight="2pt"/>
                    <v:imagedata o:title=""/>
                    <o:lock v:ext="edit"/>
                  </v:rect>
                  <v:rect id="矩形 14" o:spid="_x0000_s1043"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01</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jc w:val="left"/>
              <w:textAlignment w:val="center"/>
              <w:rPr>
                <w:rFonts w:ascii="宋体" w:cs="宋体"/>
                <w:color w:val="000000"/>
                <w:sz w:val="20"/>
                <w:szCs w:val="20"/>
              </w:rPr>
            </w:pPr>
            <w:r>
              <w:rPr>
                <w:rFonts w:hint="eastAsia" w:ascii="宋体" w:hAnsi="宋体" w:cs="宋体"/>
                <w:color w:val="000000"/>
                <w:kern w:val="0"/>
                <w:sz w:val="20"/>
                <w:szCs w:val="20"/>
              </w:rPr>
              <w:t>部门：保定市满城区林业局</w:t>
            </w: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336"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ascii="宋体" w:cs="宋体"/>
                <w:color w:val="000000"/>
                <w:sz w:val="20"/>
                <w:szCs w:val="20"/>
              </w:rPr>
              <w:t>3390.66</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ascii="宋体" w:cs="宋体"/>
                <w:color w:val="000000"/>
                <w:sz w:val="20"/>
                <w:szCs w:val="20"/>
              </w:rPr>
              <w:t>6.00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ascii="宋体" w:cs="宋体"/>
                <w:color w:val="000000"/>
                <w:sz w:val="20"/>
                <w:szCs w:val="20"/>
              </w:rPr>
              <w:t>148.46</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ascii="宋体" w:cs="宋体"/>
                <w:color w:val="000000"/>
                <w:sz w:val="20"/>
                <w:szCs w:val="20"/>
              </w:rPr>
              <w:t>1032.00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ascii="宋体" w:cs="宋体"/>
                <w:color w:val="000000"/>
                <w:sz w:val="20"/>
                <w:szCs w:val="20"/>
              </w:rPr>
              <w:t>2204.20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ascii="宋体" w:cs="宋体"/>
                <w:color w:val="000000"/>
                <w:sz w:val="20"/>
                <w:szCs w:val="20"/>
              </w:rPr>
              <w:t>3390.66</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ascii="宋体" w:cs="宋体"/>
                <w:color w:val="000000"/>
                <w:sz w:val="20"/>
                <w:szCs w:val="20"/>
              </w:rPr>
              <w:t>3390.66</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ascii="宋体" w:cs="宋体"/>
                <w:color w:val="000000"/>
                <w:sz w:val="20"/>
                <w:szCs w:val="20"/>
              </w:rPr>
              <w:t>3390.66</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ascii="宋体" w:cs="宋体"/>
                <w:color w:val="000000"/>
                <w:sz w:val="20"/>
                <w:szCs w:val="20"/>
              </w:rPr>
              <w:t>3390.66</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200" w:lineRule="exact"/>
              <w:jc w:val="left"/>
              <w:textAlignment w:val="center"/>
              <w:rPr>
                <w:rFonts w:asci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10415" w:type="dxa"/>
        <w:jc w:val="center"/>
        <w:tblLayout w:type="fixed"/>
        <w:tblCellMar>
          <w:top w:w="0" w:type="dxa"/>
          <w:left w:w="0" w:type="dxa"/>
          <w:bottom w:w="0" w:type="dxa"/>
          <w:right w:w="0" w:type="dxa"/>
        </w:tblCellMar>
      </w:tblPr>
      <w:tblGrid>
        <w:gridCol w:w="334"/>
        <w:gridCol w:w="179"/>
        <w:gridCol w:w="457"/>
        <w:gridCol w:w="1914"/>
        <w:gridCol w:w="1302"/>
        <w:gridCol w:w="50"/>
        <w:gridCol w:w="260"/>
        <w:gridCol w:w="685"/>
        <w:gridCol w:w="189"/>
        <w:gridCol w:w="757"/>
        <w:gridCol w:w="32"/>
        <w:gridCol w:w="26"/>
        <w:gridCol w:w="757"/>
        <w:gridCol w:w="58"/>
        <w:gridCol w:w="152"/>
        <w:gridCol w:w="567"/>
        <w:gridCol w:w="38"/>
        <w:gridCol w:w="529"/>
        <w:gridCol w:w="992"/>
        <w:gridCol w:w="543"/>
        <w:gridCol w:w="330"/>
        <w:gridCol w:w="264"/>
      </w:tblGrid>
      <w:tr>
        <w:tblPrEx>
          <w:tblCellMar>
            <w:top w:w="0" w:type="dxa"/>
            <w:left w:w="0" w:type="dxa"/>
            <w:bottom w:w="0" w:type="dxa"/>
            <w:right w:w="0" w:type="dxa"/>
          </w:tblCellMar>
        </w:tblPrEx>
        <w:trPr>
          <w:gridAfter w:val="2"/>
          <w:wAfter w:w="594" w:type="dxa"/>
          <w:trHeight w:val="770" w:hRule="atLeast"/>
          <w:jc w:val="center"/>
        </w:trPr>
        <w:tc>
          <w:tcPr>
            <w:tcW w:w="9821" w:type="dxa"/>
            <w:gridSpan w:val="20"/>
            <w:tcBorders>
              <w:top w:val="nil"/>
              <w:left w:val="nil"/>
              <w:bottom w:val="nil"/>
              <w:right w:val="nil"/>
            </w:tcBorders>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w:t>
            </w:r>
            <w:r>
              <w:pict>
                <v:group id="组合 34" o:spid="_x0000_s1044" o:spt="203" style="position:absolute;left:0pt;margin-left:-41.75pt;margin-top:-80.1pt;height:41.2pt;width:243.2pt;mso-position-vertical-relative:page;z-index:1024;mso-width-relative:page;mso-height-relative:page;" coordorigin="4551,52615" coordsize="8546,1398">
                  <o:lock v:ext="edit"/>
                  <v:rect id="矩形 13" o:spid="_x0000_s1045" o:spt="1" style="position:absolute;left:4551;top:52615;height:1175;width:8546;v-text-anchor:middle;" fillcolor="#96DA9D" filled="t" stroked="f" coordsize="21600,21600">
                    <v:path/>
                    <v:fill on="t" focussize="0,0"/>
                    <v:stroke on="f" weight="2pt"/>
                    <v:imagedata o:title=""/>
                    <o:lock v:ext="edit"/>
                  </v:rect>
                  <v:rect id="矩形 14" o:spid="_x0000_s1046" o:spt="1" style="position:absolute;left:4577;top:52890;height:1123;width:8324;v-text-anchor:middle;" fillcolor="#AD002D" filled="t" stroked="t" coordsize="21600,21600">
                    <v:path/>
                    <v:fill on="t" focussize="0,0"/>
                    <v:stroke weight="2pt" color="#845209"/>
                    <v:imagedata o:title=""/>
                    <o:lock v:ext="edit"/>
                    <v:textbox style="mso-next-textbox:#矩形 14;">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widowControl/>
                            <w:jc w:val="left"/>
                            <w:rPr>
                              <w:rFonts w:ascii="楷体" w:hAnsi="楷体" w:eastAsia="楷体" w:cs="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w:t>
                          </w:r>
                          <w:r>
                            <w:rPr>
                              <w:rFonts w:ascii="楷体" w:hAnsi="楷体" w:eastAsia="楷体" w:cs="楷体"/>
                              <w:b/>
                              <w:bCs/>
                              <w:color w:val="FDEFBE"/>
                              <w:kern w:val="0"/>
                              <w:sz w:val="36"/>
                              <w:szCs w:val="36"/>
                            </w:rPr>
                            <w:t xml:space="preserve"> </w:t>
                          </w:r>
                          <w:r>
                            <w:rPr>
                              <w:rFonts w:hint="eastAsia" w:ascii="楷体" w:hAnsi="楷体" w:eastAsia="楷体" w:cs="楷体"/>
                              <w:b/>
                              <w:bCs/>
                              <w:color w:val="FDEFBE"/>
                              <w:kern w:val="0"/>
                              <w:sz w:val="36"/>
                              <w:szCs w:val="36"/>
                            </w:rPr>
                            <w:t>录</w:t>
                          </w:r>
                        </w:p>
                        <w:p>
                          <w:pPr>
                            <w:jc w:val="center"/>
                          </w:pPr>
                        </w:p>
                      </w:txbxContent>
                    </v:textbox>
                  </v:rect>
                  <w10:anchorlock/>
                </v:group>
              </w:pict>
            </w:r>
            <w:r>
              <w:rPr>
                <w:rFonts w:hint="eastAsia" w:ascii="黑体" w:hAnsi="宋体" w:eastAsia="黑体" w:cs="黑体"/>
                <w:color w:val="000000"/>
                <w:kern w:val="0"/>
                <w:sz w:val="40"/>
                <w:szCs w:val="40"/>
              </w:rPr>
              <w:t>算表</w:t>
            </w:r>
          </w:p>
        </w:tc>
      </w:tr>
      <w:tr>
        <w:tblPrEx>
          <w:tblCellMar>
            <w:top w:w="0" w:type="dxa"/>
            <w:left w:w="0" w:type="dxa"/>
            <w:bottom w:w="0" w:type="dxa"/>
            <w:right w:w="0" w:type="dxa"/>
          </w:tblCellMar>
        </w:tblPrEx>
        <w:trPr>
          <w:gridAfter w:val="1"/>
          <w:wAfter w:w="264" w:type="dxa"/>
          <w:trHeight w:val="362" w:hRule="atLeast"/>
          <w:jc w:val="center"/>
        </w:trPr>
        <w:tc>
          <w:tcPr>
            <w:tcW w:w="334"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45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216"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8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946"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4"/>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4"/>
            <w:tcBorders>
              <w:top w:val="nil"/>
              <w:left w:val="nil"/>
              <w:bottom w:val="nil"/>
              <w:right w:val="nil"/>
            </w:tcBorders>
            <w:noWrap/>
            <w:tcMar>
              <w:top w:w="15" w:type="dxa"/>
              <w:left w:w="15" w:type="dxa"/>
              <w:right w:w="15" w:type="dxa"/>
            </w:tcMar>
            <w:vAlign w:val="center"/>
          </w:tcPr>
          <w:p>
            <w:pPr>
              <w:widowControl/>
              <w:spacing w:after="0" w:line="240" w:lineRule="atLeast"/>
              <w:ind w:right="315"/>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02</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2" w:hRule="atLeast"/>
          <w:jc w:val="center"/>
        </w:trPr>
        <w:tc>
          <w:tcPr>
            <w:tcW w:w="2884"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保定市满城区林业局</w:t>
            </w:r>
          </w:p>
        </w:tc>
        <w:tc>
          <w:tcPr>
            <w:tcW w:w="1302"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995"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415" w:type="dxa"/>
            <w:gridSpan w:val="8"/>
            <w:tcBorders>
              <w:top w:val="nil"/>
              <w:left w:val="nil"/>
              <w:bottom w:val="nil"/>
              <w:right w:val="nil"/>
            </w:tcBorders>
            <w:noWrap/>
            <w:tcMar>
              <w:top w:w="15" w:type="dxa"/>
              <w:left w:w="15" w:type="dxa"/>
              <w:right w:w="15" w:type="dxa"/>
            </w:tcMar>
            <w:vAlign w:val="center"/>
          </w:tcPr>
          <w:p>
            <w:pPr>
              <w:widowControl/>
              <w:spacing w:after="0" w:line="240" w:lineRule="atLeast"/>
              <w:ind w:right="630"/>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gridAfter w:val="2"/>
          <w:wAfter w:w="594" w:type="dxa"/>
          <w:trHeight w:val="325" w:hRule="atLeast"/>
          <w:jc w:val="center"/>
        </w:trPr>
        <w:tc>
          <w:tcPr>
            <w:tcW w:w="4186" w:type="dxa"/>
            <w:gridSpan w:val="5"/>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项目</w:t>
            </w:r>
          </w:p>
        </w:tc>
        <w:tc>
          <w:tcPr>
            <w:tcW w:w="995" w:type="dxa"/>
            <w:gridSpan w:val="3"/>
            <w:vMerge w:val="restart"/>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978" w:type="dxa"/>
            <w:gridSpan w:val="3"/>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财政拨款收入</w:t>
            </w:r>
          </w:p>
        </w:tc>
        <w:tc>
          <w:tcPr>
            <w:tcW w:w="993" w:type="dxa"/>
            <w:gridSpan w:val="4"/>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上级补助收入</w:t>
            </w:r>
          </w:p>
        </w:tc>
        <w:tc>
          <w:tcPr>
            <w:tcW w:w="567" w:type="dxa"/>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事业收入</w:t>
            </w:r>
          </w:p>
        </w:tc>
        <w:tc>
          <w:tcPr>
            <w:tcW w:w="567"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经营收入</w:t>
            </w:r>
          </w:p>
        </w:tc>
        <w:tc>
          <w:tcPr>
            <w:tcW w:w="992" w:type="dxa"/>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附属单位上缴收入</w:t>
            </w:r>
          </w:p>
        </w:tc>
        <w:tc>
          <w:tcPr>
            <w:tcW w:w="543" w:type="dxa"/>
            <w:vMerge w:val="restart"/>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gridAfter w:val="2"/>
          <w:wAfter w:w="594" w:type="dxa"/>
          <w:trHeight w:val="626" w:hRule="atLeast"/>
          <w:jc w:val="center"/>
        </w:trPr>
        <w:tc>
          <w:tcPr>
            <w:tcW w:w="970"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功能分类科目编码</w:t>
            </w:r>
          </w:p>
        </w:tc>
        <w:tc>
          <w:tcPr>
            <w:tcW w:w="3216" w:type="dxa"/>
            <w:gridSpan w:val="2"/>
            <w:tcBorders>
              <w:top w:val="nil"/>
              <w:left w:val="nil"/>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科目名称</w:t>
            </w:r>
          </w:p>
        </w:tc>
        <w:tc>
          <w:tcPr>
            <w:tcW w:w="995" w:type="dxa"/>
            <w:gridSpan w:val="3"/>
            <w:vMerge w:val="continue"/>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 w:val="20"/>
                <w:szCs w:val="20"/>
              </w:rPr>
            </w:pPr>
          </w:p>
        </w:tc>
        <w:tc>
          <w:tcPr>
            <w:tcW w:w="978" w:type="dxa"/>
            <w:gridSpan w:val="3"/>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93" w:type="dxa"/>
            <w:gridSpan w:val="4"/>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567"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567"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92"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543" w:type="dxa"/>
            <w:vMerge w:val="continue"/>
            <w:tcBorders>
              <w:top w:val="single" w:color="auto" w:sz="4" w:space="0"/>
              <w:left w:val="nil"/>
              <w:bottom w:val="single" w:color="000000"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r>
      <w:tr>
        <w:tblPrEx>
          <w:tblCellMar>
            <w:top w:w="0" w:type="dxa"/>
            <w:left w:w="0" w:type="dxa"/>
            <w:bottom w:w="0" w:type="dxa"/>
            <w:right w:w="0" w:type="dxa"/>
          </w:tblCellMar>
        </w:tblPrEx>
        <w:trPr>
          <w:gridAfter w:val="2"/>
          <w:wAfter w:w="594" w:type="dxa"/>
          <w:trHeight w:val="391" w:hRule="atLeast"/>
          <w:jc w:val="center"/>
        </w:trPr>
        <w:tc>
          <w:tcPr>
            <w:tcW w:w="4186"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995"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97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993"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5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567"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5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r>
      <w:tr>
        <w:tblPrEx>
          <w:tblCellMar>
            <w:top w:w="0" w:type="dxa"/>
            <w:left w:w="0" w:type="dxa"/>
            <w:bottom w:w="0" w:type="dxa"/>
            <w:right w:w="0" w:type="dxa"/>
          </w:tblCellMar>
        </w:tblPrEx>
        <w:trPr>
          <w:gridAfter w:val="2"/>
          <w:wAfter w:w="594" w:type="dxa"/>
          <w:trHeight w:val="90" w:hRule="atLeast"/>
          <w:jc w:val="center"/>
        </w:trPr>
        <w:tc>
          <w:tcPr>
            <w:tcW w:w="4186"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995" w:type="dxa"/>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b/>
                <w:color w:val="000000"/>
                <w:sz w:val="18"/>
                <w:szCs w:val="18"/>
              </w:rPr>
            </w:pPr>
            <w:r>
              <w:rPr>
                <w:rFonts w:ascii="宋体" w:cs="宋体"/>
                <w:b/>
                <w:color w:val="000000"/>
                <w:sz w:val="18"/>
                <w:szCs w:val="18"/>
              </w:rPr>
              <w:t>3390.66</w:t>
            </w:r>
          </w:p>
        </w:tc>
        <w:tc>
          <w:tcPr>
            <w:tcW w:w="978" w:type="dxa"/>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b/>
                <w:color w:val="000000"/>
                <w:sz w:val="18"/>
                <w:szCs w:val="18"/>
              </w:rPr>
            </w:pPr>
            <w:r>
              <w:rPr>
                <w:rFonts w:ascii="宋体" w:cs="宋体"/>
                <w:b/>
                <w:color w:val="000000"/>
                <w:sz w:val="18"/>
                <w:szCs w:val="18"/>
              </w:rPr>
              <w:t>3390.66</w:t>
            </w:r>
          </w:p>
        </w:tc>
        <w:tc>
          <w:tcPr>
            <w:tcW w:w="993" w:type="dxa"/>
            <w:gridSpan w:val="4"/>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567"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567"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92"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543"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r>
      <w:tr>
        <w:tblPrEx>
          <w:tblCellMar>
            <w:top w:w="0" w:type="dxa"/>
            <w:left w:w="0" w:type="dxa"/>
            <w:bottom w:w="0" w:type="dxa"/>
            <w:right w:w="0" w:type="dxa"/>
          </w:tblCellMar>
        </w:tblPrEx>
        <w:trPr>
          <w:gridAfter w:val="2"/>
          <w:wAfter w:w="594" w:type="dxa"/>
          <w:trHeight w:val="349" w:hRule="atLeast"/>
          <w:jc w:val="center"/>
        </w:trPr>
        <w:tc>
          <w:tcPr>
            <w:tcW w:w="97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206</w:t>
            </w:r>
          </w:p>
        </w:tc>
        <w:tc>
          <w:tcPr>
            <w:tcW w:w="321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科学技术支出</w:t>
            </w:r>
          </w:p>
        </w:tc>
        <w:tc>
          <w:tcPr>
            <w:tcW w:w="9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6.00</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6.00</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r>
      <w:tr>
        <w:tblPrEx>
          <w:tblCellMar>
            <w:top w:w="0" w:type="dxa"/>
            <w:left w:w="0" w:type="dxa"/>
            <w:bottom w:w="0" w:type="dxa"/>
            <w:right w:w="0" w:type="dxa"/>
          </w:tblCellMar>
        </w:tblPrEx>
        <w:trPr>
          <w:gridAfter w:val="2"/>
          <w:wAfter w:w="594" w:type="dxa"/>
          <w:trHeight w:val="349" w:hRule="atLeast"/>
          <w:jc w:val="center"/>
        </w:trPr>
        <w:tc>
          <w:tcPr>
            <w:tcW w:w="97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20699</w:t>
            </w:r>
          </w:p>
        </w:tc>
        <w:tc>
          <w:tcPr>
            <w:tcW w:w="321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其他科学技术支出</w:t>
            </w:r>
          </w:p>
        </w:tc>
        <w:tc>
          <w:tcPr>
            <w:tcW w:w="9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6.00</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6.00</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r>
      <w:tr>
        <w:tblPrEx>
          <w:tblCellMar>
            <w:top w:w="0" w:type="dxa"/>
            <w:left w:w="0" w:type="dxa"/>
            <w:bottom w:w="0" w:type="dxa"/>
            <w:right w:w="0" w:type="dxa"/>
          </w:tblCellMar>
        </w:tblPrEx>
        <w:trPr>
          <w:gridAfter w:val="2"/>
          <w:wAfter w:w="594" w:type="dxa"/>
          <w:trHeight w:val="349" w:hRule="atLeast"/>
          <w:jc w:val="center"/>
        </w:trPr>
        <w:tc>
          <w:tcPr>
            <w:tcW w:w="97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2069901</w:t>
            </w:r>
          </w:p>
        </w:tc>
        <w:tc>
          <w:tcPr>
            <w:tcW w:w="321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科技奖励</w:t>
            </w:r>
          </w:p>
        </w:tc>
        <w:tc>
          <w:tcPr>
            <w:tcW w:w="9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6.00</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6.00</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r>
      <w:tr>
        <w:tblPrEx>
          <w:tblCellMar>
            <w:top w:w="0" w:type="dxa"/>
            <w:left w:w="0" w:type="dxa"/>
            <w:bottom w:w="0" w:type="dxa"/>
            <w:right w:w="0" w:type="dxa"/>
          </w:tblCellMar>
        </w:tblPrEx>
        <w:trPr>
          <w:gridAfter w:val="2"/>
          <w:wAfter w:w="594" w:type="dxa"/>
          <w:trHeight w:val="349" w:hRule="atLeast"/>
          <w:jc w:val="center"/>
        </w:trPr>
        <w:tc>
          <w:tcPr>
            <w:tcW w:w="97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211</w:t>
            </w:r>
          </w:p>
        </w:tc>
        <w:tc>
          <w:tcPr>
            <w:tcW w:w="321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节能环保支出</w:t>
            </w:r>
          </w:p>
        </w:tc>
        <w:tc>
          <w:tcPr>
            <w:tcW w:w="9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148.46</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148.46</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r>
      <w:tr>
        <w:tblPrEx>
          <w:tblCellMar>
            <w:top w:w="0" w:type="dxa"/>
            <w:left w:w="0" w:type="dxa"/>
            <w:bottom w:w="0" w:type="dxa"/>
            <w:right w:w="0" w:type="dxa"/>
          </w:tblCellMar>
        </w:tblPrEx>
        <w:trPr>
          <w:gridAfter w:val="2"/>
          <w:wAfter w:w="594" w:type="dxa"/>
          <w:trHeight w:val="349" w:hRule="atLeast"/>
          <w:jc w:val="center"/>
        </w:trPr>
        <w:tc>
          <w:tcPr>
            <w:tcW w:w="97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21105</w:t>
            </w:r>
          </w:p>
        </w:tc>
        <w:tc>
          <w:tcPr>
            <w:tcW w:w="321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天然林保护</w:t>
            </w:r>
          </w:p>
        </w:tc>
        <w:tc>
          <w:tcPr>
            <w:tcW w:w="9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1.44</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1.44</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r>
      <w:tr>
        <w:tblPrEx>
          <w:tblCellMar>
            <w:top w:w="0" w:type="dxa"/>
            <w:left w:w="0" w:type="dxa"/>
            <w:bottom w:w="0" w:type="dxa"/>
            <w:right w:w="0" w:type="dxa"/>
          </w:tblCellMar>
        </w:tblPrEx>
        <w:trPr>
          <w:gridAfter w:val="2"/>
          <w:wAfter w:w="594" w:type="dxa"/>
          <w:trHeight w:val="349" w:hRule="atLeast"/>
          <w:jc w:val="center"/>
        </w:trPr>
        <w:tc>
          <w:tcPr>
            <w:tcW w:w="97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2110599</w:t>
            </w:r>
          </w:p>
        </w:tc>
        <w:tc>
          <w:tcPr>
            <w:tcW w:w="321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其他天然林保护支出</w:t>
            </w:r>
          </w:p>
        </w:tc>
        <w:tc>
          <w:tcPr>
            <w:tcW w:w="9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1.44</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1.44</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r>
      <w:tr>
        <w:tblPrEx>
          <w:tblCellMar>
            <w:top w:w="0" w:type="dxa"/>
            <w:left w:w="0" w:type="dxa"/>
            <w:bottom w:w="0" w:type="dxa"/>
            <w:right w:w="0" w:type="dxa"/>
          </w:tblCellMar>
        </w:tblPrEx>
        <w:trPr>
          <w:gridAfter w:val="2"/>
          <w:wAfter w:w="594" w:type="dxa"/>
          <w:trHeight w:val="349" w:hRule="atLeast"/>
          <w:jc w:val="center"/>
        </w:trPr>
        <w:tc>
          <w:tcPr>
            <w:tcW w:w="97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21106</w:t>
            </w:r>
          </w:p>
        </w:tc>
        <w:tc>
          <w:tcPr>
            <w:tcW w:w="321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退耕还林</w:t>
            </w:r>
          </w:p>
        </w:tc>
        <w:tc>
          <w:tcPr>
            <w:tcW w:w="9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147.02</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147.02</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r>
      <w:tr>
        <w:tblPrEx>
          <w:tblCellMar>
            <w:top w:w="0" w:type="dxa"/>
            <w:left w:w="0" w:type="dxa"/>
            <w:bottom w:w="0" w:type="dxa"/>
            <w:right w:w="0" w:type="dxa"/>
          </w:tblCellMar>
        </w:tblPrEx>
        <w:trPr>
          <w:gridAfter w:val="2"/>
          <w:wAfter w:w="594" w:type="dxa"/>
          <w:trHeight w:val="349" w:hRule="atLeast"/>
          <w:jc w:val="center"/>
        </w:trPr>
        <w:tc>
          <w:tcPr>
            <w:tcW w:w="97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2110602</w:t>
            </w:r>
          </w:p>
        </w:tc>
        <w:tc>
          <w:tcPr>
            <w:tcW w:w="321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退耕现金</w:t>
            </w:r>
          </w:p>
        </w:tc>
        <w:tc>
          <w:tcPr>
            <w:tcW w:w="9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147.02</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147.02</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r>
      <w:tr>
        <w:tblPrEx>
          <w:tblCellMar>
            <w:top w:w="0" w:type="dxa"/>
            <w:left w:w="0" w:type="dxa"/>
            <w:bottom w:w="0" w:type="dxa"/>
            <w:right w:w="0" w:type="dxa"/>
          </w:tblCellMar>
        </w:tblPrEx>
        <w:trPr>
          <w:gridAfter w:val="2"/>
          <w:wAfter w:w="594" w:type="dxa"/>
          <w:trHeight w:val="349" w:hRule="atLeast"/>
          <w:jc w:val="center"/>
        </w:trPr>
        <w:tc>
          <w:tcPr>
            <w:tcW w:w="97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212</w:t>
            </w:r>
          </w:p>
        </w:tc>
        <w:tc>
          <w:tcPr>
            <w:tcW w:w="321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城乡社区支出</w:t>
            </w:r>
          </w:p>
        </w:tc>
        <w:tc>
          <w:tcPr>
            <w:tcW w:w="9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1032.00</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1032.00</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r>
      <w:tr>
        <w:tblPrEx>
          <w:tblCellMar>
            <w:top w:w="0" w:type="dxa"/>
            <w:left w:w="0" w:type="dxa"/>
            <w:bottom w:w="0" w:type="dxa"/>
            <w:right w:w="0" w:type="dxa"/>
          </w:tblCellMar>
        </w:tblPrEx>
        <w:trPr>
          <w:gridAfter w:val="2"/>
          <w:wAfter w:w="594" w:type="dxa"/>
          <w:trHeight w:val="371" w:hRule="atLeast"/>
          <w:jc w:val="center"/>
        </w:trPr>
        <w:tc>
          <w:tcPr>
            <w:tcW w:w="97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21208</w:t>
            </w:r>
          </w:p>
        </w:tc>
        <w:tc>
          <w:tcPr>
            <w:tcW w:w="321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国有土地使用权出让收入及对应专项债务收入安排的支出</w:t>
            </w:r>
          </w:p>
        </w:tc>
        <w:tc>
          <w:tcPr>
            <w:tcW w:w="9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1032.00</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1032.00</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r>
      <w:tr>
        <w:tblPrEx>
          <w:tblCellMar>
            <w:top w:w="0" w:type="dxa"/>
            <w:left w:w="0" w:type="dxa"/>
            <w:bottom w:w="0" w:type="dxa"/>
            <w:right w:w="0" w:type="dxa"/>
          </w:tblCellMar>
        </w:tblPrEx>
        <w:trPr>
          <w:gridAfter w:val="2"/>
          <w:wAfter w:w="594" w:type="dxa"/>
          <w:trHeight w:val="361" w:hRule="atLeast"/>
          <w:jc w:val="center"/>
        </w:trPr>
        <w:tc>
          <w:tcPr>
            <w:tcW w:w="97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2120803</w:t>
            </w:r>
          </w:p>
        </w:tc>
        <w:tc>
          <w:tcPr>
            <w:tcW w:w="321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城市建设支出</w:t>
            </w:r>
          </w:p>
        </w:tc>
        <w:tc>
          <w:tcPr>
            <w:tcW w:w="9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1032.00</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1032.00</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r>
      <w:tr>
        <w:tblPrEx>
          <w:tblCellMar>
            <w:top w:w="0" w:type="dxa"/>
            <w:left w:w="0" w:type="dxa"/>
            <w:bottom w:w="0" w:type="dxa"/>
            <w:right w:w="0" w:type="dxa"/>
          </w:tblCellMar>
        </w:tblPrEx>
        <w:trPr>
          <w:gridAfter w:val="2"/>
          <w:wAfter w:w="594" w:type="dxa"/>
          <w:trHeight w:val="361" w:hRule="atLeast"/>
          <w:jc w:val="center"/>
        </w:trPr>
        <w:tc>
          <w:tcPr>
            <w:tcW w:w="97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w:t>
            </w:r>
          </w:p>
        </w:tc>
        <w:tc>
          <w:tcPr>
            <w:tcW w:w="321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农林水支出</w:t>
            </w:r>
          </w:p>
        </w:tc>
        <w:tc>
          <w:tcPr>
            <w:tcW w:w="9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2204.20</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2204.20</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r>
      <w:tr>
        <w:tblPrEx>
          <w:tblCellMar>
            <w:top w:w="0" w:type="dxa"/>
            <w:left w:w="0" w:type="dxa"/>
            <w:bottom w:w="0" w:type="dxa"/>
            <w:right w:w="0" w:type="dxa"/>
          </w:tblCellMar>
        </w:tblPrEx>
        <w:trPr>
          <w:gridAfter w:val="2"/>
          <w:wAfter w:w="594" w:type="dxa"/>
          <w:trHeight w:val="361" w:hRule="atLeast"/>
          <w:jc w:val="center"/>
        </w:trPr>
        <w:tc>
          <w:tcPr>
            <w:tcW w:w="97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21302</w:t>
            </w:r>
          </w:p>
        </w:tc>
        <w:tc>
          <w:tcPr>
            <w:tcW w:w="321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林业</w:t>
            </w:r>
          </w:p>
        </w:tc>
        <w:tc>
          <w:tcPr>
            <w:tcW w:w="9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2162.20</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2162.20</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r>
      <w:tr>
        <w:tblPrEx>
          <w:tblCellMar>
            <w:top w:w="0" w:type="dxa"/>
            <w:left w:w="0" w:type="dxa"/>
            <w:bottom w:w="0" w:type="dxa"/>
            <w:right w:w="0" w:type="dxa"/>
          </w:tblCellMar>
        </w:tblPrEx>
        <w:trPr>
          <w:gridAfter w:val="2"/>
          <w:wAfter w:w="594" w:type="dxa"/>
          <w:trHeight w:val="361" w:hRule="atLeast"/>
          <w:jc w:val="center"/>
        </w:trPr>
        <w:tc>
          <w:tcPr>
            <w:tcW w:w="97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2130201</w:t>
            </w:r>
          </w:p>
        </w:tc>
        <w:tc>
          <w:tcPr>
            <w:tcW w:w="321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行政运行</w:t>
            </w:r>
          </w:p>
        </w:tc>
        <w:tc>
          <w:tcPr>
            <w:tcW w:w="9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136.63</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136.63</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r>
      <w:tr>
        <w:tblPrEx>
          <w:tblCellMar>
            <w:top w:w="0" w:type="dxa"/>
            <w:left w:w="0" w:type="dxa"/>
            <w:bottom w:w="0" w:type="dxa"/>
            <w:right w:w="0" w:type="dxa"/>
          </w:tblCellMar>
        </w:tblPrEx>
        <w:trPr>
          <w:gridAfter w:val="2"/>
          <w:wAfter w:w="594" w:type="dxa"/>
          <w:trHeight w:val="361" w:hRule="atLeast"/>
          <w:jc w:val="center"/>
        </w:trPr>
        <w:tc>
          <w:tcPr>
            <w:tcW w:w="97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2130204</w:t>
            </w:r>
          </w:p>
        </w:tc>
        <w:tc>
          <w:tcPr>
            <w:tcW w:w="321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林业事业机构</w:t>
            </w:r>
          </w:p>
        </w:tc>
        <w:tc>
          <w:tcPr>
            <w:tcW w:w="9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104.71</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104.71</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r>
      <w:tr>
        <w:tblPrEx>
          <w:tblCellMar>
            <w:top w:w="0" w:type="dxa"/>
            <w:left w:w="0" w:type="dxa"/>
            <w:bottom w:w="0" w:type="dxa"/>
            <w:right w:w="0" w:type="dxa"/>
          </w:tblCellMar>
        </w:tblPrEx>
        <w:trPr>
          <w:gridAfter w:val="2"/>
          <w:wAfter w:w="594" w:type="dxa"/>
          <w:trHeight w:val="361" w:hRule="atLeast"/>
          <w:jc w:val="center"/>
        </w:trPr>
        <w:tc>
          <w:tcPr>
            <w:tcW w:w="97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2130205</w:t>
            </w:r>
          </w:p>
        </w:tc>
        <w:tc>
          <w:tcPr>
            <w:tcW w:w="321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森林培育</w:t>
            </w:r>
          </w:p>
        </w:tc>
        <w:tc>
          <w:tcPr>
            <w:tcW w:w="9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927.11</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927.11</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r>
      <w:tr>
        <w:tblPrEx>
          <w:tblCellMar>
            <w:top w:w="0" w:type="dxa"/>
            <w:left w:w="0" w:type="dxa"/>
            <w:bottom w:w="0" w:type="dxa"/>
            <w:right w:w="0" w:type="dxa"/>
          </w:tblCellMar>
        </w:tblPrEx>
        <w:trPr>
          <w:gridAfter w:val="2"/>
          <w:wAfter w:w="594" w:type="dxa"/>
          <w:trHeight w:val="361" w:hRule="atLeast"/>
          <w:jc w:val="center"/>
        </w:trPr>
        <w:tc>
          <w:tcPr>
            <w:tcW w:w="97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2130208</w:t>
            </w:r>
          </w:p>
        </w:tc>
        <w:tc>
          <w:tcPr>
            <w:tcW w:w="321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森林资源监测</w:t>
            </w:r>
          </w:p>
        </w:tc>
        <w:tc>
          <w:tcPr>
            <w:tcW w:w="9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4.45</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4.45</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r>
      <w:tr>
        <w:tblPrEx>
          <w:tblCellMar>
            <w:top w:w="0" w:type="dxa"/>
            <w:left w:w="0" w:type="dxa"/>
            <w:bottom w:w="0" w:type="dxa"/>
            <w:right w:w="0" w:type="dxa"/>
          </w:tblCellMar>
        </w:tblPrEx>
        <w:trPr>
          <w:gridAfter w:val="2"/>
          <w:wAfter w:w="594" w:type="dxa"/>
          <w:trHeight w:val="361" w:hRule="atLeast"/>
          <w:jc w:val="center"/>
        </w:trPr>
        <w:tc>
          <w:tcPr>
            <w:tcW w:w="97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2130209</w:t>
            </w:r>
          </w:p>
        </w:tc>
        <w:tc>
          <w:tcPr>
            <w:tcW w:w="321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森林生态效益补偿</w:t>
            </w:r>
          </w:p>
        </w:tc>
        <w:tc>
          <w:tcPr>
            <w:tcW w:w="9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16.05</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16.05</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r>
      <w:tr>
        <w:tblPrEx>
          <w:tblCellMar>
            <w:top w:w="0" w:type="dxa"/>
            <w:left w:w="0" w:type="dxa"/>
            <w:bottom w:w="0" w:type="dxa"/>
            <w:right w:w="0" w:type="dxa"/>
          </w:tblCellMar>
        </w:tblPrEx>
        <w:trPr>
          <w:gridAfter w:val="2"/>
          <w:wAfter w:w="594" w:type="dxa"/>
          <w:trHeight w:val="361" w:hRule="atLeast"/>
          <w:jc w:val="center"/>
        </w:trPr>
        <w:tc>
          <w:tcPr>
            <w:tcW w:w="97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2130213</w:t>
            </w:r>
          </w:p>
        </w:tc>
        <w:tc>
          <w:tcPr>
            <w:tcW w:w="321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林业执法与监督</w:t>
            </w:r>
          </w:p>
        </w:tc>
        <w:tc>
          <w:tcPr>
            <w:tcW w:w="9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9.00</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9.00</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r>
      <w:tr>
        <w:tblPrEx>
          <w:tblCellMar>
            <w:top w:w="0" w:type="dxa"/>
            <w:left w:w="0" w:type="dxa"/>
            <w:bottom w:w="0" w:type="dxa"/>
            <w:right w:w="0" w:type="dxa"/>
          </w:tblCellMar>
        </w:tblPrEx>
        <w:trPr>
          <w:gridAfter w:val="2"/>
          <w:wAfter w:w="594" w:type="dxa"/>
          <w:trHeight w:val="361" w:hRule="atLeast"/>
          <w:jc w:val="center"/>
        </w:trPr>
        <w:tc>
          <w:tcPr>
            <w:tcW w:w="97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2130234</w:t>
            </w:r>
          </w:p>
        </w:tc>
        <w:tc>
          <w:tcPr>
            <w:tcW w:w="321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林业防灾减灾</w:t>
            </w:r>
          </w:p>
        </w:tc>
        <w:tc>
          <w:tcPr>
            <w:tcW w:w="9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85.00</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85.00</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r>
      <w:tr>
        <w:tblPrEx>
          <w:tblCellMar>
            <w:top w:w="0" w:type="dxa"/>
            <w:left w:w="0" w:type="dxa"/>
            <w:bottom w:w="0" w:type="dxa"/>
            <w:right w:w="0" w:type="dxa"/>
          </w:tblCellMar>
        </w:tblPrEx>
        <w:trPr>
          <w:gridAfter w:val="2"/>
          <w:wAfter w:w="594" w:type="dxa"/>
          <w:trHeight w:val="361" w:hRule="atLeast"/>
          <w:jc w:val="center"/>
        </w:trPr>
        <w:tc>
          <w:tcPr>
            <w:tcW w:w="97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2130299</w:t>
            </w:r>
          </w:p>
        </w:tc>
        <w:tc>
          <w:tcPr>
            <w:tcW w:w="321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其他林业支出</w:t>
            </w:r>
          </w:p>
        </w:tc>
        <w:tc>
          <w:tcPr>
            <w:tcW w:w="9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879.25</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879.25</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r>
      <w:tr>
        <w:tblPrEx>
          <w:tblCellMar>
            <w:top w:w="0" w:type="dxa"/>
            <w:left w:w="0" w:type="dxa"/>
            <w:bottom w:w="0" w:type="dxa"/>
            <w:right w:w="0" w:type="dxa"/>
          </w:tblCellMar>
        </w:tblPrEx>
        <w:trPr>
          <w:gridAfter w:val="2"/>
          <w:wAfter w:w="594" w:type="dxa"/>
          <w:trHeight w:val="361" w:hRule="atLeast"/>
          <w:jc w:val="center"/>
        </w:trPr>
        <w:tc>
          <w:tcPr>
            <w:tcW w:w="97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21305</w:t>
            </w:r>
          </w:p>
        </w:tc>
        <w:tc>
          <w:tcPr>
            <w:tcW w:w="321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扶贫</w:t>
            </w:r>
          </w:p>
        </w:tc>
        <w:tc>
          <w:tcPr>
            <w:tcW w:w="9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42.00</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42.00</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r>
      <w:tr>
        <w:tblPrEx>
          <w:tblCellMar>
            <w:top w:w="0" w:type="dxa"/>
            <w:left w:w="0" w:type="dxa"/>
            <w:bottom w:w="0" w:type="dxa"/>
            <w:right w:w="0" w:type="dxa"/>
          </w:tblCellMar>
        </w:tblPrEx>
        <w:trPr>
          <w:gridAfter w:val="2"/>
          <w:wAfter w:w="594" w:type="dxa"/>
          <w:trHeight w:val="361" w:hRule="atLeast"/>
          <w:jc w:val="center"/>
        </w:trPr>
        <w:tc>
          <w:tcPr>
            <w:tcW w:w="97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2130599</w:t>
            </w:r>
          </w:p>
        </w:tc>
        <w:tc>
          <w:tcPr>
            <w:tcW w:w="321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其他扶贫支出</w:t>
            </w:r>
          </w:p>
        </w:tc>
        <w:tc>
          <w:tcPr>
            <w:tcW w:w="9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42.00</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42.00</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r>
      <w:tr>
        <w:tblPrEx>
          <w:tblCellMar>
            <w:top w:w="0" w:type="dxa"/>
            <w:left w:w="0" w:type="dxa"/>
            <w:bottom w:w="0" w:type="dxa"/>
            <w:right w:w="0" w:type="dxa"/>
          </w:tblCellMar>
        </w:tblPrEx>
        <w:trPr>
          <w:gridAfter w:val="2"/>
          <w:wAfter w:w="594" w:type="dxa"/>
          <w:trHeight w:val="481" w:hRule="atLeast"/>
          <w:jc w:val="center"/>
        </w:trPr>
        <w:tc>
          <w:tcPr>
            <w:tcW w:w="9821" w:type="dxa"/>
            <w:gridSpan w:val="20"/>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640" w:type="dxa"/>
        <w:tblInd w:w="-411" w:type="dxa"/>
        <w:tblLayout w:type="fixed"/>
        <w:tblCellMar>
          <w:top w:w="0" w:type="dxa"/>
          <w:left w:w="0" w:type="dxa"/>
          <w:bottom w:w="0" w:type="dxa"/>
          <w:right w:w="0" w:type="dxa"/>
        </w:tblCellMar>
      </w:tblPr>
      <w:tblGrid>
        <w:gridCol w:w="697"/>
        <w:gridCol w:w="294"/>
        <w:gridCol w:w="803"/>
        <w:gridCol w:w="1115"/>
        <w:gridCol w:w="647"/>
        <w:gridCol w:w="414"/>
        <w:gridCol w:w="992"/>
        <w:gridCol w:w="834"/>
        <w:gridCol w:w="159"/>
        <w:gridCol w:w="959"/>
        <w:gridCol w:w="33"/>
        <w:gridCol w:w="992"/>
        <w:gridCol w:w="95"/>
        <w:gridCol w:w="472"/>
        <w:gridCol w:w="1134"/>
      </w:tblGrid>
      <w:tr>
        <w:tblPrEx>
          <w:tblCellMar>
            <w:top w:w="0" w:type="dxa"/>
            <w:left w:w="0" w:type="dxa"/>
            <w:bottom w:w="0" w:type="dxa"/>
            <w:right w:w="0" w:type="dxa"/>
          </w:tblCellMar>
        </w:tblPrEx>
        <w:trPr>
          <w:trHeight w:val="798" w:hRule="atLeast"/>
        </w:trPr>
        <w:tc>
          <w:tcPr>
            <w:tcW w:w="9640" w:type="dxa"/>
            <w:gridSpan w:val="15"/>
            <w:tcBorders>
              <w:top w:val="nil"/>
              <w:left w:val="nil"/>
              <w:bottom w:val="nil"/>
              <w:right w:val="nil"/>
            </w:tcBorders>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w:t>
            </w:r>
            <w:r>
              <w:pict>
                <v:group id="组合 38" o:spid="_x0000_s1047" o:spt="203" style="position:absolute;left:0pt;margin-left:-58.65pt;margin-top:-80.1pt;height:41.2pt;width:243.2pt;mso-position-vertical-relative:page;z-index:1024;mso-width-relative:page;mso-height-relative:page;" coordorigin="4551,52615" coordsize="8546,1398">
                  <o:lock v:ext="edit"/>
                  <v:rect id="矩形 13" o:spid="_x0000_s1048" o:spt="1" style="position:absolute;left:4551;top:52615;height:1175;width:8546;v-text-anchor:middle;" fillcolor="#96DA9D" filled="t" stroked="f" coordsize="21600,21600">
                    <v:path/>
                    <v:fill on="t" focussize="0,0"/>
                    <v:stroke on="f" weight="2pt"/>
                    <v:imagedata o:title=""/>
                    <o:lock v:ext="edit"/>
                  </v:rect>
                  <v:rect id="矩形 14" o:spid="_x0000_s1049"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表</w:t>
            </w:r>
          </w:p>
        </w:tc>
      </w:tr>
      <w:tr>
        <w:tblPrEx>
          <w:tblCellMar>
            <w:top w:w="0" w:type="dxa"/>
            <w:left w:w="0" w:type="dxa"/>
            <w:bottom w:w="0" w:type="dxa"/>
            <w:right w:w="0" w:type="dxa"/>
          </w:tblCellMar>
        </w:tblPrEx>
        <w:trPr>
          <w:trHeight w:val="404" w:hRule="atLeast"/>
        </w:trPr>
        <w:tc>
          <w:tcPr>
            <w:tcW w:w="69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94"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4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406"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34"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606"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03</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80" w:hRule="atLeast"/>
        </w:trPr>
        <w:tc>
          <w:tcPr>
            <w:tcW w:w="3556"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保定市满城区林业局</w:t>
            </w:r>
          </w:p>
        </w:tc>
        <w:tc>
          <w:tcPr>
            <w:tcW w:w="1406"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34"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726"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480" w:hRule="atLeast"/>
        </w:trPr>
        <w:tc>
          <w:tcPr>
            <w:tcW w:w="3970"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992" w:type="dxa"/>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本年支出合计</w:t>
            </w:r>
          </w:p>
        </w:tc>
        <w:tc>
          <w:tcPr>
            <w:tcW w:w="993"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992"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c>
          <w:tcPr>
            <w:tcW w:w="992" w:type="dxa"/>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上缴上级支出</w:t>
            </w:r>
          </w:p>
        </w:tc>
        <w:tc>
          <w:tcPr>
            <w:tcW w:w="567"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经营支出</w:t>
            </w:r>
          </w:p>
        </w:tc>
        <w:tc>
          <w:tcPr>
            <w:tcW w:w="1134" w:type="dxa"/>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696" w:hRule="atLeast"/>
        </w:trPr>
        <w:tc>
          <w:tcPr>
            <w:tcW w:w="991"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992" w:type="dxa"/>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993"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992"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992" w:type="dxa"/>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567"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134" w:type="dxa"/>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229" w:hRule="atLeast"/>
        </w:trPr>
        <w:tc>
          <w:tcPr>
            <w:tcW w:w="3970"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99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99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99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c>
          <w:tcPr>
            <w:tcW w:w="99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4</w:t>
            </w:r>
          </w:p>
        </w:tc>
        <w:tc>
          <w:tcPr>
            <w:tcW w:w="567"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5</w:t>
            </w:r>
          </w:p>
        </w:tc>
        <w:tc>
          <w:tcPr>
            <w:tcW w:w="113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262" w:hRule="atLeast"/>
        </w:trPr>
        <w:tc>
          <w:tcPr>
            <w:tcW w:w="3970"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合计</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b/>
                <w:color w:val="000000"/>
                <w:szCs w:val="21"/>
              </w:rPr>
            </w:pPr>
            <w:r>
              <w:rPr>
                <w:rFonts w:ascii="宋体" w:cs="宋体"/>
                <w:b/>
                <w:color w:val="000000"/>
                <w:szCs w:val="21"/>
              </w:rPr>
              <w:t>3390.66</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b/>
                <w:color w:val="000000"/>
                <w:szCs w:val="21"/>
              </w:rPr>
            </w:pPr>
            <w:r>
              <w:rPr>
                <w:rFonts w:ascii="宋体" w:cs="宋体"/>
                <w:b/>
                <w:color w:val="000000"/>
                <w:szCs w:val="21"/>
              </w:rPr>
              <w:t>1120.59</w:t>
            </w: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b/>
                <w:color w:val="000000"/>
                <w:szCs w:val="21"/>
              </w:rPr>
            </w:pPr>
            <w:r>
              <w:rPr>
                <w:rFonts w:ascii="宋体" w:cs="宋体"/>
                <w:b/>
                <w:color w:val="000000"/>
                <w:szCs w:val="21"/>
              </w:rPr>
              <w:t>2270.07</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r>
      <w:tr>
        <w:tblPrEx>
          <w:tblCellMar>
            <w:top w:w="0" w:type="dxa"/>
            <w:left w:w="0" w:type="dxa"/>
            <w:bottom w:w="0" w:type="dxa"/>
            <w:right w:w="0" w:type="dxa"/>
          </w:tblCellMar>
        </w:tblPrEx>
        <w:trPr>
          <w:trHeight w:val="345"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206</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科学技术支出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6.00</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6.00</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45"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20699</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其他科学技术支出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6.00</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6.00</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45"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2069901</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科技奖励</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6.00</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6.00</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45"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211</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节能环保支出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148.46</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148.46</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45"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21105</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天然林保护</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1.44</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1.44</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45"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2110599</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其他天然林保护支出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1.44</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1.44</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45"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21106</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退耕还林</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147.02</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147.02</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45"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2110602</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退耕现金</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147.02</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147.02</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45"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212</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城乡社区支出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1032.00</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1032.00</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21208</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国有土地使用权出让收入及对应专项债务收入安排的支出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1032.00</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1032.00</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33"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2120803</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城市建设支出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1032.00</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1032.00</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33"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农林水支出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2204.20</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1120.59</w:t>
            </w: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1083.61</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33"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21302</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林业</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2162.20</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1120.59</w:t>
            </w: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1041.61</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33"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2130201</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行政运行</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136.63</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136.63</w:t>
            </w: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33"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2130204</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林业事业机构</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104.71</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104.71</w:t>
            </w: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33"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2130205</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森林培育</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927.11</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927.11</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33"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2130208</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森林资源监测</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4.45</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4.45</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33"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2130209</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森林生态效益补偿</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16.05</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16.05</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33"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2130213</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林业执法与监督</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9.00</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9.00</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33"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2130234</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林业防灾减灾</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85.00</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85.00</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33"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2130299</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其他林业支出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879.25</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879.25</w:t>
            </w: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33"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21305</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扶贫</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42.00</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42.00</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33"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2130599</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其他扶贫支出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42.00</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42.00</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748" w:hRule="atLeast"/>
        </w:trPr>
        <w:tc>
          <w:tcPr>
            <w:tcW w:w="9640" w:type="dxa"/>
            <w:gridSpan w:val="1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w:t>
            </w:r>
            <w:r>
              <w:pict>
                <v:group id="组合 43" o:spid="_x0000_s1050" o:spt="203" style="position:absolute;left:0pt;margin-left:-80.9pt;margin-top:-81.1pt;height:41.2pt;width:243.2pt;mso-position-vertical-relative:page;z-index:1024;mso-width-relative:page;mso-height-relative:page;" coordorigin="4551,52615" coordsize="8546,1398">
                  <o:lock v:ext="edit"/>
                  <v:rect id="矩形 13" o:spid="_x0000_s1051" o:spt="1" style="position:absolute;left:4551;top:52615;height:1175;width:8546;v-text-anchor:middle;" fillcolor="#96DA9D" filled="t" stroked="f" coordsize="21600,21600">
                    <v:path/>
                    <v:fill on="t" focussize="0,0"/>
                    <v:stroke on="f" weight="2pt"/>
                    <v:imagedata o:title=""/>
                    <o:lock v:ext="edit"/>
                  </v:rect>
                  <v:rect id="矩形 14" o:spid="_x0000_s105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04</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20"/>
                <w:szCs w:val="20"/>
              </w:rPr>
            </w:pPr>
            <w:r>
              <w:rPr>
                <w:rFonts w:hint="eastAsia" w:ascii="宋体" w:hAnsi="宋体" w:cs="宋体"/>
                <w:color w:val="000000"/>
                <w:kern w:val="0"/>
                <w:sz w:val="20"/>
                <w:szCs w:val="20"/>
              </w:rPr>
              <w:t>部门：保定市满城区林业局</w:t>
            </w: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收</w:t>
            </w:r>
            <w:r>
              <w:rPr>
                <w:rFonts w:ascii="宋体" w:hAnsi="宋体" w:cs="宋体"/>
                <w:color w:val="000000"/>
                <w:kern w:val="0"/>
                <w:sz w:val="20"/>
                <w:szCs w:val="20"/>
              </w:rPr>
              <w:t xml:space="preserve">     </w:t>
            </w:r>
            <w:r>
              <w:rPr>
                <w:rFonts w:hint="eastAsia" w:ascii="宋体" w:hAnsi="宋体" w:cs="宋体"/>
                <w:color w:val="000000"/>
                <w:kern w:val="0"/>
                <w:sz w:val="20"/>
                <w:szCs w:val="20"/>
              </w:rPr>
              <w:t>入</w:t>
            </w:r>
          </w:p>
        </w:tc>
        <w:tc>
          <w:tcPr>
            <w:tcW w:w="6153"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支</w:t>
            </w:r>
            <w:r>
              <w:rPr>
                <w:rFonts w:ascii="宋体" w:hAnsi="宋体" w:cs="宋体"/>
                <w:color w:val="000000"/>
                <w:kern w:val="0"/>
                <w:sz w:val="20"/>
                <w:szCs w:val="20"/>
              </w:rPr>
              <w:t xml:space="preserve">     </w:t>
            </w:r>
            <w:r>
              <w:rPr>
                <w:rFonts w:hint="eastAsia" w:ascii="宋体" w:hAnsi="宋体" w:cs="宋体"/>
                <w:color w:val="000000"/>
                <w:kern w:val="0"/>
                <w:sz w:val="20"/>
                <w:szCs w:val="20"/>
              </w:rPr>
              <w:t>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ascii="宋体" w:cs="宋体"/>
                <w:color w:val="000000"/>
                <w:sz w:val="18"/>
                <w:szCs w:val="18"/>
              </w:rPr>
              <w:t>2358.66</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ascii="宋体" w:cs="宋体"/>
                <w:color w:val="000000"/>
                <w:sz w:val="18"/>
                <w:szCs w:val="18"/>
              </w:rPr>
              <w:t>1032.00</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ascii="宋体" w:cs="宋体"/>
                <w:color w:val="000000"/>
                <w:sz w:val="18"/>
                <w:szCs w:val="18"/>
              </w:rPr>
              <w:t>6.00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ascii="宋体" w:cs="宋体"/>
                <w:color w:val="000000"/>
                <w:sz w:val="18"/>
                <w:szCs w:val="18"/>
              </w:rPr>
              <w:t>6.00</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ascii="宋体" w:cs="宋体"/>
                <w:color w:val="000000"/>
                <w:sz w:val="18"/>
                <w:szCs w:val="18"/>
              </w:rPr>
              <w:t>148.46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ascii="宋体" w:cs="宋体"/>
                <w:color w:val="000000"/>
                <w:sz w:val="18"/>
                <w:szCs w:val="18"/>
              </w:rPr>
              <w:t>148.46</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ascii="宋体" w:cs="宋体"/>
                <w:color w:val="000000"/>
                <w:sz w:val="18"/>
                <w:szCs w:val="18"/>
              </w:rPr>
              <w:t>1032.00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ascii="宋体" w:cs="宋体"/>
                <w:color w:val="000000"/>
                <w:sz w:val="18"/>
                <w:szCs w:val="18"/>
              </w:rPr>
              <w:t>1032.00</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ascii="宋体" w:cs="宋体"/>
                <w:color w:val="000000"/>
                <w:sz w:val="18"/>
                <w:szCs w:val="18"/>
              </w:rPr>
              <w:t>2204.20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ascii="宋体" w:cs="宋体"/>
                <w:color w:val="000000"/>
                <w:sz w:val="18"/>
                <w:szCs w:val="18"/>
              </w:rPr>
              <w:t>2201.20</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ascii="宋体" w:cs="宋体"/>
                <w:color w:val="000000"/>
                <w:sz w:val="18"/>
                <w:szCs w:val="18"/>
              </w:rPr>
              <w:t>3390.66</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ascii="宋体" w:cs="宋体"/>
                <w:color w:val="000000"/>
                <w:sz w:val="18"/>
                <w:szCs w:val="18"/>
              </w:rPr>
              <w:t>3390.66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ascii="宋体" w:cs="宋体"/>
                <w:color w:val="000000"/>
                <w:sz w:val="18"/>
                <w:szCs w:val="18"/>
              </w:rPr>
              <w:t>2358.66</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ascii="宋体" w:cs="宋体"/>
                <w:color w:val="000000"/>
                <w:sz w:val="18"/>
                <w:szCs w:val="18"/>
              </w:rPr>
              <w:t>1032.00</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ascii="宋体" w:cs="宋体"/>
                <w:color w:val="000000"/>
                <w:sz w:val="18"/>
                <w:szCs w:val="18"/>
              </w:rPr>
              <w:t>3390.66</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ascii="宋体" w:cs="宋体"/>
                <w:color w:val="000000"/>
                <w:sz w:val="18"/>
                <w:szCs w:val="18"/>
              </w:rPr>
              <w:t>3390.66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ascii="宋体" w:cs="宋体"/>
                <w:color w:val="000000"/>
                <w:sz w:val="18"/>
                <w:szCs w:val="18"/>
              </w:rPr>
              <w:t>2358.66</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ascii="宋体" w:cs="宋体"/>
                <w:color w:val="000000"/>
                <w:sz w:val="18"/>
                <w:szCs w:val="18"/>
              </w:rPr>
              <w:t>1032.00</w:t>
            </w: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w:t>
            </w:r>
            <w:r>
              <w:pict>
                <v:group id="组合 46" o:spid="_x0000_s1053" o:spt="203" style="position:absolute;left:0pt;margin-left:-80.9pt;margin-top:-81.1pt;height:41.2pt;width:243.2pt;mso-position-vertical-relative:page;z-index:1024;mso-width-relative:page;mso-height-relative:page;" coordorigin="4551,52615" coordsize="8546,1398">
                  <o:lock v:ext="edit"/>
                  <v:rect id="矩形 13" o:spid="_x0000_s1054" o:spt="1" style="position:absolute;left:4551;top:52615;height:1175;width:8546;v-text-anchor:middle;" fillcolor="#96DA9D" filled="t" stroked="f" coordsize="21600,21600">
                    <v:path/>
                    <v:fill on="t" focussize="0,0"/>
                    <v:stroke on="f" weight="2pt"/>
                    <v:imagedata o:title=""/>
                    <o:lock v:ext="edit"/>
                  </v:rect>
                  <v:rect id="矩形 14" o:spid="_x0000_s105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05</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保定市满城区林业局</w:t>
            </w: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2109"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2109"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r>
              <w:rPr>
                <w:rFonts w:ascii="宋体" w:cs="宋体"/>
                <w:b/>
                <w:color w:val="000000"/>
                <w:szCs w:val="21"/>
              </w:rPr>
              <w:t>2358.66</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r>
              <w:rPr>
                <w:rFonts w:ascii="宋体" w:cs="宋体"/>
                <w:b/>
                <w:color w:val="000000"/>
                <w:szCs w:val="21"/>
              </w:rPr>
              <w:t>1120.59</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r>
              <w:rPr>
                <w:rFonts w:ascii="宋体" w:cs="宋体"/>
                <w:b/>
                <w:color w:val="000000"/>
                <w:szCs w:val="21"/>
              </w:rPr>
              <w:t>1238.07</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206</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科学技术支出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6.00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6.00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20699</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其他科学技术支出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6.00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6.00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2069901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科技奖励</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6.00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6.00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节能环保支出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148.46</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148.46</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21105</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天然林保护</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1.44</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1.44</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2110599</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其他天然林保护支出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1.44</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1.44</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21106</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退耕还林</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147.02</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147.02</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2110602</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退耕现金</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147.02</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147.02</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农林水支出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2204.20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1120.59</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1083.61</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21302</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林业</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2162.20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1120.59</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1041.61</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2130201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行政运行</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136.63</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136.63</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2130204</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林业事业机构</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104.71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104.71</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2130205</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森林培育</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927.11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927.11</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2130208</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森林资源监测</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4.45</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4.45</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2130209</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森林生态效益补偿</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16.05</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16.05</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2130213</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林业执法与监督</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9.00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9.00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2130234</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林业防灾减灾</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85.00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85.00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2130299</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其他林业支出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879.25</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879.25</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21305</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扶贫</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42.00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42.00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2130599</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其他扶贫支出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42.00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42.00</w:t>
            </w: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注：本表反映部门本年度一般公共预算财政拨款收入及支出情况。</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9"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8"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2"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4"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06</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269" w:hRule="atLeast"/>
          <w:jc w:val="center"/>
        </w:trPr>
        <w:tc>
          <w:tcPr>
            <w:tcW w:w="5236" w:type="dxa"/>
            <w:gridSpan w:val="5"/>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部门：</w:t>
            </w:r>
            <w:r>
              <w:rPr>
                <w:rFonts w:hint="eastAsia" w:ascii="宋体" w:hAnsi="宋体" w:cs="宋体"/>
                <w:color w:val="000000"/>
                <w:kern w:val="0"/>
                <w:sz w:val="20"/>
                <w:szCs w:val="20"/>
              </w:rPr>
              <w:t>保定市满城区林业局</w:t>
            </w:r>
            <w:r>
              <w:pict>
                <v:group id="组合 49" o:spid="_x0000_s1056" o:spt="203" style="position:absolute;left:0pt;margin-left:-73.25pt;margin-top:-129.4pt;height:41.2pt;width:243.2pt;mso-position-vertical-relative:page;z-index:1024;mso-width-relative:page;mso-height-relative:page;" coordorigin="4551,52615" coordsize="8546,1398">
                  <o:lock v:ext="edit"/>
                  <v:rect id="矩形 13" o:spid="_x0000_s1057" o:spt="1" style="position:absolute;left:4551;top:52615;height:1175;width:8546;v-text-anchor:middle;" fillcolor="#96DA9D" filled="t" stroked="f" coordsize="21600,21600">
                    <v:path/>
                    <v:fill on="t" focussize="0,0"/>
                    <v:stroke on="f" weight="2pt"/>
                    <v:imagedata o:title=""/>
                    <o:lock v:ext="edit"/>
                  </v:rect>
                  <v:rect id="矩形 14" o:spid="_x0000_s105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4"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人员经费</w:t>
            </w:r>
          </w:p>
        </w:tc>
        <w:tc>
          <w:tcPr>
            <w:tcW w:w="6183" w:type="dxa"/>
            <w:gridSpan w:val="6"/>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9"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59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73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55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9"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598"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4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47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63"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739"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559"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88"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5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1068.71</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商品和服务支出</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49.24</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基本工资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504.41</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办公费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32.21</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国内债务付息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津贴补贴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27.42</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印刷费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国外债务付息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奖金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123.16</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咨询费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30106</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伙食补助费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手续费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0.06</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房屋建筑物购建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30107</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绩效工资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214.17</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水费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0.57</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办公设备购置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30108</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机关事业单位基本养老保险缴费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86.55</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电费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3.24</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职业年金缴费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26.98</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邮电费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1.48</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基础设施建设</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30110</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职工基本医疗保险缴费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30.02</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取暖费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大型修缮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公务员医疗补助缴费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物业管理费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信息网络及软件购置更新</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其他社会保障缴费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3.47</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差旅费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1.37</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物资储备</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住房公积金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50.91</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因公出国（境）费用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土地补偿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30114</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医疗费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维修（护）费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安置补助</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30199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1.62</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租赁费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地上附着物和青苗补偿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2.65</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会议费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拆迁补偿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离休费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培训费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公务用车购置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退休费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公务接待费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其他交通工具购置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退职（役）费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专用材料费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文物和陈列品购置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30304</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抚恤金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被装购置费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无形资产购置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30305</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生活补助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2.65</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专用燃料费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30306</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救济费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劳务费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30307</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医疗费补助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委托业务费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赠与</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30308</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助学金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工会经费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国家赔偿费用支出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奖励金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福利费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对民间非营利组织和群众性自治组织补贴</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30310</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个人农业生产补贴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公务用车运行维护费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10.31</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30399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其他对个人和家庭的补助支出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其他交通费用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税金及附加费用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其他商品和服务支出</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7"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1071.35</w:t>
            </w:r>
          </w:p>
        </w:tc>
        <w:tc>
          <w:tcPr>
            <w:tcW w:w="5326"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49.24</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注：本表反映部门本年度一般公共预算财政拨款基本支出明细情况。</w:t>
            </w:r>
            <w:r>
              <w:rPr>
                <w:rFonts w:ascii="宋体" w:hAnsi="宋体" w:cs="宋体"/>
                <w:color w:val="000000"/>
                <w:kern w:val="0"/>
                <w:sz w:val="20"/>
                <w:szCs w:val="20"/>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w:t>
            </w:r>
            <w:r>
              <w:pict>
                <v:group id="组合 52" o:spid="_x0000_s1059" o:spt="203" style="position:absolute;left:0pt;margin-left:-82.75pt;margin-top:-81.1pt;height:41.2pt;width:243.2pt;mso-position-vertical-relative:page;z-index:1024;mso-width-relative:page;mso-height-relative:page;" coordorigin="4551,52615" coordsize="8546,1398">
                  <o:lock v:ext="edit"/>
                  <v:rect id="矩形 13" o:spid="_x0000_s1060" o:spt="1" style="position:absolute;left:4551;top:52615;height:1175;width:8546;v-text-anchor:middle;" fillcolor="#96DA9D" filled="t" stroked="f" coordsize="21600,21600">
                    <v:path/>
                    <v:fill on="t" focussize="0,0"/>
                    <v:stroke on="f" weight="2pt"/>
                    <v:imagedata o:title=""/>
                    <o:lock v:ext="edit"/>
                  </v:rect>
                  <v:rect id="矩形 14" o:spid="_x0000_s1061"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07</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部门：保定市满城区林业局</w:t>
            </w: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ascii="宋体" w:cs="宋体"/>
                <w:color w:val="000000"/>
                <w:szCs w:val="21"/>
              </w:rPr>
              <w:t>12.89</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eastAsia" w:ascii="宋体" w:eastAsia="宋体" w:cs="宋体"/>
                <w:color w:val="000000"/>
                <w:szCs w:val="21"/>
                <w:lang w:val="en-US" w:eastAsia="zh-CN"/>
              </w:rPr>
            </w:pPr>
            <w:r>
              <w:rPr>
                <w:rFonts w:ascii="宋体" w:cs="宋体"/>
                <w:color w:val="000000"/>
                <w:szCs w:val="21"/>
              </w:rPr>
              <w:t>12.5</w:t>
            </w:r>
            <w:r>
              <w:rPr>
                <w:rFonts w:hint="eastAsia" w:ascii="宋体" w:cs="宋体"/>
                <w:color w:val="000000"/>
                <w:szCs w:val="21"/>
                <w:lang w:val="en-US" w:eastAsia="zh-CN"/>
              </w:rPr>
              <w:t>0</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eastAsia" w:ascii="宋体" w:eastAsia="宋体" w:cs="宋体"/>
                <w:color w:val="000000"/>
                <w:szCs w:val="21"/>
                <w:lang w:val="en-US" w:eastAsia="zh-CN"/>
              </w:rPr>
            </w:pPr>
            <w:r>
              <w:rPr>
                <w:rFonts w:ascii="宋体" w:cs="宋体"/>
                <w:color w:val="000000"/>
                <w:szCs w:val="21"/>
              </w:rPr>
              <w:t>12.5</w:t>
            </w:r>
            <w:r>
              <w:rPr>
                <w:rFonts w:hint="eastAsia" w:ascii="宋体" w:cs="宋体"/>
                <w:color w:val="000000"/>
                <w:szCs w:val="21"/>
                <w:lang w:val="en-US" w:eastAsia="zh-CN"/>
              </w:rPr>
              <w:t>0</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ascii="宋体" w:cs="宋体"/>
                <w:color w:val="000000"/>
                <w:szCs w:val="21"/>
              </w:rPr>
              <w:t>0.39</w:t>
            </w: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ascii="宋体" w:cs="宋体"/>
                <w:color w:val="000000"/>
                <w:szCs w:val="21"/>
              </w:rPr>
              <w:t>10.31</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ascii="宋体" w:cs="宋体"/>
                <w:color w:val="000000"/>
                <w:szCs w:val="21"/>
              </w:rPr>
              <w:t>10.31</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ascii="宋体" w:cs="宋体"/>
                <w:color w:val="000000"/>
                <w:szCs w:val="21"/>
              </w:rPr>
              <w:t>10.31</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注：本表反映部门本年度“三公”经费支出预决算情况。其中：预算数为“三公”经费年初预算数，决算数是包括当年一般公共预算财政拨款和以前年度结转资金安排的实际支出。</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640" w:type="dxa"/>
        <w:tblInd w:w="-411" w:type="dxa"/>
        <w:tblLayout w:type="fixed"/>
        <w:tblCellMar>
          <w:top w:w="0" w:type="dxa"/>
          <w:left w:w="0" w:type="dxa"/>
          <w:bottom w:w="0" w:type="dxa"/>
          <w:right w:w="0" w:type="dxa"/>
        </w:tblCellMar>
      </w:tblPr>
      <w:tblGrid>
        <w:gridCol w:w="707"/>
        <w:gridCol w:w="191"/>
        <w:gridCol w:w="95"/>
        <w:gridCol w:w="384"/>
        <w:gridCol w:w="669"/>
        <w:gridCol w:w="932"/>
        <w:gridCol w:w="992"/>
        <w:gridCol w:w="992"/>
        <w:gridCol w:w="657"/>
        <w:gridCol w:w="477"/>
        <w:gridCol w:w="715"/>
        <w:gridCol w:w="561"/>
        <w:gridCol w:w="631"/>
        <w:gridCol w:w="645"/>
        <w:gridCol w:w="992"/>
      </w:tblGrid>
      <w:tr>
        <w:tblPrEx>
          <w:tblCellMar>
            <w:top w:w="0" w:type="dxa"/>
            <w:left w:w="0" w:type="dxa"/>
            <w:bottom w:w="0" w:type="dxa"/>
            <w:right w:w="0" w:type="dxa"/>
          </w:tblCellMar>
        </w:tblPrEx>
        <w:trPr>
          <w:trHeight w:val="707" w:hRule="atLeast"/>
        </w:trPr>
        <w:tc>
          <w:tcPr>
            <w:tcW w:w="9640" w:type="dxa"/>
            <w:gridSpan w:val="15"/>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w:t>
            </w:r>
            <w:r>
              <w:pict>
                <v:group id="组合 55" o:spid="_x0000_s1062" o:spt="203" style="position:absolute;left:0pt;margin-left:-62.1pt;margin-top:-79.1pt;height:41.2pt;width:243.2pt;mso-position-vertical-relative:page;z-index:1024;mso-width-relative:page;mso-height-relative:page;" coordorigin="4551,52615" coordsize="8546,1398">
                  <o:lock v:ext="edit"/>
                  <v:rect id="矩形 13" o:spid="_x0000_s1063" o:spt="1" style="position:absolute;left:4551;top:52615;height:1175;width:8546;v-text-anchor:middle;" fillcolor="#96DA9D" filled="t" stroked="f" coordsize="21600,21600">
                    <v:path/>
                    <v:fill on="t" focussize="0,0"/>
                    <v:stroke on="f" weight="2pt"/>
                    <v:imagedata o:title=""/>
                    <o:lock v:ext="edit"/>
                  </v:rect>
                  <v:rect id="矩形 14" o:spid="_x0000_s1064"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36"/>
                <w:szCs w:val="36"/>
              </w:rPr>
              <w:t>收入支出决算表</w:t>
            </w:r>
          </w:p>
        </w:tc>
      </w:tr>
      <w:tr>
        <w:tblPrEx>
          <w:tblCellMar>
            <w:top w:w="0" w:type="dxa"/>
            <w:left w:w="0" w:type="dxa"/>
            <w:bottom w:w="0" w:type="dxa"/>
            <w:right w:w="0" w:type="dxa"/>
          </w:tblCellMar>
        </w:tblPrEx>
        <w:trPr>
          <w:trHeight w:val="315" w:hRule="atLeast"/>
        </w:trPr>
        <w:tc>
          <w:tcPr>
            <w:tcW w:w="707"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24"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9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57"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637"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08</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411" w:hRule="atLeast"/>
        </w:trPr>
        <w:tc>
          <w:tcPr>
            <w:tcW w:w="3970" w:type="dxa"/>
            <w:gridSpan w:val="7"/>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保定市满城区林业局</w:t>
            </w:r>
          </w:p>
        </w:tc>
        <w:tc>
          <w:tcPr>
            <w:tcW w:w="9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57"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829" w:type="dxa"/>
            <w:gridSpan w:val="4"/>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477" w:hRule="atLeast"/>
        </w:trPr>
        <w:tc>
          <w:tcPr>
            <w:tcW w:w="2978"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992"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年初结转和结余</w:t>
            </w:r>
          </w:p>
        </w:tc>
        <w:tc>
          <w:tcPr>
            <w:tcW w:w="992"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本年收入</w:t>
            </w:r>
          </w:p>
        </w:tc>
        <w:tc>
          <w:tcPr>
            <w:tcW w:w="3686" w:type="dxa"/>
            <w:gridSpan w:val="6"/>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本年支出</w:t>
            </w:r>
          </w:p>
        </w:tc>
        <w:tc>
          <w:tcPr>
            <w:tcW w:w="992"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93"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1985" w:type="dxa"/>
            <w:gridSpan w:val="3"/>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99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99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34"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276"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基本支出</w:t>
            </w:r>
          </w:p>
        </w:tc>
        <w:tc>
          <w:tcPr>
            <w:tcW w:w="1276"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项目支出</w:t>
            </w:r>
          </w:p>
        </w:tc>
        <w:tc>
          <w:tcPr>
            <w:tcW w:w="99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985" w:type="dxa"/>
            <w:gridSpan w:val="3"/>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99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99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34"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76"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76"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99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985" w:type="dxa"/>
            <w:gridSpan w:val="3"/>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99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99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34"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76"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76"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99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93" w:hRule="atLeast"/>
        </w:trPr>
        <w:tc>
          <w:tcPr>
            <w:tcW w:w="2978"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2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2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99" w:hRule="atLeast"/>
        </w:trPr>
        <w:tc>
          <w:tcPr>
            <w:tcW w:w="2978"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r>
              <w:rPr>
                <w:rFonts w:ascii="宋体" w:cs="宋体"/>
                <w:b/>
                <w:color w:val="000000"/>
                <w:szCs w:val="21"/>
              </w:rPr>
              <w:t>1032.00</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r>
              <w:rPr>
                <w:rFonts w:ascii="宋体" w:cs="宋体"/>
                <w:b/>
                <w:color w:val="000000"/>
                <w:szCs w:val="21"/>
              </w:rPr>
              <w:t>1032.00</w:t>
            </w:r>
          </w:p>
        </w:tc>
        <w:tc>
          <w:tcPr>
            <w:tcW w:w="12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2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r>
              <w:rPr>
                <w:rFonts w:ascii="宋体" w:cs="宋体"/>
                <w:b/>
                <w:color w:val="000000"/>
                <w:szCs w:val="21"/>
              </w:rPr>
              <w:t>1032.00</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r>
      <w:tr>
        <w:tblPrEx>
          <w:tblCellMar>
            <w:top w:w="0" w:type="dxa"/>
            <w:left w:w="0" w:type="dxa"/>
            <w:bottom w:w="0" w:type="dxa"/>
            <w:right w:w="0" w:type="dxa"/>
          </w:tblCellMar>
        </w:tblPrEx>
        <w:trPr>
          <w:trHeight w:val="402"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 w:val="20"/>
                <w:szCs w:val="20"/>
              </w:rPr>
            </w:pPr>
            <w:r>
              <w:rPr>
                <w:rFonts w:ascii="宋体" w:cs="宋体"/>
                <w:color w:val="000000"/>
                <w:sz w:val="20"/>
                <w:szCs w:val="20"/>
              </w:rPr>
              <w:t>212</w:t>
            </w:r>
          </w:p>
        </w:tc>
        <w:tc>
          <w:tcPr>
            <w:tcW w:w="198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 w:val="20"/>
                <w:szCs w:val="20"/>
              </w:rPr>
            </w:pPr>
            <w:r>
              <w:rPr>
                <w:rFonts w:hint="eastAsia" w:ascii="宋体" w:cs="宋体"/>
                <w:color w:val="000000"/>
                <w:sz w:val="20"/>
                <w:szCs w:val="20"/>
              </w:rPr>
              <w:t>城乡社区支出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 w:val="20"/>
                <w:szCs w:val="20"/>
              </w:rPr>
            </w:pPr>
            <w:r>
              <w:rPr>
                <w:rFonts w:ascii="宋体" w:cs="宋体"/>
                <w:color w:val="000000"/>
                <w:sz w:val="20"/>
                <w:szCs w:val="20"/>
              </w:rPr>
              <w:t>1032.00</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 w:val="20"/>
                <w:szCs w:val="20"/>
              </w:rPr>
            </w:pPr>
            <w:r>
              <w:rPr>
                <w:rFonts w:ascii="宋体" w:cs="宋体"/>
                <w:color w:val="000000"/>
                <w:sz w:val="20"/>
                <w:szCs w:val="20"/>
              </w:rPr>
              <w:t>1032.00</w:t>
            </w:r>
          </w:p>
        </w:tc>
        <w:tc>
          <w:tcPr>
            <w:tcW w:w="12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 w:val="20"/>
                <w:szCs w:val="20"/>
              </w:rPr>
            </w:pPr>
          </w:p>
        </w:tc>
        <w:tc>
          <w:tcPr>
            <w:tcW w:w="12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 w:val="20"/>
                <w:szCs w:val="20"/>
              </w:rPr>
            </w:pPr>
            <w:r>
              <w:rPr>
                <w:rFonts w:ascii="宋体" w:cs="宋体"/>
                <w:color w:val="000000"/>
                <w:sz w:val="20"/>
                <w:szCs w:val="20"/>
              </w:rPr>
              <w:t>1032.00</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1131"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 w:val="20"/>
                <w:szCs w:val="20"/>
              </w:rPr>
            </w:pPr>
            <w:r>
              <w:rPr>
                <w:rFonts w:ascii="宋体" w:cs="宋体"/>
                <w:color w:val="000000"/>
                <w:sz w:val="20"/>
                <w:szCs w:val="20"/>
              </w:rPr>
              <w:t>21208</w:t>
            </w:r>
          </w:p>
        </w:tc>
        <w:tc>
          <w:tcPr>
            <w:tcW w:w="198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 w:val="20"/>
                <w:szCs w:val="20"/>
              </w:rPr>
            </w:pPr>
            <w:r>
              <w:rPr>
                <w:rFonts w:hint="eastAsia" w:ascii="宋体" w:cs="宋体"/>
                <w:color w:val="000000"/>
                <w:sz w:val="20"/>
                <w:szCs w:val="20"/>
              </w:rPr>
              <w:t>国有土地使用权出让收入及对应专项债务收入安排的支出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 w:val="20"/>
                <w:szCs w:val="20"/>
              </w:rPr>
            </w:pPr>
            <w:r>
              <w:rPr>
                <w:rFonts w:ascii="宋体" w:cs="宋体"/>
                <w:color w:val="000000"/>
                <w:sz w:val="20"/>
                <w:szCs w:val="20"/>
              </w:rPr>
              <w:t>1032.00</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 w:val="20"/>
                <w:szCs w:val="20"/>
              </w:rPr>
            </w:pPr>
            <w:r>
              <w:rPr>
                <w:rFonts w:ascii="宋体" w:cs="宋体"/>
                <w:color w:val="000000"/>
                <w:sz w:val="20"/>
                <w:szCs w:val="20"/>
              </w:rPr>
              <w:t>1032.00</w:t>
            </w:r>
          </w:p>
        </w:tc>
        <w:tc>
          <w:tcPr>
            <w:tcW w:w="12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 w:val="20"/>
                <w:szCs w:val="20"/>
              </w:rPr>
            </w:pPr>
          </w:p>
        </w:tc>
        <w:tc>
          <w:tcPr>
            <w:tcW w:w="12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 w:val="20"/>
                <w:szCs w:val="20"/>
              </w:rPr>
            </w:pPr>
            <w:r>
              <w:rPr>
                <w:rFonts w:ascii="宋体" w:cs="宋体"/>
                <w:color w:val="000000"/>
                <w:sz w:val="20"/>
                <w:szCs w:val="20"/>
              </w:rPr>
              <w:t>1032.00</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11"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 w:val="20"/>
                <w:szCs w:val="20"/>
              </w:rPr>
            </w:pPr>
            <w:r>
              <w:rPr>
                <w:rFonts w:ascii="宋体" w:cs="宋体"/>
                <w:color w:val="000000"/>
                <w:sz w:val="20"/>
                <w:szCs w:val="20"/>
              </w:rPr>
              <w:t>2120803</w:t>
            </w:r>
          </w:p>
        </w:tc>
        <w:tc>
          <w:tcPr>
            <w:tcW w:w="198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ind w:firstLine="100" w:firstLineChars="50"/>
              <w:jc w:val="left"/>
              <w:rPr>
                <w:rFonts w:ascii="宋体" w:cs="宋体"/>
                <w:color w:val="000000"/>
                <w:sz w:val="20"/>
                <w:szCs w:val="20"/>
              </w:rPr>
            </w:pPr>
            <w:r>
              <w:rPr>
                <w:rFonts w:ascii="宋体" w:cs="宋体"/>
                <w:color w:val="000000"/>
                <w:sz w:val="20"/>
                <w:szCs w:val="20"/>
              </w:rPr>
              <w:t xml:space="preserve"> </w:t>
            </w:r>
            <w:r>
              <w:rPr>
                <w:rFonts w:hint="eastAsia" w:ascii="宋体" w:cs="宋体"/>
                <w:color w:val="000000"/>
                <w:sz w:val="20"/>
                <w:szCs w:val="20"/>
              </w:rPr>
              <w:t>城市建设支出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 w:val="20"/>
                <w:szCs w:val="20"/>
              </w:rPr>
            </w:pPr>
            <w:r>
              <w:rPr>
                <w:rFonts w:ascii="宋体" w:cs="宋体"/>
                <w:color w:val="000000"/>
                <w:sz w:val="20"/>
                <w:szCs w:val="20"/>
              </w:rPr>
              <w:t>1032.00</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 w:val="20"/>
                <w:szCs w:val="20"/>
              </w:rPr>
            </w:pPr>
            <w:r>
              <w:rPr>
                <w:rFonts w:ascii="宋体" w:cs="宋体"/>
                <w:color w:val="000000"/>
                <w:sz w:val="20"/>
                <w:szCs w:val="20"/>
              </w:rPr>
              <w:t>1032.00</w:t>
            </w:r>
          </w:p>
        </w:tc>
        <w:tc>
          <w:tcPr>
            <w:tcW w:w="12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 w:val="20"/>
                <w:szCs w:val="20"/>
              </w:rPr>
            </w:pPr>
          </w:p>
        </w:tc>
        <w:tc>
          <w:tcPr>
            <w:tcW w:w="12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 w:val="20"/>
                <w:szCs w:val="20"/>
              </w:rPr>
            </w:pPr>
            <w:r>
              <w:rPr>
                <w:rFonts w:ascii="宋体" w:cs="宋体"/>
                <w:color w:val="000000"/>
                <w:sz w:val="20"/>
                <w:szCs w:val="20"/>
              </w:rPr>
              <w:t>1032.00</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324" w:hRule="atLeast"/>
        </w:trPr>
        <w:tc>
          <w:tcPr>
            <w:tcW w:w="9640" w:type="dxa"/>
            <w:gridSpan w:val="15"/>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注：本表反映部门本年度政府性基金预算财政拨款收入、支出及结转和结余情况。</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w:t>
            </w:r>
            <w:r>
              <w:pict>
                <v:group id="组合 58" o:spid="_x0000_s1065" o:spt="203" style="position:absolute;left:0pt;margin-left:-80.9pt;margin-top:-81.1pt;height:41.2pt;width:243.2pt;mso-position-vertical-relative:page;z-index:1024;mso-width-relative:page;mso-height-relative:page;" coordorigin="4551,52615" coordsize="8546,1398">
                  <o:lock v:ext="edit"/>
                  <v:rect id="矩形 13" o:spid="_x0000_s1066" o:spt="1" style="position:absolute;left:4551;top:52615;height:1175;width:8546;v-text-anchor:middle;" fillcolor="#96DA9D" filled="t" stroked="f" coordsize="21600,21600">
                    <v:path/>
                    <v:fill on="t" focussize="0,0"/>
                    <v:stroke on="f" weight="2pt"/>
                    <v:imagedata o:title=""/>
                    <o:lock v:ext="edit"/>
                  </v:rect>
                  <v:rect id="矩形 14" o:spid="_x0000_s1067"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09</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编制单位：</w:t>
            </w:r>
            <w:r>
              <w:rPr>
                <w:rFonts w:hint="eastAsia" w:ascii="宋体" w:hAnsi="宋体" w:cs="宋体"/>
                <w:color w:val="000000"/>
                <w:kern w:val="0"/>
                <w:sz w:val="20"/>
                <w:szCs w:val="20"/>
              </w:rPr>
              <w:t>保定市满城区林业局</w:t>
            </w: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tcMar>
              <w:top w:w="15" w:type="dxa"/>
              <w:left w:w="15" w:type="dxa"/>
              <w:right w:w="15" w:type="dxa"/>
            </w:tcMar>
            <w:vAlign w:val="center"/>
          </w:tcPr>
          <w:p>
            <w:pPr>
              <w:widowControl/>
              <w:spacing w:after="0" w:line="240" w:lineRule="auto"/>
              <w:jc w:val="left"/>
              <w:textAlignment w:val="center"/>
              <w:rPr>
                <w:rFonts w:ascii="宋体" w:cs="宋体"/>
                <w:color w:val="000000"/>
                <w:kern w:val="0"/>
                <w:sz w:val="22"/>
                <w:szCs w:val="22"/>
              </w:rPr>
            </w:pPr>
            <w:r>
              <w:rPr>
                <w:rFonts w:hint="eastAsia" w:ascii="宋体" w:hAnsi="宋体" w:cs="宋体"/>
                <w:color w:val="000000"/>
                <w:kern w:val="0"/>
                <w:sz w:val="22"/>
                <w:szCs w:val="22"/>
              </w:rPr>
              <w:t>注：本表反映部门本年度国有资本经营预算财政拨款支出情况。</w:t>
            </w:r>
          </w:p>
          <w:p>
            <w:pPr>
              <w:widowControl/>
              <w:spacing w:after="0" w:line="240" w:lineRule="auto"/>
              <w:ind w:firstLine="440" w:firstLineChars="200"/>
              <w:jc w:val="left"/>
              <w:textAlignment w:val="center"/>
              <w:rPr>
                <w:rFonts w:ascii="宋体" w:cs="宋体"/>
                <w:color w:val="000000"/>
                <w:sz w:val="22"/>
                <w:szCs w:val="22"/>
              </w:rPr>
            </w:pPr>
            <w:r>
              <w:rPr>
                <w:rFonts w:hint="eastAsia" w:ascii="宋体" w:hAnsi="宋体" w:cs="宋体"/>
                <w:color w:val="000000"/>
                <w:kern w:val="0"/>
                <w:sz w:val="22"/>
                <w:szCs w:val="22"/>
              </w:rPr>
              <w:t>本部门本年度无相关支出情况，按要求空表列示。</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w:t>
            </w:r>
            <w:r>
              <w:pict>
                <v:group id="组合 61" o:spid="_x0000_s1068" o:spt="203" style="position:absolute;left:0pt;margin-left:-80.9pt;margin-top:-81.1pt;height:41.2pt;width:243.2pt;mso-position-vertical-relative:page;z-index:1024;mso-width-relative:page;mso-height-relative:page;" coordorigin="4551,52615" coordsize="8546,1398">
                  <o:lock v:ext="edit"/>
                  <v:rect id="矩形 13" o:spid="_x0000_s1069" o:spt="1" style="position:absolute;left:4551;top:52615;height:1175;width:8546;v-text-anchor:middle;" fillcolor="#96DA9D" filled="t" stroked="f" coordsize="21600,21600">
                    <v:path/>
                    <v:fill on="t" focussize="0,0"/>
                    <v:stroke on="f" weight="2pt"/>
                    <v:imagedata o:title=""/>
                    <o:lock v:ext="edit"/>
                  </v:rect>
                  <v:rect id="矩形 14" o:spid="_x0000_s1070"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10</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编制单位：</w:t>
            </w:r>
            <w:r>
              <w:rPr>
                <w:rFonts w:hint="eastAsia" w:ascii="宋体" w:hAnsi="宋体" w:cs="宋体"/>
                <w:color w:val="000000"/>
                <w:kern w:val="0"/>
                <w:sz w:val="20"/>
                <w:szCs w:val="20"/>
              </w:rPr>
              <w:t>保定市满城区林业局</w:t>
            </w: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w:t>
            </w:r>
            <w:r>
              <w:rPr>
                <w:rFonts w:ascii="宋体" w:hAnsi="宋体" w:cs="宋体"/>
                <w:color w:val="000000"/>
                <w:kern w:val="0"/>
                <w:szCs w:val="21"/>
              </w:rPr>
              <w:t xml:space="preserve">       </w:t>
            </w:r>
            <w:r>
              <w:rPr>
                <w:rFonts w:hint="eastAsia" w:ascii="宋体" w:hAnsi="宋体" w:cs="宋体"/>
                <w:color w:val="000000"/>
                <w:kern w:val="0"/>
                <w:szCs w:val="21"/>
              </w:rPr>
              <w:t>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w:t>
            </w:r>
            <w:r>
              <w:rPr>
                <w:rFonts w:ascii="宋体" w:hAnsi="宋体" w:cs="宋体"/>
                <w:color w:val="000000"/>
                <w:kern w:val="0"/>
                <w:szCs w:val="21"/>
              </w:rPr>
              <w:t xml:space="preserve">       </w:t>
            </w:r>
            <w:r>
              <w:rPr>
                <w:rFonts w:hint="eastAsia" w:ascii="宋体" w:hAnsi="宋体" w:cs="宋体"/>
                <w:color w:val="000000"/>
                <w:kern w:val="0"/>
                <w:szCs w:val="21"/>
              </w:rPr>
              <w:t>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kern w:val="0"/>
                <w:szCs w:val="21"/>
              </w:rPr>
            </w:pPr>
            <w:r>
              <w:rPr>
                <w:rFonts w:hint="eastAsia" w:ascii="宋体" w:hAnsi="宋体" w:cs="宋体"/>
                <w:color w:val="000000"/>
                <w:kern w:val="0"/>
                <w:szCs w:val="21"/>
              </w:rPr>
              <w:t>注：本表反映部门本年度纳入部门预算范围的政府采购预算及支出情况。</w:t>
            </w:r>
            <w:r>
              <w:rPr>
                <w:rFonts w:ascii="宋体" w:hAnsi="宋体" w:cs="宋体"/>
                <w:color w:val="000000"/>
                <w:kern w:val="0"/>
                <w:szCs w:val="21"/>
              </w:rPr>
              <w:t xml:space="preserve">     </w:t>
            </w:r>
          </w:p>
          <w:p>
            <w:pPr>
              <w:widowControl/>
              <w:adjustRightInd w:val="0"/>
              <w:snapToGrid w:val="0"/>
              <w:spacing w:after="0" w:line="240" w:lineRule="auto"/>
              <w:ind w:firstLine="420" w:firstLineChars="200"/>
              <w:jc w:val="left"/>
              <w:textAlignment w:val="center"/>
              <w:rPr>
                <w:rFonts w:ascii="宋体" w:cs="宋体"/>
                <w:color w:val="000000"/>
                <w:szCs w:val="21"/>
              </w:rPr>
            </w:pPr>
            <w:r>
              <w:rPr>
                <w:rFonts w:hint="eastAsia" w:ascii="宋体" w:hAnsi="宋体" w:cs="宋体"/>
                <w:color w:val="000000"/>
                <w:kern w:val="0"/>
                <w:szCs w:val="21"/>
              </w:rPr>
              <w:t>本部门本年度无相关采购情况，按要求空表列示。</w:t>
            </w:r>
          </w:p>
        </w:tc>
      </w:tr>
    </w:tbl>
    <w:p>
      <w:pPr>
        <w:widowControl/>
        <w:spacing w:after="0" w:line="560" w:lineRule="exact"/>
        <w:jc w:val="left"/>
        <w:rPr>
          <w:rFonts w:ascii="仿宋_GB2312" w:hAnsi="宋体" w:eastAsia="仿宋_GB2312"/>
          <w:b/>
          <w:sz w:val="28"/>
          <w:szCs w:val="28"/>
          <w:highlight w:val="yellow"/>
        </w:rPr>
      </w:pPr>
    </w:p>
    <w:p/>
    <w:p/>
    <w:p/>
    <w:p>
      <w:pPr>
        <w:tabs>
          <w:tab w:val="left" w:pos="1086"/>
        </w:tabs>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tab/>
      </w: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pict>
          <v:shape id="图片 4" o:spid="_x0000_s1071" o:spt="75" alt="2" type="#_x0000_t75" style="position:absolute;left:0pt;margin-left:-79.45pt;margin-top:-105.35pt;height:840.95pt;width:594.5pt;z-index:-1024;mso-width-relative:page;mso-height-relative:page;" filled="f" o:preferrelative="t" stroked="f" coordsize="21600,21600">
            <v:path/>
            <v:fill on="f" focussize="0,0"/>
            <v:stroke on="f" joinstyle="miter"/>
            <v:imagedata r:id="rId5" o:title=""/>
            <o:lock v:ext="edit" aspectratio="t"/>
          </v:shape>
        </w:pict>
      </w:r>
      <w:r>
        <w:pict>
          <v:shape id="文本框 5" o:spid="_x0000_s1072" o:spt="202" type="#_x0000_t202" style="position:absolute;left:0pt;margin-left:-78.7pt;margin-top:232.8pt;height:159.1pt;width:596.2pt;z-index:1024;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hAnsi="Cambria" w:eastAsia="黑体" w:cs="黑体"/>
          <w:b w:val="0"/>
          <w:bCs w:val="0"/>
          <w:kern w:val="0"/>
        </w:rPr>
        <w:t>支</w:t>
      </w:r>
      <w:r>
        <w:pict>
          <v:group id="组合 18" o:spid="_x0000_s1073" o:spt="203" style="position:absolute;left:0pt;margin-left:-79.5pt;margin-top:29.3pt;height:43.95pt;width:301.85pt;mso-position-vertical-relative:page;z-index:1024;mso-width-relative:page;mso-height-relative:page;" coordorigin="4551,52615" coordsize="8546,1398">
            <o:lock v:ext="edit"/>
            <v:rect id="矩形 13" o:spid="_x0000_s1074" o:spt="1" style="position:absolute;left:4551;top:52615;height:1175;width:8546;v-text-anchor:middle;" fillcolor="#96DA9D" filled="t" stroked="f" coordsize="21600,21600">
              <v:path/>
              <v:fill on="t" focussize="0,0"/>
              <v:stroke on="f" weight="2pt"/>
              <v:imagedata o:title=""/>
              <o:lock v:ext="edit"/>
            </v:rect>
            <v:rect id="矩形 14" o:spid="_x0000_s107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黑体" w:hAnsi="Cambria" w:eastAsia="黑体" w:cs="黑体"/>
          <w:b w:val="0"/>
          <w:bCs w:val="0"/>
          <w:kern w:val="0"/>
        </w:rPr>
        <w:t>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本部门</w:t>
      </w:r>
      <w:r>
        <w:rPr>
          <w:rFonts w:ascii="仿宋_GB2312" w:hAnsi="Cambria" w:eastAsia="仿宋_GB2312" w:cs="ArialUnicodeMS"/>
          <w:kern w:val="0"/>
          <w:sz w:val="32"/>
          <w:szCs w:val="32"/>
        </w:rPr>
        <w:t>2018</w:t>
      </w:r>
      <w:r>
        <w:rPr>
          <w:rFonts w:hint="eastAsia" w:ascii="仿宋_GB2312" w:hAnsi="Cambria" w:eastAsia="仿宋_GB2312" w:cs="ArialUnicodeMS"/>
          <w:kern w:val="0"/>
          <w:sz w:val="32"/>
          <w:szCs w:val="32"/>
        </w:rPr>
        <w:t>年度收入总计</w:t>
      </w:r>
      <w:r>
        <w:rPr>
          <w:rFonts w:ascii="仿宋_GB2312" w:hAnsi="Cambria" w:eastAsia="仿宋_GB2312" w:cs="ArialUnicodeMS"/>
          <w:kern w:val="0"/>
          <w:sz w:val="32"/>
          <w:szCs w:val="32"/>
        </w:rPr>
        <w:t>3390.66</w:t>
      </w:r>
      <w:r>
        <w:rPr>
          <w:rFonts w:hint="eastAsia" w:ascii="仿宋_GB2312" w:hAnsi="Cambria" w:eastAsia="仿宋_GB2312" w:cs="ArialUnicodeMS"/>
          <w:kern w:val="0"/>
          <w:sz w:val="32"/>
          <w:szCs w:val="32"/>
        </w:rPr>
        <w:t>万元。与</w:t>
      </w:r>
      <w:r>
        <w:rPr>
          <w:rFonts w:ascii="仿宋_GB2312" w:hAnsi="Cambria" w:eastAsia="仿宋_GB2312" w:cs="ArialUnicodeMS"/>
          <w:kern w:val="0"/>
          <w:sz w:val="32"/>
          <w:szCs w:val="32"/>
        </w:rPr>
        <w:t>2017</w:t>
      </w:r>
      <w:r>
        <w:rPr>
          <w:rFonts w:hint="eastAsia" w:ascii="仿宋_GB2312" w:hAnsi="Cambria" w:eastAsia="仿宋_GB2312" w:cs="ArialUnicodeMS"/>
          <w:kern w:val="0"/>
          <w:sz w:val="32"/>
          <w:szCs w:val="32"/>
        </w:rPr>
        <w:t>年度决算相比，收入各增加</w:t>
      </w:r>
      <w:r>
        <w:rPr>
          <w:rFonts w:ascii="仿宋_GB2312" w:hAnsi="Cambria" w:eastAsia="仿宋_GB2312" w:cs="ArialUnicodeMS"/>
          <w:kern w:val="0"/>
          <w:sz w:val="32"/>
          <w:szCs w:val="32"/>
        </w:rPr>
        <w:t>1928.22</w:t>
      </w:r>
      <w:r>
        <w:rPr>
          <w:rFonts w:hint="eastAsia" w:ascii="仿宋_GB2312" w:hAnsi="Cambria" w:eastAsia="仿宋_GB2312" w:cs="ArialUnicodeMS"/>
          <w:kern w:val="0"/>
          <w:sz w:val="32"/>
          <w:szCs w:val="32"/>
        </w:rPr>
        <w:t>万元，增长</w:t>
      </w:r>
      <w:r>
        <w:rPr>
          <w:rFonts w:ascii="仿宋_GB2312" w:hAnsi="Cambria" w:eastAsia="仿宋_GB2312" w:cs="ArialUnicodeMS"/>
          <w:kern w:val="0"/>
          <w:sz w:val="32"/>
          <w:szCs w:val="32"/>
        </w:rPr>
        <w:t>131.85%</w:t>
      </w:r>
      <w:r>
        <w:rPr>
          <w:rFonts w:hint="eastAsia" w:ascii="仿宋_GB2312" w:hAnsi="Cambria" w:eastAsia="仿宋_GB2312" w:cs="ArialUnicodeMS"/>
          <w:kern w:val="0"/>
          <w:sz w:val="32"/>
          <w:szCs w:val="32"/>
        </w:rPr>
        <w:t>，主要原因是</w:t>
      </w:r>
      <w:r>
        <w:rPr>
          <w:rFonts w:ascii="仿宋_GB2312" w:hAnsi="Cambria" w:eastAsia="仿宋_GB2312" w:cs="ArialUnicodeMS"/>
          <w:kern w:val="0"/>
          <w:sz w:val="32"/>
          <w:szCs w:val="32"/>
        </w:rPr>
        <w:t>2018</w:t>
      </w:r>
      <w:r>
        <w:rPr>
          <w:rFonts w:hint="eastAsia" w:ascii="仿宋_GB2312" w:hAnsi="Cambria" w:eastAsia="仿宋_GB2312" w:cs="ArialUnicodeMS"/>
          <w:kern w:val="0"/>
          <w:sz w:val="32"/>
          <w:szCs w:val="32"/>
        </w:rPr>
        <w:t>年度项目投入大，导致项目资金增加；人员工资涨幅大，导致基本支出增大。本部门</w:t>
      </w:r>
      <w:r>
        <w:rPr>
          <w:rFonts w:ascii="仿宋_GB2312" w:hAnsi="Cambria" w:eastAsia="仿宋_GB2312" w:cs="ArialUnicodeMS"/>
          <w:kern w:val="0"/>
          <w:sz w:val="32"/>
          <w:szCs w:val="32"/>
        </w:rPr>
        <w:t>2018</w:t>
      </w:r>
      <w:r>
        <w:rPr>
          <w:rFonts w:hint="eastAsia" w:ascii="仿宋_GB2312" w:hAnsi="Cambria" w:eastAsia="仿宋_GB2312" w:cs="ArialUnicodeMS"/>
          <w:kern w:val="0"/>
          <w:sz w:val="32"/>
          <w:szCs w:val="32"/>
        </w:rPr>
        <w:t>年度支出总计</w:t>
      </w:r>
      <w:r>
        <w:rPr>
          <w:rFonts w:ascii="仿宋_GB2312" w:hAnsi="Cambria" w:eastAsia="仿宋_GB2312" w:cs="ArialUnicodeMS"/>
          <w:kern w:val="0"/>
          <w:sz w:val="32"/>
          <w:szCs w:val="32"/>
        </w:rPr>
        <w:t>3390.66</w:t>
      </w:r>
      <w:r>
        <w:rPr>
          <w:rFonts w:hint="eastAsia" w:ascii="仿宋_GB2312" w:hAnsi="Cambria" w:eastAsia="仿宋_GB2312" w:cs="ArialUnicodeMS"/>
          <w:kern w:val="0"/>
          <w:sz w:val="32"/>
          <w:szCs w:val="32"/>
        </w:rPr>
        <w:t>万元。与</w:t>
      </w:r>
      <w:r>
        <w:rPr>
          <w:rFonts w:ascii="仿宋_GB2312" w:hAnsi="Cambria" w:eastAsia="仿宋_GB2312" w:cs="ArialUnicodeMS"/>
          <w:kern w:val="0"/>
          <w:sz w:val="32"/>
          <w:szCs w:val="32"/>
        </w:rPr>
        <w:t>2017</w:t>
      </w:r>
      <w:r>
        <w:rPr>
          <w:rFonts w:hint="eastAsia" w:ascii="仿宋_GB2312" w:hAnsi="Cambria" w:eastAsia="仿宋_GB2312" w:cs="ArialUnicodeMS"/>
          <w:kern w:val="0"/>
          <w:sz w:val="32"/>
          <w:szCs w:val="32"/>
        </w:rPr>
        <w:t>年度决算相比，支出各增加</w:t>
      </w:r>
      <w:r>
        <w:rPr>
          <w:rFonts w:ascii="仿宋_GB2312" w:hAnsi="Cambria" w:eastAsia="仿宋_GB2312" w:cs="ArialUnicodeMS"/>
          <w:kern w:val="0"/>
          <w:sz w:val="32"/>
          <w:szCs w:val="32"/>
        </w:rPr>
        <w:t>1928.22</w:t>
      </w:r>
      <w:r>
        <w:rPr>
          <w:rFonts w:hint="eastAsia" w:ascii="仿宋_GB2312" w:hAnsi="Cambria" w:eastAsia="仿宋_GB2312" w:cs="ArialUnicodeMS"/>
          <w:kern w:val="0"/>
          <w:sz w:val="32"/>
          <w:szCs w:val="32"/>
        </w:rPr>
        <w:t>万元，增长</w:t>
      </w:r>
      <w:r>
        <w:rPr>
          <w:rFonts w:ascii="仿宋_GB2312" w:hAnsi="Cambria" w:eastAsia="仿宋_GB2312" w:cs="ArialUnicodeMS"/>
          <w:kern w:val="0"/>
          <w:sz w:val="32"/>
          <w:szCs w:val="32"/>
        </w:rPr>
        <w:t>131.85%</w:t>
      </w:r>
      <w:r>
        <w:rPr>
          <w:rFonts w:hint="eastAsia" w:ascii="仿宋_GB2312" w:hAnsi="Cambria" w:eastAsia="仿宋_GB2312" w:cs="ArialUnicodeMS"/>
          <w:kern w:val="0"/>
          <w:sz w:val="32"/>
          <w:szCs w:val="32"/>
        </w:rPr>
        <w:t>，主要原因是</w:t>
      </w:r>
      <w:r>
        <w:rPr>
          <w:rFonts w:ascii="仿宋_GB2312" w:hAnsi="Cambria" w:eastAsia="仿宋_GB2312" w:cs="ArialUnicodeMS"/>
          <w:kern w:val="0"/>
          <w:sz w:val="32"/>
          <w:szCs w:val="32"/>
        </w:rPr>
        <w:t>2018</w:t>
      </w:r>
      <w:r>
        <w:rPr>
          <w:rFonts w:hint="eastAsia" w:ascii="仿宋_GB2312" w:hAnsi="Cambria" w:eastAsia="仿宋_GB2312" w:cs="ArialUnicodeMS"/>
          <w:kern w:val="0"/>
          <w:sz w:val="32"/>
          <w:szCs w:val="32"/>
        </w:rPr>
        <w:t>年度项目投入大，导致项目资金增加；人员工资涨幅大，导致基本支出增大。</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本部门</w:t>
      </w:r>
      <w:r>
        <w:rPr>
          <w:rFonts w:ascii="仿宋_GB2312" w:hAnsi="Cambria" w:eastAsia="仿宋_GB2312" w:cs="ArialUnicodeMS"/>
          <w:kern w:val="0"/>
          <w:sz w:val="32"/>
          <w:szCs w:val="32"/>
        </w:rPr>
        <w:t>2018</w:t>
      </w:r>
      <w:r>
        <w:rPr>
          <w:rFonts w:hint="eastAsia" w:ascii="仿宋_GB2312" w:hAnsi="Cambria" w:eastAsia="仿宋_GB2312" w:cs="ArialUnicodeMS"/>
          <w:kern w:val="0"/>
          <w:sz w:val="32"/>
          <w:szCs w:val="32"/>
        </w:rPr>
        <w:t>年度本年收入合计</w:t>
      </w:r>
      <w:r>
        <w:rPr>
          <w:rFonts w:ascii="仿宋_GB2312" w:hAnsi="Cambria" w:eastAsia="仿宋_GB2312" w:cs="ArialUnicodeMS"/>
          <w:kern w:val="0"/>
          <w:sz w:val="32"/>
          <w:szCs w:val="32"/>
        </w:rPr>
        <w:t>3390.66</w:t>
      </w:r>
      <w:r>
        <w:rPr>
          <w:rFonts w:hint="eastAsia" w:ascii="仿宋_GB2312" w:hAnsi="Cambria" w:eastAsia="仿宋_GB2312" w:cs="ArialUnicodeMS"/>
          <w:kern w:val="0"/>
          <w:sz w:val="32"/>
          <w:szCs w:val="32"/>
        </w:rPr>
        <w:t>万元，其中：财政拨款收入</w:t>
      </w:r>
      <w:r>
        <w:rPr>
          <w:rFonts w:ascii="仿宋_GB2312" w:hAnsi="Cambria" w:eastAsia="仿宋_GB2312" w:cs="ArialUnicodeMS"/>
          <w:kern w:val="0"/>
          <w:sz w:val="32"/>
          <w:szCs w:val="32"/>
        </w:rPr>
        <w:t>3390.66</w:t>
      </w:r>
      <w:r>
        <w:rPr>
          <w:rFonts w:hint="eastAsia" w:ascii="仿宋_GB2312" w:hAnsi="Cambria" w:eastAsia="仿宋_GB2312" w:cs="ArialUnicodeMS"/>
          <w:kern w:val="0"/>
          <w:sz w:val="32"/>
          <w:szCs w:val="32"/>
        </w:rPr>
        <w:t>万元，占</w:t>
      </w:r>
      <w:r>
        <w:rPr>
          <w:rFonts w:ascii="仿宋_GB2312" w:hAnsi="Cambria" w:eastAsia="仿宋_GB2312" w:cs="ArialUnicodeMS"/>
          <w:kern w:val="0"/>
          <w:sz w:val="32"/>
          <w:szCs w:val="32"/>
        </w:rPr>
        <w:t>100%</w:t>
      </w:r>
      <w:r>
        <w:rPr>
          <w:rFonts w:hint="eastAsia" w:ascii="仿宋_GB2312" w:hAnsi="Cambria" w:eastAsia="仿宋_GB2312" w:cs="ArialUnicodeMS"/>
          <w:kern w:val="0"/>
          <w:sz w:val="32"/>
          <w:szCs w:val="32"/>
        </w:rPr>
        <w:t>；事业收入</w:t>
      </w:r>
      <w:r>
        <w:rPr>
          <w:rFonts w:ascii="仿宋_GB2312" w:hAnsi="Cambria" w:eastAsia="仿宋_GB2312" w:cs="ArialUnicodeMS"/>
          <w:kern w:val="0"/>
          <w:sz w:val="32"/>
          <w:szCs w:val="32"/>
        </w:rPr>
        <w:t>0</w:t>
      </w:r>
      <w:r>
        <w:rPr>
          <w:rFonts w:hint="eastAsia" w:ascii="仿宋_GB2312" w:hAnsi="Cambria" w:eastAsia="仿宋_GB2312" w:cs="ArialUnicodeMS"/>
          <w:kern w:val="0"/>
          <w:sz w:val="32"/>
          <w:szCs w:val="32"/>
        </w:rPr>
        <w:t>万元，占</w:t>
      </w:r>
      <w:r>
        <w:rPr>
          <w:rFonts w:ascii="仿宋_GB2312" w:hAnsi="Cambria" w:eastAsia="仿宋_GB2312" w:cs="ArialUnicodeMS"/>
          <w:kern w:val="0"/>
          <w:sz w:val="32"/>
          <w:szCs w:val="32"/>
        </w:rPr>
        <w:t>0%</w:t>
      </w:r>
      <w:r>
        <w:rPr>
          <w:rFonts w:hint="eastAsia" w:ascii="仿宋_GB2312" w:hAnsi="Cambria" w:eastAsia="仿宋_GB2312" w:cs="ArialUnicodeMS"/>
          <w:kern w:val="0"/>
          <w:sz w:val="32"/>
          <w:szCs w:val="32"/>
        </w:rPr>
        <w:t>；经营收入</w:t>
      </w:r>
      <w:r>
        <w:rPr>
          <w:rFonts w:ascii="仿宋_GB2312" w:hAnsi="Cambria" w:eastAsia="仿宋_GB2312" w:cs="ArialUnicodeMS"/>
          <w:kern w:val="0"/>
          <w:sz w:val="32"/>
          <w:szCs w:val="32"/>
        </w:rPr>
        <w:t>0</w:t>
      </w:r>
      <w:r>
        <w:rPr>
          <w:rFonts w:hint="eastAsia" w:ascii="仿宋_GB2312" w:hAnsi="Cambria" w:eastAsia="仿宋_GB2312" w:cs="ArialUnicodeMS"/>
          <w:kern w:val="0"/>
          <w:sz w:val="32"/>
          <w:szCs w:val="32"/>
        </w:rPr>
        <w:t>万元，占</w:t>
      </w:r>
      <w:r>
        <w:rPr>
          <w:rFonts w:ascii="仿宋_GB2312" w:hAnsi="Cambria" w:eastAsia="仿宋_GB2312" w:cs="ArialUnicodeMS"/>
          <w:kern w:val="0"/>
          <w:sz w:val="32"/>
          <w:szCs w:val="32"/>
        </w:rPr>
        <w:t>0%</w:t>
      </w:r>
      <w:r>
        <w:rPr>
          <w:rFonts w:hint="eastAsia" w:ascii="仿宋_GB2312" w:hAnsi="Cambria" w:eastAsia="仿宋_GB2312" w:cs="ArialUnicodeMS"/>
          <w:kern w:val="0"/>
          <w:sz w:val="32"/>
          <w:szCs w:val="32"/>
        </w:rPr>
        <w:t>；其他收入</w:t>
      </w:r>
      <w:r>
        <w:rPr>
          <w:rFonts w:ascii="仿宋_GB2312" w:hAnsi="Cambria" w:eastAsia="仿宋_GB2312" w:cs="ArialUnicodeMS"/>
          <w:kern w:val="0"/>
          <w:sz w:val="32"/>
          <w:szCs w:val="32"/>
        </w:rPr>
        <w:t>0</w:t>
      </w:r>
      <w:r>
        <w:rPr>
          <w:rFonts w:hint="eastAsia" w:ascii="仿宋_GB2312" w:hAnsi="Cambria" w:eastAsia="仿宋_GB2312" w:cs="ArialUnicodeMS"/>
          <w:kern w:val="0"/>
          <w:sz w:val="32"/>
          <w:szCs w:val="32"/>
        </w:rPr>
        <w:t>万元，占</w:t>
      </w:r>
      <w:r>
        <w:rPr>
          <w:rFonts w:ascii="仿宋_GB2312" w:hAnsi="Cambria" w:eastAsia="仿宋_GB2312" w:cs="ArialUnicodeMS"/>
          <w:kern w:val="0"/>
          <w:sz w:val="32"/>
          <w:szCs w:val="32"/>
        </w:rPr>
        <w:t>0%</w:t>
      </w:r>
      <w:r>
        <w:rPr>
          <w:rFonts w:hint="eastAsia" w:ascii="仿宋_GB2312" w:hAnsi="Cambria" w:eastAsia="仿宋_GB2312" w:cs="ArialUnicodeMS"/>
          <w:kern w:val="0"/>
          <w:sz w:val="32"/>
          <w:szCs w:val="32"/>
        </w:rPr>
        <w:t>。如图所示：</w:t>
      </w:r>
    </w:p>
    <w:p>
      <w:pPr>
        <w:pStyle w:val="3"/>
        <w:spacing w:before="0" w:after="0" w:line="580" w:lineRule="exact"/>
        <w:rPr>
          <w:rFonts w:ascii="仿宋_GB2312" w:hAnsi="Times New Roman" w:eastAsia="仿宋_GB2312" w:cs="DengXian-Regular"/>
          <w:b w:val="0"/>
          <w:bCs w:val="0"/>
        </w:rPr>
      </w:pPr>
    </w:p>
    <w:p>
      <w:pPr>
        <w:jc w:val="center"/>
      </w:pPr>
      <w:r>
        <w:pict>
          <v:shape id="_x0000_i1025" o:spt="75" type="#_x0000_t75" style="height:154.05pt;width:279.65pt;" filled="f" o:preferrelative="t" stroked="f" coordsize="21600,21600">
            <v:path/>
            <v:fill on="f" focussize="0,0"/>
            <v:stroke on="f" joinstyle="miter"/>
            <v:imagedata r:id="rId6" o:title=""/>
            <o:lock v:ext="edit" aspectratio="t"/>
            <w10:wrap type="none"/>
            <w10:anchorlock/>
          </v:shape>
        </w:pict>
      </w:r>
    </w:p>
    <w:p>
      <w:r>
        <w:pict>
          <v:shape id="文本框 32" o:spid="_x0000_s1076" o:spt="202" type="#_x0000_t202" style="position:absolute;left:0pt;margin-left:107.5pt;margin-top:23.9pt;height:32.1pt;width:194.1pt;z-index:1024;mso-width-relative:page;mso-height-relative:page;" fillcolor="#C8ECCC" filled="t" stroked="f" coordsize="21600,21600">
            <v:path/>
            <v:fill on="t"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w:t>
                  </w:r>
                  <w:r>
                    <w:rPr>
                      <w:rFonts w:ascii="仿宋_GB2312" w:eastAsia="仿宋_GB2312" w:cs="DengXian-Regular"/>
                      <w:sz w:val="28"/>
                      <w:szCs w:val="28"/>
                    </w:rPr>
                    <w:t>1</w:t>
                  </w:r>
                  <w:r>
                    <w:rPr>
                      <w:rFonts w:hint="eastAsia" w:ascii="仿宋_GB2312" w:eastAsia="仿宋_GB2312" w:cs="DengXian-Regular"/>
                      <w:sz w:val="28"/>
                      <w:szCs w:val="28"/>
                    </w:rPr>
                    <w:t>：收入构成情况</w:t>
                  </w:r>
                </w:p>
                <w:p>
                  <w:pPr>
                    <w:rPr>
                      <w:sz w:val="20"/>
                      <w:szCs w:val="22"/>
                    </w:rPr>
                  </w:pPr>
                </w:p>
              </w:txbxContent>
            </v:textbox>
          </v:shape>
        </w:pict>
      </w:r>
    </w:p>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本部门</w:t>
      </w:r>
      <w:r>
        <w:rPr>
          <w:rFonts w:ascii="仿宋_GB2312" w:hAnsi="Cambria" w:eastAsia="仿宋_GB2312" w:cs="ArialUnicodeMS"/>
          <w:kern w:val="0"/>
          <w:sz w:val="32"/>
          <w:szCs w:val="32"/>
        </w:rPr>
        <w:t>2018</w:t>
      </w:r>
      <w:r>
        <w:rPr>
          <w:rFonts w:hint="eastAsia" w:ascii="仿宋_GB2312" w:hAnsi="Cambria" w:eastAsia="仿宋_GB2312" w:cs="ArialUnicodeMS"/>
          <w:kern w:val="0"/>
          <w:sz w:val="32"/>
          <w:szCs w:val="32"/>
        </w:rPr>
        <w:t>年度本年支出合计</w:t>
      </w:r>
      <w:r>
        <w:rPr>
          <w:rFonts w:ascii="仿宋_GB2312" w:hAnsi="Cambria" w:eastAsia="仿宋_GB2312" w:cs="ArialUnicodeMS"/>
          <w:kern w:val="0"/>
          <w:sz w:val="32"/>
          <w:szCs w:val="32"/>
        </w:rPr>
        <w:t>3390.66</w:t>
      </w:r>
      <w:r>
        <w:rPr>
          <w:rFonts w:hint="eastAsia" w:ascii="仿宋_GB2312" w:hAnsi="Cambria" w:eastAsia="仿宋_GB2312" w:cs="ArialUnicodeMS"/>
          <w:kern w:val="0"/>
          <w:sz w:val="32"/>
          <w:szCs w:val="32"/>
        </w:rPr>
        <w:t>万元，其中：基本支出</w:t>
      </w:r>
      <w:r>
        <w:rPr>
          <w:rFonts w:ascii="仿宋_GB2312" w:hAnsi="Cambria" w:eastAsia="仿宋_GB2312" w:cs="ArialUnicodeMS"/>
          <w:kern w:val="0"/>
          <w:sz w:val="32"/>
          <w:szCs w:val="32"/>
        </w:rPr>
        <w:t>1120.59</w:t>
      </w:r>
      <w:r>
        <w:rPr>
          <w:rFonts w:hint="eastAsia" w:ascii="仿宋_GB2312" w:hAnsi="Cambria" w:eastAsia="仿宋_GB2312" w:cs="ArialUnicodeMS"/>
          <w:kern w:val="0"/>
          <w:sz w:val="32"/>
          <w:szCs w:val="32"/>
        </w:rPr>
        <w:t>万元，占</w:t>
      </w:r>
      <w:r>
        <w:rPr>
          <w:rFonts w:ascii="仿宋_GB2312" w:hAnsi="Cambria" w:eastAsia="仿宋_GB2312" w:cs="ArialUnicodeMS"/>
          <w:kern w:val="0"/>
          <w:sz w:val="32"/>
          <w:szCs w:val="32"/>
        </w:rPr>
        <w:t>33.05%</w:t>
      </w:r>
      <w:r>
        <w:rPr>
          <w:rFonts w:hint="eastAsia" w:ascii="仿宋_GB2312" w:hAnsi="Cambria" w:eastAsia="仿宋_GB2312" w:cs="ArialUnicodeMS"/>
          <w:kern w:val="0"/>
          <w:sz w:val="32"/>
          <w:szCs w:val="32"/>
        </w:rPr>
        <w:t>；项目支出</w:t>
      </w:r>
      <w:r>
        <w:rPr>
          <w:rFonts w:ascii="仿宋_GB2312" w:hAnsi="Cambria" w:eastAsia="仿宋_GB2312" w:cs="ArialUnicodeMS"/>
          <w:kern w:val="0"/>
          <w:sz w:val="32"/>
          <w:szCs w:val="32"/>
        </w:rPr>
        <w:t>2270.07</w:t>
      </w:r>
      <w:r>
        <w:rPr>
          <w:rFonts w:hint="eastAsia" w:ascii="仿宋_GB2312" w:hAnsi="Cambria" w:eastAsia="仿宋_GB2312" w:cs="ArialUnicodeMS"/>
          <w:kern w:val="0"/>
          <w:sz w:val="32"/>
          <w:szCs w:val="32"/>
        </w:rPr>
        <w:t>万元，占</w:t>
      </w:r>
      <w:r>
        <w:rPr>
          <w:rFonts w:ascii="仿宋_GB2312" w:hAnsi="Cambria" w:eastAsia="仿宋_GB2312" w:cs="ArialUnicodeMS"/>
          <w:kern w:val="0"/>
          <w:sz w:val="32"/>
          <w:szCs w:val="32"/>
        </w:rPr>
        <w:t>66.95%</w:t>
      </w:r>
      <w:r>
        <w:rPr>
          <w:rFonts w:hint="eastAsia" w:ascii="仿宋_GB2312" w:hAnsi="Cambria" w:eastAsia="仿宋_GB2312" w:cs="ArialUnicodeMS"/>
          <w:kern w:val="0"/>
          <w:sz w:val="32"/>
          <w:szCs w:val="32"/>
        </w:rPr>
        <w:t>；经营支出</w:t>
      </w:r>
      <w:r>
        <w:rPr>
          <w:rFonts w:ascii="仿宋_GB2312" w:hAnsi="Cambria" w:eastAsia="仿宋_GB2312" w:cs="ArialUnicodeMS"/>
          <w:kern w:val="0"/>
          <w:sz w:val="32"/>
          <w:szCs w:val="32"/>
        </w:rPr>
        <w:t>0</w:t>
      </w:r>
      <w:r>
        <w:rPr>
          <w:rFonts w:hint="eastAsia" w:ascii="仿宋_GB2312" w:hAnsi="Cambria" w:eastAsia="仿宋_GB2312" w:cs="ArialUnicodeMS"/>
          <w:kern w:val="0"/>
          <w:sz w:val="32"/>
          <w:szCs w:val="32"/>
        </w:rPr>
        <w:t>万元，占</w:t>
      </w:r>
      <w:r>
        <w:rPr>
          <w:rFonts w:ascii="仿宋_GB2312" w:hAnsi="Cambria" w:eastAsia="仿宋_GB2312" w:cs="ArialUnicodeMS"/>
          <w:kern w:val="0"/>
          <w:sz w:val="32"/>
          <w:szCs w:val="32"/>
        </w:rPr>
        <w:t>0%</w:t>
      </w:r>
      <w:r>
        <w:rPr>
          <w:rFonts w:hint="eastAsia" w:ascii="仿宋_GB2312" w:hAnsi="Cambria" w:eastAsia="仿宋_GB2312" w:cs="ArialUnicodeMS"/>
          <w:kern w:val="0"/>
          <w:sz w:val="32"/>
          <w:szCs w:val="32"/>
        </w:rPr>
        <w:t>。如图所示：</w:t>
      </w:r>
    </w:p>
    <w:p>
      <w:pPr>
        <w:adjustRightInd w:val="0"/>
        <w:snapToGrid w:val="0"/>
        <w:spacing w:after="0" w:line="580" w:lineRule="exact"/>
        <w:rPr>
          <w:rFonts w:ascii="仿宋_GB2312" w:eastAsia="仿宋_GB2312" w:cs="DengXian-Regular"/>
          <w:sz w:val="32"/>
          <w:szCs w:val="32"/>
        </w:rPr>
      </w:pPr>
    </w:p>
    <w:p>
      <w:pPr>
        <w:adjustRightInd w:val="0"/>
        <w:snapToGrid w:val="0"/>
        <w:spacing w:after="0" w:line="580" w:lineRule="exact"/>
        <w:rPr>
          <w:rFonts w:ascii="仿宋_GB2312" w:eastAsia="仿宋_GB2312" w:cs="DengXian-Regular"/>
          <w:sz w:val="32"/>
          <w:szCs w:val="32"/>
        </w:rPr>
      </w:pPr>
    </w:p>
    <w:p>
      <w:pPr>
        <w:adjustRightInd w:val="0"/>
        <w:snapToGrid w:val="0"/>
        <w:spacing w:after="0" w:line="580" w:lineRule="exact"/>
        <w:rPr>
          <w:rFonts w:ascii="仿宋_GB2312" w:eastAsia="仿宋_GB2312" w:cs="DengXian-Regular"/>
          <w:sz w:val="32"/>
          <w:szCs w:val="32"/>
        </w:rPr>
      </w:pPr>
    </w:p>
    <w:p>
      <w:pPr>
        <w:adjustRightInd w:val="0"/>
        <w:snapToGrid w:val="0"/>
        <w:spacing w:after="0" w:line="580" w:lineRule="exact"/>
        <w:rPr>
          <w:rFonts w:ascii="仿宋_GB2312" w:eastAsia="仿宋_GB2312" w:cs="DengXian-Regular"/>
          <w:sz w:val="32"/>
          <w:szCs w:val="32"/>
        </w:rPr>
      </w:pPr>
    </w:p>
    <w:p>
      <w:pPr>
        <w:adjustRightInd w:val="0"/>
        <w:snapToGrid w:val="0"/>
        <w:spacing w:after="0" w:line="580" w:lineRule="exact"/>
        <w:rPr>
          <w:rFonts w:ascii="仿宋_GB2312" w:eastAsia="仿宋_GB2312" w:cs="DengXian-Regular"/>
          <w:sz w:val="32"/>
          <w:szCs w:val="32"/>
        </w:rPr>
      </w:pPr>
      <w:r>
        <w:pict>
          <v:group id="组合 70" o:spid="_x0000_s1077" o:spt="203" style="position:absolute;left:0pt;margin-left:-79.5pt;margin-top:29.3pt;height:43.95pt;width:301.85pt;mso-position-vertical-relative:page;z-index:1024;mso-width-relative:page;mso-height-relative:page;" coordorigin="4551,52615" coordsize="8546,1398">
            <o:lock v:ext="edit"/>
            <v:rect id="矩形 13" o:spid="_x0000_s1078" o:spt="1" style="position:absolute;left:4551;top:52615;height:1175;width:8546;v-text-anchor:middle;" fillcolor="#96DA9D" filled="t" stroked="f" coordsize="21600,21600">
              <v:path/>
              <v:fill on="t" focussize="0,0"/>
              <v:stroke on="f" weight="2pt"/>
              <v:imagedata o:title=""/>
              <o:lock v:ext="edit"/>
            </v:rect>
            <v:rect id="矩形 14" o:spid="_x0000_s1079"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p>
    <w:p>
      <w:pPr>
        <w:pStyle w:val="3"/>
        <w:spacing w:before="0" w:after="0" w:line="580" w:lineRule="exact"/>
        <w:ind w:firstLine="643" w:firstLineChars="200"/>
        <w:jc w:val="center"/>
        <w:rPr>
          <w:rFonts w:ascii="黑体" w:eastAsia="黑体"/>
        </w:rPr>
      </w:pPr>
      <w:r>
        <w:pict>
          <v:shape id="图片 1" o:spid="_x0000_s1080" o:spt="75" type="#_x0000_t75" style="position:absolute;left:0pt;margin-left:108.85pt;margin-top:-107.15pt;height:130.6pt;width:256.2pt;z-index:1024;mso-width-relative:page;mso-height-relative:page;" filled="f" o:preferrelative="t" stroked="f" coordsize="21600,21600">
            <v:path/>
            <v:fill on="f" focussize="0,0"/>
            <v:stroke on="f" joinstyle="miter"/>
            <v:imagedata r:id="rId7" o:title=""/>
            <o:lock v:ext="edit" aspectratio="t"/>
          </v:shape>
        </w:pict>
      </w:r>
    </w:p>
    <w:p>
      <w:pPr>
        <w:pStyle w:val="3"/>
        <w:spacing w:before="0" w:after="0" w:line="580" w:lineRule="exact"/>
        <w:ind w:firstLine="643" w:firstLineChars="200"/>
        <w:rPr>
          <w:rFonts w:ascii="黑体" w:eastAsia="黑体"/>
          <w:b w:val="0"/>
          <w:bCs w:val="0"/>
        </w:rPr>
      </w:pPr>
      <w:r>
        <w:pict>
          <v:shape id="文本框 30" o:spid="_x0000_s1081" o:spt="202" type="#_x0000_t202" style="position:absolute;left:0pt;margin-left:106.85pt;margin-top:21.1pt;height:42.2pt;width:248.7pt;z-index:-1024;mso-width-relative:page;mso-height-relative:page;" fillcolor="#C8ECCC" filled="t" stroked="f" coordsize="21600,21600">
            <v:path/>
            <v:fill on="t"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w:t>
                  </w:r>
                  <w:r>
                    <w:rPr>
                      <w:rFonts w:ascii="仿宋_GB2312" w:eastAsia="仿宋_GB2312" w:cs="DengXian-Regular"/>
                      <w:sz w:val="28"/>
                      <w:szCs w:val="28"/>
                    </w:rPr>
                    <w:t>2</w:t>
                  </w:r>
                  <w:r>
                    <w:rPr>
                      <w:rFonts w:hint="eastAsia" w:ascii="仿宋_GB2312" w:eastAsia="仿宋_GB2312" w:cs="DengXian-Regular"/>
                      <w:sz w:val="28"/>
                      <w:szCs w:val="28"/>
                    </w:rPr>
                    <w:t>：支出构成情况（按支出性质）</w:t>
                  </w:r>
                </w:p>
                <w:p>
                  <w:pPr>
                    <w:rPr>
                      <w:sz w:val="20"/>
                      <w:szCs w:val="22"/>
                    </w:rPr>
                  </w:pPr>
                </w:p>
              </w:txbxContent>
            </v:textbox>
          </v:shape>
        </w:pict>
      </w: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hAnsi="Cambria" w:eastAsia="黑体" w:cs="黑体"/>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w:t>
      </w:r>
      <w:r>
        <w:rPr>
          <w:rFonts w:ascii="楷体_GB2312" w:eastAsia="楷体_GB2312" w:cs="DengXian-Bold"/>
          <w:b/>
          <w:bCs/>
          <w:sz w:val="32"/>
          <w:szCs w:val="32"/>
        </w:rPr>
        <w:t xml:space="preserve">2017 </w:t>
      </w:r>
      <w:r>
        <w:rPr>
          <w:rFonts w:hint="eastAsia" w:ascii="楷体_GB2312" w:eastAsia="楷体_GB2312" w:cs="DengXian-Bold"/>
          <w:b/>
          <w:bCs/>
          <w:sz w:val="32"/>
          <w:szCs w:val="32"/>
        </w:rPr>
        <w:t>年度决算对比情况</w:t>
      </w:r>
    </w:p>
    <w:p>
      <w:pPr>
        <w:adjustRightInd w:val="0"/>
        <w:snapToGrid w:val="0"/>
        <w:spacing w:after="0" w:line="580" w:lineRule="exact"/>
        <w:ind w:firstLine="640" w:firstLineChars="200"/>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本部门</w:t>
      </w:r>
      <w:r>
        <w:rPr>
          <w:rFonts w:ascii="仿宋_GB2312" w:hAnsi="Cambria" w:eastAsia="仿宋_GB2312" w:cs="ArialUnicodeMS"/>
          <w:kern w:val="0"/>
          <w:sz w:val="32"/>
          <w:szCs w:val="32"/>
        </w:rPr>
        <w:t>2018</w:t>
      </w:r>
      <w:r>
        <w:rPr>
          <w:rFonts w:hint="eastAsia" w:ascii="仿宋_GB2312" w:hAnsi="Cambria" w:eastAsia="仿宋_GB2312" w:cs="ArialUnicodeMS"/>
          <w:kern w:val="0"/>
          <w:sz w:val="32"/>
          <w:szCs w:val="32"/>
        </w:rPr>
        <w:t>年度财政拨款本年收入</w:t>
      </w:r>
      <w:r>
        <w:rPr>
          <w:rFonts w:ascii="仿宋_GB2312" w:hAnsi="Cambria" w:eastAsia="仿宋_GB2312" w:cs="ArialUnicodeMS"/>
          <w:kern w:val="0"/>
          <w:sz w:val="32"/>
          <w:szCs w:val="32"/>
        </w:rPr>
        <w:t>3390.66</w:t>
      </w:r>
      <w:r>
        <w:rPr>
          <w:rFonts w:hint="eastAsia" w:ascii="仿宋_GB2312" w:hAnsi="Cambria" w:eastAsia="仿宋_GB2312" w:cs="ArialUnicodeMS"/>
          <w:kern w:val="0"/>
          <w:sz w:val="32"/>
          <w:szCs w:val="32"/>
        </w:rPr>
        <w:t>万元</w:t>
      </w:r>
      <w:r>
        <w:rPr>
          <w:rFonts w:ascii="仿宋_GB2312" w:hAnsi="Cambria" w:eastAsia="仿宋_GB2312" w:cs="ArialUnicodeMS"/>
          <w:kern w:val="0"/>
          <w:sz w:val="32"/>
          <w:szCs w:val="32"/>
        </w:rPr>
        <w:t>,</w:t>
      </w:r>
      <w:r>
        <w:rPr>
          <w:rFonts w:hint="eastAsia" w:ascii="仿宋_GB2312" w:hAnsi="Cambria" w:eastAsia="仿宋_GB2312" w:cs="ArialUnicodeMS"/>
          <w:kern w:val="0"/>
          <w:sz w:val="32"/>
          <w:szCs w:val="32"/>
        </w:rPr>
        <w:t>比</w:t>
      </w:r>
      <w:r>
        <w:rPr>
          <w:rFonts w:ascii="仿宋_GB2312" w:hAnsi="Cambria" w:eastAsia="仿宋_GB2312" w:cs="ArialUnicodeMS"/>
          <w:kern w:val="0"/>
          <w:sz w:val="32"/>
          <w:szCs w:val="32"/>
        </w:rPr>
        <w:t>2017</w:t>
      </w:r>
      <w:r>
        <w:rPr>
          <w:rFonts w:hint="eastAsia" w:ascii="仿宋_GB2312" w:hAnsi="Cambria" w:eastAsia="仿宋_GB2312" w:cs="ArialUnicodeMS"/>
          <w:kern w:val="0"/>
          <w:sz w:val="32"/>
          <w:szCs w:val="32"/>
        </w:rPr>
        <w:t>年度增加</w:t>
      </w:r>
      <w:r>
        <w:rPr>
          <w:rFonts w:ascii="仿宋_GB2312" w:hAnsi="Cambria" w:eastAsia="仿宋_GB2312" w:cs="ArialUnicodeMS"/>
          <w:kern w:val="0"/>
          <w:sz w:val="32"/>
          <w:szCs w:val="32"/>
        </w:rPr>
        <w:t>1928.22</w:t>
      </w:r>
      <w:r>
        <w:rPr>
          <w:rFonts w:hint="eastAsia" w:ascii="仿宋_GB2312" w:hAnsi="Cambria" w:eastAsia="仿宋_GB2312" w:cs="ArialUnicodeMS"/>
          <w:kern w:val="0"/>
          <w:sz w:val="32"/>
          <w:szCs w:val="32"/>
        </w:rPr>
        <w:t>万元，增长</w:t>
      </w:r>
      <w:r>
        <w:rPr>
          <w:rFonts w:ascii="仿宋_GB2312" w:hAnsi="Cambria" w:eastAsia="仿宋_GB2312" w:cs="ArialUnicodeMS"/>
          <w:kern w:val="0"/>
          <w:sz w:val="32"/>
          <w:szCs w:val="32"/>
        </w:rPr>
        <w:t>131.85%</w:t>
      </w:r>
      <w:r>
        <w:rPr>
          <w:rFonts w:hint="eastAsia" w:ascii="仿宋_GB2312" w:hAnsi="Cambria" w:eastAsia="仿宋_GB2312" w:cs="ArialUnicodeMS"/>
          <w:kern w:val="0"/>
          <w:sz w:val="32"/>
          <w:szCs w:val="32"/>
        </w:rPr>
        <w:t>，主要是</w:t>
      </w:r>
      <w:r>
        <w:rPr>
          <w:rFonts w:ascii="仿宋_GB2312" w:hAnsi="Cambria" w:eastAsia="仿宋_GB2312" w:cs="ArialUnicodeMS"/>
          <w:kern w:val="0"/>
          <w:sz w:val="32"/>
          <w:szCs w:val="32"/>
        </w:rPr>
        <w:t>2018</w:t>
      </w:r>
      <w:r>
        <w:rPr>
          <w:rFonts w:hint="eastAsia" w:ascii="仿宋_GB2312" w:hAnsi="Cambria" w:eastAsia="仿宋_GB2312" w:cs="ArialUnicodeMS"/>
          <w:kern w:val="0"/>
          <w:sz w:val="32"/>
          <w:szCs w:val="32"/>
        </w:rPr>
        <w:t>年度项目投入大，导致项目资金增加；人员工资涨幅大，导致基本支出增大；本年支出</w:t>
      </w:r>
      <w:r>
        <w:rPr>
          <w:rFonts w:ascii="仿宋_GB2312" w:hAnsi="Cambria" w:eastAsia="仿宋_GB2312" w:cs="ArialUnicodeMS"/>
          <w:kern w:val="0"/>
          <w:sz w:val="32"/>
          <w:szCs w:val="32"/>
        </w:rPr>
        <w:t>3390.66</w:t>
      </w:r>
      <w:r>
        <w:rPr>
          <w:rFonts w:hint="eastAsia" w:ascii="仿宋_GB2312" w:hAnsi="Cambria" w:eastAsia="仿宋_GB2312" w:cs="ArialUnicodeMS"/>
          <w:kern w:val="0"/>
          <w:sz w:val="32"/>
          <w:szCs w:val="32"/>
        </w:rPr>
        <w:t>万元，增加</w:t>
      </w:r>
      <w:r>
        <w:rPr>
          <w:rFonts w:ascii="仿宋_GB2312" w:hAnsi="Cambria" w:eastAsia="仿宋_GB2312" w:cs="ArialUnicodeMS"/>
          <w:kern w:val="0"/>
          <w:sz w:val="32"/>
          <w:szCs w:val="32"/>
        </w:rPr>
        <w:t>1928.22</w:t>
      </w:r>
      <w:r>
        <w:rPr>
          <w:rFonts w:hint="eastAsia" w:ascii="仿宋_GB2312" w:hAnsi="Cambria" w:eastAsia="仿宋_GB2312" w:cs="ArialUnicodeMS"/>
          <w:kern w:val="0"/>
          <w:sz w:val="32"/>
          <w:szCs w:val="32"/>
        </w:rPr>
        <w:t>万元，增长</w:t>
      </w:r>
      <w:r>
        <w:rPr>
          <w:rFonts w:ascii="仿宋_GB2312" w:hAnsi="Cambria" w:eastAsia="仿宋_GB2312" w:cs="ArialUnicodeMS"/>
          <w:kern w:val="0"/>
          <w:sz w:val="32"/>
          <w:szCs w:val="32"/>
        </w:rPr>
        <w:t>131.85%</w:t>
      </w:r>
      <w:r>
        <w:rPr>
          <w:rFonts w:hint="eastAsia" w:ascii="仿宋_GB2312" w:hAnsi="Cambria" w:eastAsia="仿宋_GB2312" w:cs="ArialUnicodeMS"/>
          <w:kern w:val="0"/>
          <w:sz w:val="32"/>
          <w:szCs w:val="32"/>
        </w:rPr>
        <w:t>，主要是</w:t>
      </w:r>
      <w:r>
        <w:rPr>
          <w:rFonts w:ascii="仿宋_GB2312" w:hAnsi="Cambria" w:eastAsia="仿宋_GB2312" w:cs="ArialUnicodeMS"/>
          <w:kern w:val="0"/>
          <w:sz w:val="32"/>
          <w:szCs w:val="32"/>
        </w:rPr>
        <w:t>2018</w:t>
      </w:r>
      <w:r>
        <w:rPr>
          <w:rFonts w:hint="eastAsia" w:ascii="仿宋_GB2312" w:hAnsi="Cambria" w:eastAsia="仿宋_GB2312" w:cs="ArialUnicodeMS"/>
          <w:kern w:val="0"/>
          <w:sz w:val="32"/>
          <w:szCs w:val="32"/>
        </w:rPr>
        <w:t>年度项目投入大，导致项目资金增加；人员工资涨幅大，导致基本支出增大。</w:t>
      </w:r>
    </w:p>
    <w:p>
      <w:pPr>
        <w:adjustRightInd w:val="0"/>
        <w:snapToGrid w:val="0"/>
        <w:spacing w:after="0" w:line="580" w:lineRule="exact"/>
        <w:ind w:firstLine="640" w:firstLineChars="200"/>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其中：一般公共预算财政拨款本年收入</w:t>
      </w:r>
      <w:r>
        <w:rPr>
          <w:rFonts w:ascii="仿宋_GB2312" w:hAnsi="Cambria" w:eastAsia="仿宋_GB2312" w:cs="ArialUnicodeMS"/>
          <w:kern w:val="0"/>
          <w:sz w:val="32"/>
          <w:szCs w:val="32"/>
        </w:rPr>
        <w:t>2358.66</w:t>
      </w:r>
      <w:r>
        <w:rPr>
          <w:rFonts w:hint="eastAsia" w:ascii="仿宋_GB2312" w:hAnsi="Cambria" w:eastAsia="仿宋_GB2312" w:cs="ArialUnicodeMS"/>
          <w:kern w:val="0"/>
          <w:sz w:val="32"/>
          <w:szCs w:val="32"/>
        </w:rPr>
        <w:t>万元，比上年增加</w:t>
      </w:r>
      <w:r>
        <w:rPr>
          <w:rFonts w:ascii="仿宋_GB2312" w:hAnsi="Cambria" w:eastAsia="仿宋_GB2312" w:cs="ArialUnicodeMS"/>
          <w:kern w:val="0"/>
          <w:sz w:val="32"/>
          <w:szCs w:val="32"/>
        </w:rPr>
        <w:t>896.22</w:t>
      </w:r>
      <w:r>
        <w:rPr>
          <w:rFonts w:hint="eastAsia" w:ascii="仿宋_GB2312" w:hAnsi="Cambria" w:eastAsia="仿宋_GB2312" w:cs="ArialUnicodeMS"/>
          <w:kern w:val="0"/>
          <w:sz w:val="32"/>
          <w:szCs w:val="32"/>
        </w:rPr>
        <w:t>万元；主要是</w:t>
      </w:r>
      <w:r>
        <w:rPr>
          <w:rFonts w:ascii="仿宋_GB2312" w:hAnsi="Cambria" w:eastAsia="仿宋_GB2312" w:cs="ArialUnicodeMS"/>
          <w:kern w:val="0"/>
          <w:sz w:val="32"/>
          <w:szCs w:val="32"/>
        </w:rPr>
        <w:t>2018</w:t>
      </w:r>
      <w:r>
        <w:rPr>
          <w:rFonts w:hint="eastAsia" w:ascii="仿宋_GB2312" w:hAnsi="Cambria" w:eastAsia="仿宋_GB2312" w:cs="ArialUnicodeMS"/>
          <w:kern w:val="0"/>
          <w:sz w:val="32"/>
          <w:szCs w:val="32"/>
        </w:rPr>
        <w:t>年度项目投入大，导致项目资金增加；人员工资涨幅大，导致基本支出增大；本年支出</w:t>
      </w:r>
      <w:r>
        <w:rPr>
          <w:rFonts w:ascii="仿宋_GB2312" w:hAnsi="Cambria" w:eastAsia="仿宋_GB2312" w:cs="ArialUnicodeMS"/>
          <w:kern w:val="0"/>
          <w:sz w:val="32"/>
          <w:szCs w:val="32"/>
        </w:rPr>
        <w:t>2358.66</w:t>
      </w:r>
      <w:r>
        <w:rPr>
          <w:rFonts w:hint="eastAsia" w:ascii="仿宋_GB2312" w:hAnsi="Cambria" w:eastAsia="仿宋_GB2312" w:cs="ArialUnicodeMS"/>
          <w:kern w:val="0"/>
          <w:sz w:val="32"/>
          <w:szCs w:val="32"/>
        </w:rPr>
        <w:t>万元，比上年增加</w:t>
      </w:r>
      <w:r>
        <w:rPr>
          <w:rFonts w:ascii="仿宋_GB2312" w:hAnsi="Cambria" w:eastAsia="仿宋_GB2312" w:cs="ArialUnicodeMS"/>
          <w:kern w:val="0"/>
          <w:sz w:val="32"/>
          <w:szCs w:val="32"/>
        </w:rPr>
        <w:t>896.22</w:t>
      </w:r>
      <w:r>
        <w:rPr>
          <w:rFonts w:hint="eastAsia" w:ascii="仿宋_GB2312" w:hAnsi="Cambria" w:eastAsia="仿宋_GB2312" w:cs="ArialUnicodeMS"/>
          <w:kern w:val="0"/>
          <w:sz w:val="32"/>
          <w:szCs w:val="32"/>
        </w:rPr>
        <w:t>万元，增长</w:t>
      </w:r>
      <w:r>
        <w:rPr>
          <w:rFonts w:ascii="仿宋_GB2312" w:hAnsi="Cambria" w:eastAsia="仿宋_GB2312" w:cs="ArialUnicodeMS"/>
          <w:kern w:val="0"/>
          <w:sz w:val="32"/>
          <w:szCs w:val="32"/>
        </w:rPr>
        <w:t>61.28%</w:t>
      </w:r>
      <w:r>
        <w:rPr>
          <w:rFonts w:hint="eastAsia" w:ascii="仿宋_GB2312" w:hAnsi="Cambria" w:eastAsia="仿宋_GB2312" w:cs="ArialUnicodeMS"/>
          <w:kern w:val="0"/>
          <w:sz w:val="32"/>
          <w:szCs w:val="32"/>
        </w:rPr>
        <w:t>，主要是</w:t>
      </w:r>
      <w:r>
        <w:rPr>
          <w:rFonts w:ascii="仿宋_GB2312" w:hAnsi="Cambria" w:eastAsia="仿宋_GB2312" w:cs="ArialUnicodeMS"/>
          <w:kern w:val="0"/>
          <w:sz w:val="32"/>
          <w:szCs w:val="32"/>
        </w:rPr>
        <w:t>2018</w:t>
      </w:r>
      <w:r>
        <w:rPr>
          <w:rFonts w:hint="eastAsia" w:ascii="仿宋_GB2312" w:hAnsi="Cambria" w:eastAsia="仿宋_GB2312" w:cs="ArialUnicodeMS"/>
          <w:kern w:val="0"/>
          <w:sz w:val="32"/>
          <w:szCs w:val="32"/>
        </w:rPr>
        <w:t>年度项目投入大，导致项目资金增加；人员工资涨幅大，导致基本支出增大。政府性基金预算财政拨款本年收入</w:t>
      </w:r>
      <w:r>
        <w:rPr>
          <w:rFonts w:ascii="仿宋_GB2312" w:hAnsi="Cambria" w:eastAsia="仿宋_GB2312" w:cs="ArialUnicodeMS"/>
          <w:kern w:val="0"/>
          <w:sz w:val="32"/>
          <w:szCs w:val="32"/>
        </w:rPr>
        <w:t>1032</w:t>
      </w:r>
      <w:r>
        <w:rPr>
          <w:rFonts w:hint="eastAsia" w:ascii="仿宋_GB2312" w:hAnsi="Cambria" w:eastAsia="仿宋_GB2312" w:cs="ArialUnicodeMS"/>
          <w:kern w:val="0"/>
          <w:sz w:val="32"/>
          <w:szCs w:val="32"/>
        </w:rPr>
        <w:t>万元，比上年增加</w:t>
      </w:r>
      <w:r>
        <w:rPr>
          <w:rFonts w:ascii="仿宋_GB2312" w:hAnsi="Cambria" w:eastAsia="仿宋_GB2312" w:cs="ArialUnicodeMS"/>
          <w:kern w:val="0"/>
          <w:sz w:val="32"/>
          <w:szCs w:val="32"/>
        </w:rPr>
        <w:t>1032</w:t>
      </w:r>
      <w:r>
        <w:rPr>
          <w:rFonts w:hint="eastAsia" w:ascii="仿宋_GB2312" w:hAnsi="Cambria" w:eastAsia="仿宋_GB2312" w:cs="ArialUnicodeMS"/>
          <w:kern w:val="0"/>
          <w:sz w:val="32"/>
          <w:szCs w:val="32"/>
        </w:rPr>
        <w:t>万元，主要原因是</w:t>
      </w:r>
      <w:r>
        <w:rPr>
          <w:rFonts w:ascii="仿宋_GB2312" w:hAnsi="Cambria" w:eastAsia="仿宋_GB2312" w:cs="ArialUnicodeMS"/>
          <w:kern w:val="0"/>
          <w:sz w:val="32"/>
          <w:szCs w:val="32"/>
        </w:rPr>
        <w:t>2018</w:t>
      </w:r>
      <w:r>
        <w:rPr>
          <w:rFonts w:hint="eastAsia" w:ascii="仿宋_GB2312" w:hAnsi="Cambria" w:eastAsia="仿宋_GB2312" w:cs="ArialUnicodeMS"/>
          <w:kern w:val="0"/>
          <w:sz w:val="32"/>
          <w:szCs w:val="32"/>
        </w:rPr>
        <w:t>年度项目投入大，导致项目资金增加；本年支出</w:t>
      </w:r>
      <w:r>
        <w:rPr>
          <w:rFonts w:ascii="仿宋_GB2312" w:hAnsi="Cambria" w:eastAsia="仿宋_GB2312" w:cs="ArialUnicodeMS"/>
          <w:kern w:val="0"/>
          <w:sz w:val="32"/>
          <w:szCs w:val="32"/>
        </w:rPr>
        <w:t>1032</w:t>
      </w:r>
      <w:r>
        <w:rPr>
          <w:rFonts w:hint="eastAsia" w:ascii="仿宋_GB2312" w:hAnsi="Cambria" w:eastAsia="仿宋_GB2312" w:cs="ArialUnicodeMS"/>
          <w:kern w:val="0"/>
          <w:sz w:val="32"/>
          <w:szCs w:val="32"/>
        </w:rPr>
        <w:t>万元，比上年增加</w:t>
      </w:r>
      <w:r>
        <w:rPr>
          <w:rFonts w:ascii="仿宋_GB2312" w:hAnsi="Cambria" w:eastAsia="仿宋_GB2312" w:cs="ArialUnicodeMS"/>
          <w:kern w:val="0"/>
          <w:sz w:val="32"/>
          <w:szCs w:val="32"/>
        </w:rPr>
        <w:t>1032</w:t>
      </w:r>
      <w:r>
        <w:rPr>
          <w:rFonts w:hint="eastAsia" w:ascii="仿宋_GB2312" w:hAnsi="Cambria" w:eastAsia="仿宋_GB2312" w:cs="ArialUnicodeMS"/>
          <w:kern w:val="0"/>
          <w:sz w:val="32"/>
          <w:szCs w:val="32"/>
        </w:rPr>
        <w:t>万元，主要是</w:t>
      </w:r>
      <w:r>
        <w:rPr>
          <w:rFonts w:ascii="仿宋_GB2312" w:hAnsi="Cambria" w:eastAsia="仿宋_GB2312" w:cs="ArialUnicodeMS"/>
          <w:kern w:val="0"/>
          <w:sz w:val="32"/>
          <w:szCs w:val="32"/>
        </w:rPr>
        <w:t>2018</w:t>
      </w:r>
      <w:r>
        <w:rPr>
          <w:rFonts w:hint="eastAsia" w:ascii="仿宋_GB2312" w:hAnsi="Cambria" w:eastAsia="仿宋_GB2312" w:cs="ArialUnicodeMS"/>
          <w:kern w:val="0"/>
          <w:sz w:val="32"/>
          <w:szCs w:val="32"/>
        </w:rPr>
        <w:t>年度项目投入大，导致项目资金增加。</w:t>
      </w:r>
    </w:p>
    <w:p>
      <w:pPr>
        <w:adjustRightInd w:val="0"/>
        <w:snapToGrid w:val="0"/>
        <w:spacing w:after="0" w:line="580" w:lineRule="exact"/>
        <w:ind w:firstLine="420" w:firstLineChars="200"/>
        <w:rPr>
          <w:rFonts w:ascii="仿宋_GB2312" w:eastAsia="仿宋_GB2312" w:cs="DengXian-Regular"/>
          <w:sz w:val="32"/>
          <w:szCs w:val="32"/>
        </w:rPr>
      </w:pPr>
      <w:r>
        <w:pict>
          <v:group id="_x0000_s1082" o:spid="_x0000_s1082" o:spt="203" style="position:absolute;left:0pt;margin-left:51.3pt;margin-top:2.55pt;height:249.95pt;width:331.1pt;z-index:1024;mso-width-relative:page;mso-height-relative:page;" coordorigin="2614,6789" coordsize="6622,4999">
            <o:lock v:ext="edit"/>
            <v:shape id="文本框 66" o:spid="_x0000_s1083" o:spt="202" type="#_x0000_t202" style="position:absolute;left:2614;top:10945;height:843;width:6622;" fillcolor="#C8ECCC" filled="t" stroked="f" coordsize="21600,21600">
              <v:path/>
              <v:fill on="t"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w:t>
                    </w:r>
                    <w:r>
                      <w:rPr>
                        <w:rFonts w:ascii="仿宋_GB2312" w:eastAsia="仿宋_GB2312" w:cs="DengXian-Regular"/>
                        <w:sz w:val="28"/>
                        <w:szCs w:val="28"/>
                      </w:rPr>
                      <w:t>3</w:t>
                    </w:r>
                    <w:r>
                      <w:rPr>
                        <w:rFonts w:hint="eastAsia" w:ascii="仿宋_GB2312" w:eastAsia="仿宋_GB2312" w:cs="DengXian-Regular"/>
                        <w:sz w:val="28"/>
                        <w:szCs w:val="28"/>
                      </w:rPr>
                      <w:t>：</w:t>
                    </w:r>
                    <w:r>
                      <w:rPr>
                        <w:rFonts w:ascii="仿宋_GB2312" w:eastAsia="仿宋_GB2312" w:cs="DengXian-Regular"/>
                        <w:sz w:val="28"/>
                        <w:szCs w:val="28"/>
                      </w:rPr>
                      <w:t>2017-2018</w:t>
                    </w:r>
                    <w:r>
                      <w:rPr>
                        <w:rFonts w:hint="eastAsia" w:ascii="仿宋_GB2312" w:eastAsia="仿宋_GB2312" w:cs="DengXian-Regular"/>
                        <w:sz w:val="28"/>
                        <w:szCs w:val="28"/>
                      </w:rPr>
                      <w:t>年财政拨款收支情况</w:t>
                    </w:r>
                  </w:p>
                  <w:p>
                    <w:pPr>
                      <w:rPr>
                        <w:sz w:val="20"/>
                        <w:szCs w:val="22"/>
                      </w:rPr>
                    </w:pPr>
                  </w:p>
                </w:txbxContent>
              </v:textbox>
            </v:shape>
            <v:shape id="_x0000_s1084" o:spid="_x0000_s1084" o:spt="75" type="#_x0000_t75" style="position:absolute;left:3198;top:6789;height:3927;width:5626;" filled="f" o:preferrelative="t" stroked="f" coordsize="21600,21600">
              <v:path/>
              <v:fill on="f" focussize="0,0"/>
              <v:stroke on="f" joinstyle="miter"/>
              <v:imagedata r:id="rId8" o:title=""/>
              <o:lock v:ext="edit" aspectratio="t"/>
            </v:shape>
          </v:group>
        </w:pict>
      </w:r>
    </w:p>
    <w:p>
      <w:pPr>
        <w:adjustRightInd w:val="0"/>
        <w:snapToGrid w:val="0"/>
        <w:spacing w:after="0" w:line="580" w:lineRule="exact"/>
        <w:rPr>
          <w:rFonts w:ascii="仿宋_GB2312" w:eastAsia="仿宋_GB2312" w:cs="DengXian-Regular"/>
          <w:sz w:val="32"/>
          <w:szCs w:val="32"/>
        </w:rPr>
      </w:pPr>
    </w:p>
    <w:p>
      <w:pPr>
        <w:adjustRightInd w:val="0"/>
        <w:snapToGrid w:val="0"/>
        <w:spacing w:after="0" w:line="580" w:lineRule="exact"/>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rPr>
          <w:rFonts w:ascii="仿宋_GB2312" w:eastAsia="仿宋_GB2312" w:cs="DengXian-Regular"/>
          <w:sz w:val="32"/>
          <w:szCs w:val="32"/>
        </w:rPr>
      </w:pPr>
    </w:p>
    <w:p>
      <w:pPr>
        <w:adjustRightInd w:val="0"/>
        <w:snapToGrid w:val="0"/>
        <w:spacing w:after="0" w:line="580" w:lineRule="exact"/>
        <w:rPr>
          <w:rFonts w:ascii="仿宋_GB2312" w:eastAsia="仿宋_GB2312" w:cs="DengXian-Regular"/>
          <w:sz w:val="32"/>
          <w:szCs w:val="32"/>
        </w:rPr>
      </w:pPr>
    </w:p>
    <w:p>
      <w:pPr>
        <w:adjustRightInd w:val="0"/>
        <w:snapToGrid w:val="0"/>
        <w:spacing w:after="0" w:line="580" w:lineRule="exact"/>
        <w:jc w:val="center"/>
        <w:rPr>
          <w:rFonts w:ascii="仿宋_GB2312" w:eastAsia="仿宋_GB2312" w:cs="DengXian-Regular"/>
          <w:sz w:val="32"/>
          <w:szCs w:val="32"/>
        </w:rPr>
      </w:pPr>
    </w:p>
    <w:p>
      <w:pPr>
        <w:adjustRightInd w:val="0"/>
        <w:snapToGrid w:val="0"/>
        <w:spacing w:after="0" w:line="580" w:lineRule="exact"/>
        <w:rPr>
          <w:rFonts w:ascii="仿宋_GB2312" w:eastAsia="仿宋_GB2312" w:cs="DengXian-Regular"/>
          <w:sz w:val="32"/>
          <w:szCs w:val="32"/>
        </w:rPr>
      </w:pPr>
    </w:p>
    <w:p>
      <w:pPr>
        <w:adjustRightInd w:val="0"/>
        <w:snapToGrid w:val="0"/>
        <w:spacing w:after="0" w:line="580" w:lineRule="exact"/>
        <w:rPr>
          <w:rFonts w:ascii="仿宋_GB2312" w:eastAsia="仿宋_GB2312" w:cs="DengXian-Regular"/>
          <w:sz w:val="32"/>
          <w:szCs w:val="32"/>
        </w:rPr>
      </w:pP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本部门</w:t>
      </w:r>
      <w:r>
        <w:rPr>
          <w:rFonts w:ascii="仿宋_GB2312" w:hAnsi="Cambria" w:eastAsia="仿宋_GB2312" w:cs="ArialUnicodeMS"/>
          <w:kern w:val="0"/>
          <w:sz w:val="32"/>
          <w:szCs w:val="32"/>
        </w:rPr>
        <w:t>2018</w:t>
      </w:r>
      <w:r>
        <w:rPr>
          <w:rFonts w:hint="eastAsia" w:ascii="仿宋_GB2312" w:hAnsi="Cambria" w:eastAsia="仿宋_GB2312" w:cs="ArialUnicodeMS"/>
          <w:kern w:val="0"/>
          <w:sz w:val="32"/>
          <w:szCs w:val="32"/>
        </w:rPr>
        <w:t>年度财政拨款本年收入</w:t>
      </w:r>
      <w:r>
        <w:rPr>
          <w:rFonts w:ascii="仿宋_GB2312" w:hAnsi="Cambria" w:eastAsia="仿宋_GB2312" w:cs="ArialUnicodeMS"/>
          <w:kern w:val="0"/>
          <w:sz w:val="32"/>
          <w:szCs w:val="32"/>
        </w:rPr>
        <w:t>3390.66</w:t>
      </w:r>
      <w:r>
        <w:rPr>
          <w:rFonts w:hint="eastAsia" w:ascii="仿宋_GB2312" w:hAnsi="Cambria" w:eastAsia="仿宋_GB2312" w:cs="ArialUnicodeMS"/>
          <w:kern w:val="0"/>
          <w:sz w:val="32"/>
          <w:szCs w:val="32"/>
        </w:rPr>
        <w:t>万元，完成年初预算的</w:t>
      </w:r>
      <w:r>
        <w:rPr>
          <w:rFonts w:ascii="仿宋_GB2312" w:hAnsi="Cambria" w:eastAsia="仿宋_GB2312" w:cs="ArialUnicodeMS"/>
          <w:kern w:val="0"/>
          <w:sz w:val="32"/>
          <w:szCs w:val="32"/>
        </w:rPr>
        <w:t>239.35%,</w:t>
      </w:r>
      <w:r>
        <w:rPr>
          <w:rFonts w:hint="eastAsia" w:ascii="仿宋_GB2312" w:hAnsi="Cambria" w:eastAsia="仿宋_GB2312" w:cs="ArialUnicodeMS"/>
          <w:kern w:val="0"/>
          <w:sz w:val="32"/>
          <w:szCs w:val="32"/>
        </w:rPr>
        <w:t>比年初预算增加</w:t>
      </w:r>
      <w:r>
        <w:rPr>
          <w:rFonts w:ascii="仿宋_GB2312" w:hAnsi="Cambria" w:eastAsia="仿宋_GB2312" w:cs="ArialUnicodeMS"/>
          <w:kern w:val="0"/>
          <w:sz w:val="32"/>
          <w:szCs w:val="32"/>
        </w:rPr>
        <w:t>1974.05</w:t>
      </w:r>
      <w:r>
        <w:rPr>
          <w:rFonts w:hint="eastAsia" w:ascii="仿宋_GB2312" w:hAnsi="Cambria" w:eastAsia="仿宋_GB2312" w:cs="ArialUnicodeMS"/>
          <w:kern w:val="0"/>
          <w:sz w:val="32"/>
          <w:szCs w:val="32"/>
        </w:rPr>
        <w:t>万元，决算数大于预算数主要原因是</w:t>
      </w:r>
      <w:r>
        <w:rPr>
          <w:rFonts w:ascii="仿宋_GB2312" w:hAnsi="Cambria" w:eastAsia="仿宋_GB2312" w:cs="ArialUnicodeMS"/>
          <w:kern w:val="0"/>
          <w:sz w:val="32"/>
          <w:szCs w:val="32"/>
        </w:rPr>
        <w:t>2018</w:t>
      </w:r>
      <w:r>
        <w:rPr>
          <w:rFonts w:hint="eastAsia" w:ascii="仿宋_GB2312" w:hAnsi="Cambria" w:eastAsia="仿宋_GB2312" w:cs="ArialUnicodeMS"/>
          <w:kern w:val="0"/>
          <w:sz w:val="32"/>
          <w:szCs w:val="32"/>
        </w:rPr>
        <w:t>年度项目投入大，导致项目资金增加；人员工资涨幅大，导致基本支出增大；本年支出</w:t>
      </w:r>
      <w:r>
        <w:rPr>
          <w:rFonts w:ascii="仿宋_GB2312" w:hAnsi="Cambria" w:eastAsia="仿宋_GB2312" w:cs="ArialUnicodeMS"/>
          <w:kern w:val="0"/>
          <w:sz w:val="32"/>
          <w:szCs w:val="32"/>
        </w:rPr>
        <w:t>3390.66</w:t>
      </w:r>
      <w:r>
        <w:rPr>
          <w:rFonts w:hint="eastAsia" w:ascii="仿宋_GB2312" w:hAnsi="Cambria" w:eastAsia="仿宋_GB2312" w:cs="ArialUnicodeMS"/>
          <w:kern w:val="0"/>
          <w:sz w:val="32"/>
          <w:szCs w:val="32"/>
        </w:rPr>
        <w:t>万元，完成年初预算的</w:t>
      </w:r>
      <w:r>
        <w:rPr>
          <w:rFonts w:ascii="仿宋_GB2312" w:hAnsi="Cambria" w:eastAsia="仿宋_GB2312" w:cs="ArialUnicodeMS"/>
          <w:kern w:val="0"/>
          <w:sz w:val="32"/>
          <w:szCs w:val="32"/>
        </w:rPr>
        <w:t>239.35%,</w:t>
      </w:r>
      <w:r>
        <w:rPr>
          <w:rFonts w:hint="eastAsia" w:ascii="仿宋_GB2312" w:hAnsi="Cambria" w:eastAsia="仿宋_GB2312" w:cs="ArialUnicodeMS"/>
          <w:kern w:val="0"/>
          <w:sz w:val="32"/>
          <w:szCs w:val="32"/>
        </w:rPr>
        <w:t>比年初预算增加</w:t>
      </w:r>
      <w:r>
        <w:rPr>
          <w:rFonts w:ascii="仿宋_GB2312" w:hAnsi="Cambria" w:eastAsia="仿宋_GB2312" w:cs="ArialUnicodeMS"/>
          <w:kern w:val="0"/>
          <w:sz w:val="32"/>
          <w:szCs w:val="32"/>
        </w:rPr>
        <w:t>1974.05</w:t>
      </w:r>
      <w:r>
        <w:rPr>
          <w:rFonts w:hint="eastAsia" w:ascii="仿宋_GB2312" w:hAnsi="Cambria" w:eastAsia="仿宋_GB2312" w:cs="ArialUnicodeMS"/>
          <w:kern w:val="0"/>
          <w:sz w:val="32"/>
          <w:szCs w:val="32"/>
        </w:rPr>
        <w:t>万元，决算数大于预算数主要原因是主要是</w:t>
      </w:r>
      <w:r>
        <w:rPr>
          <w:rFonts w:ascii="仿宋_GB2312" w:hAnsi="Cambria" w:eastAsia="仿宋_GB2312" w:cs="ArialUnicodeMS"/>
          <w:kern w:val="0"/>
          <w:sz w:val="32"/>
          <w:szCs w:val="32"/>
        </w:rPr>
        <w:t>2018</w:t>
      </w:r>
      <w:r>
        <w:rPr>
          <w:rFonts w:hint="eastAsia" w:ascii="仿宋_GB2312" w:hAnsi="Cambria" w:eastAsia="仿宋_GB2312" w:cs="ArialUnicodeMS"/>
          <w:kern w:val="0"/>
          <w:sz w:val="32"/>
          <w:szCs w:val="32"/>
        </w:rPr>
        <w:t>年度项目投入大，导致项目资金增加；人员工资涨幅大，导致基本支出增大。</w:t>
      </w:r>
    </w:p>
    <w:p>
      <w:pPr>
        <w:adjustRightInd w:val="0"/>
        <w:snapToGrid w:val="0"/>
        <w:spacing w:after="0" w:line="580" w:lineRule="exact"/>
        <w:ind w:firstLine="640" w:firstLineChars="200"/>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其中，一般公共预算财政拨款本年收入完成年初预算</w:t>
      </w:r>
      <w:r>
        <w:rPr>
          <w:rFonts w:ascii="仿宋_GB2312" w:hAnsi="Cambria" w:eastAsia="仿宋_GB2312" w:cs="ArialUnicodeMS"/>
          <w:kern w:val="0"/>
          <w:sz w:val="32"/>
          <w:szCs w:val="32"/>
        </w:rPr>
        <w:t>166.5%</w:t>
      </w:r>
      <w:r>
        <w:rPr>
          <w:rFonts w:hint="eastAsia" w:ascii="仿宋_GB2312" w:hAnsi="Cambria" w:eastAsia="仿宋_GB2312" w:cs="ArialUnicodeMS"/>
          <w:kern w:val="0"/>
          <w:sz w:val="32"/>
          <w:szCs w:val="32"/>
        </w:rPr>
        <w:t>，比年初预算增加</w:t>
      </w:r>
      <w:r>
        <w:rPr>
          <w:rFonts w:ascii="仿宋_GB2312" w:hAnsi="Cambria" w:eastAsia="仿宋_GB2312" w:cs="ArialUnicodeMS"/>
          <w:kern w:val="0"/>
          <w:sz w:val="32"/>
          <w:szCs w:val="32"/>
        </w:rPr>
        <w:t>942.05</w:t>
      </w:r>
      <w:r>
        <w:rPr>
          <w:rFonts w:hint="eastAsia" w:ascii="仿宋_GB2312" w:hAnsi="Cambria" w:eastAsia="仿宋_GB2312" w:cs="ArialUnicodeMS"/>
          <w:kern w:val="0"/>
          <w:sz w:val="32"/>
          <w:szCs w:val="32"/>
        </w:rPr>
        <w:t>万元，主要是</w:t>
      </w:r>
      <w:r>
        <w:rPr>
          <w:rFonts w:ascii="仿宋_GB2312" w:hAnsi="Cambria" w:eastAsia="仿宋_GB2312" w:cs="ArialUnicodeMS"/>
          <w:kern w:val="0"/>
          <w:sz w:val="32"/>
          <w:szCs w:val="32"/>
        </w:rPr>
        <w:t>2018</w:t>
      </w:r>
      <w:r>
        <w:rPr>
          <w:rFonts w:hint="eastAsia" w:ascii="仿宋_GB2312" w:hAnsi="Cambria" w:eastAsia="仿宋_GB2312" w:cs="ArialUnicodeMS"/>
          <w:kern w:val="0"/>
          <w:sz w:val="32"/>
          <w:szCs w:val="32"/>
        </w:rPr>
        <w:t>年度项目投入大，导致项目资金增加；人员工资涨幅大，导致基本支出增大；支出完成年初预算</w:t>
      </w:r>
      <w:r>
        <w:rPr>
          <w:rFonts w:ascii="仿宋_GB2312" w:hAnsi="Cambria" w:eastAsia="仿宋_GB2312" w:cs="ArialUnicodeMS"/>
          <w:kern w:val="0"/>
          <w:sz w:val="32"/>
          <w:szCs w:val="32"/>
        </w:rPr>
        <w:t>166.5%</w:t>
      </w:r>
      <w:r>
        <w:rPr>
          <w:rFonts w:hint="eastAsia" w:ascii="仿宋_GB2312" w:hAnsi="Cambria" w:eastAsia="仿宋_GB2312" w:cs="ArialUnicodeMS"/>
          <w:kern w:val="0"/>
          <w:sz w:val="32"/>
          <w:szCs w:val="32"/>
        </w:rPr>
        <w:t>，比年初预算增加</w:t>
      </w:r>
      <w:r>
        <w:rPr>
          <w:rFonts w:ascii="仿宋_GB2312" w:hAnsi="Cambria" w:eastAsia="仿宋_GB2312" w:cs="ArialUnicodeMS"/>
          <w:kern w:val="0"/>
          <w:sz w:val="32"/>
          <w:szCs w:val="32"/>
        </w:rPr>
        <w:t>942.05</w:t>
      </w:r>
      <w:r>
        <w:rPr>
          <w:rFonts w:hint="eastAsia" w:ascii="仿宋_GB2312" w:hAnsi="Cambria" w:eastAsia="仿宋_GB2312" w:cs="ArialUnicodeMS"/>
          <w:kern w:val="0"/>
          <w:sz w:val="32"/>
          <w:szCs w:val="32"/>
        </w:rPr>
        <w:t>万元，主要是</w:t>
      </w:r>
      <w:r>
        <w:rPr>
          <w:rFonts w:ascii="仿宋_GB2312" w:hAnsi="Cambria" w:eastAsia="仿宋_GB2312" w:cs="ArialUnicodeMS"/>
          <w:kern w:val="0"/>
          <w:sz w:val="32"/>
          <w:szCs w:val="32"/>
        </w:rPr>
        <w:t>2018</w:t>
      </w:r>
      <w:r>
        <w:rPr>
          <w:rFonts w:hint="eastAsia" w:ascii="仿宋_GB2312" w:hAnsi="Cambria" w:eastAsia="仿宋_GB2312" w:cs="ArialUnicodeMS"/>
          <w:kern w:val="0"/>
          <w:sz w:val="32"/>
          <w:szCs w:val="32"/>
        </w:rPr>
        <w:t>年度项目投入大，导致项目资金增加；人员工资涨幅大，导致基本支出增大。政府性基金预算财政拨款本年收入比年初预算增加</w:t>
      </w:r>
      <w:r>
        <w:rPr>
          <w:rFonts w:ascii="仿宋_GB2312" w:hAnsi="Cambria" w:eastAsia="仿宋_GB2312" w:cs="ArialUnicodeMS"/>
          <w:kern w:val="0"/>
          <w:sz w:val="32"/>
          <w:szCs w:val="32"/>
        </w:rPr>
        <w:t>1032</w:t>
      </w:r>
      <w:r>
        <w:rPr>
          <w:rFonts w:hint="eastAsia" w:ascii="仿宋_GB2312" w:hAnsi="Cambria" w:eastAsia="仿宋_GB2312" w:cs="ArialUnicodeMS"/>
          <w:kern w:val="0"/>
          <w:sz w:val="32"/>
          <w:szCs w:val="32"/>
        </w:rPr>
        <w:t>万元，主要是</w:t>
      </w:r>
      <w:r>
        <w:rPr>
          <w:rFonts w:ascii="仿宋_GB2312" w:hAnsi="Cambria" w:eastAsia="仿宋_GB2312" w:cs="ArialUnicodeMS"/>
          <w:kern w:val="0"/>
          <w:sz w:val="32"/>
          <w:szCs w:val="32"/>
        </w:rPr>
        <w:t>2018</w:t>
      </w:r>
      <w:r>
        <w:rPr>
          <w:rFonts w:hint="eastAsia" w:ascii="仿宋_GB2312" w:hAnsi="Cambria" w:eastAsia="仿宋_GB2312" w:cs="ArialUnicodeMS"/>
          <w:kern w:val="0"/>
          <w:sz w:val="32"/>
          <w:szCs w:val="32"/>
        </w:rPr>
        <w:t>年度项目投入大，导致项目资金增加；人员工资涨幅大，导致基本支出增大；支出比年初预算增加</w:t>
      </w:r>
      <w:r>
        <w:rPr>
          <w:rFonts w:ascii="仿宋_GB2312" w:hAnsi="Cambria" w:eastAsia="仿宋_GB2312" w:cs="ArialUnicodeMS"/>
          <w:kern w:val="0"/>
          <w:sz w:val="32"/>
          <w:szCs w:val="32"/>
        </w:rPr>
        <w:t>1032</w:t>
      </w:r>
      <w:r>
        <w:rPr>
          <w:rFonts w:hint="eastAsia" w:ascii="仿宋_GB2312" w:hAnsi="Cambria" w:eastAsia="仿宋_GB2312" w:cs="ArialUnicodeMS"/>
          <w:kern w:val="0"/>
          <w:sz w:val="32"/>
          <w:szCs w:val="32"/>
        </w:rPr>
        <w:t>万元，主要是</w:t>
      </w:r>
      <w:r>
        <w:rPr>
          <w:rFonts w:ascii="仿宋_GB2312" w:hAnsi="Cambria" w:eastAsia="仿宋_GB2312" w:cs="ArialUnicodeMS"/>
          <w:kern w:val="0"/>
          <w:sz w:val="32"/>
          <w:szCs w:val="32"/>
        </w:rPr>
        <w:t>2018</w:t>
      </w:r>
      <w:r>
        <w:rPr>
          <w:rFonts w:hint="eastAsia" w:ascii="仿宋_GB2312" w:hAnsi="Cambria" w:eastAsia="仿宋_GB2312" w:cs="ArialUnicodeMS"/>
          <w:kern w:val="0"/>
          <w:sz w:val="32"/>
          <w:szCs w:val="32"/>
        </w:rPr>
        <w:t>年度项目投入大，导致项目资金增加；人员工资涨幅大，导致基本支出增大。</w:t>
      </w:r>
    </w:p>
    <w:p>
      <w:pPr>
        <w:adjustRightInd w:val="0"/>
        <w:snapToGrid w:val="0"/>
        <w:spacing w:after="0" w:line="580" w:lineRule="exact"/>
        <w:ind w:firstLine="420" w:firstLineChars="200"/>
        <w:rPr>
          <w:rFonts w:ascii="仿宋_GB2312" w:eastAsia="仿宋_GB2312" w:cs="DengXian-Regular"/>
          <w:sz w:val="32"/>
          <w:szCs w:val="32"/>
        </w:rPr>
      </w:pPr>
      <w:r>
        <w:pict>
          <v:group id="_x0000_s1085" o:spid="_x0000_s1085" o:spt="203" style="position:absolute;left:0pt;margin-left:46pt;margin-top:-0.15pt;height:237.75pt;width:343.15pt;z-index:1024;mso-width-relative:page;mso-height-relative:page;" coordorigin="2508,10215" coordsize="6863,4755">
            <o:lock v:ext="edit"/>
            <v:shape id="文本框 28" o:spid="_x0000_s1086" o:spt="202" type="#_x0000_t202" style="position:absolute;left:2508;top:14191;height:779;width:6863;" fillcolor="#C8ECCC" filled="t" stroked="f" coordsize="21600,21600">
              <v:path/>
              <v:fill on="t"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4"/>
                      </w:rPr>
                    </w:pPr>
                    <w:r>
                      <w:rPr>
                        <w:rFonts w:hint="eastAsia" w:ascii="仿宋_GB2312" w:eastAsia="仿宋_GB2312" w:cs="DengXian-Regular"/>
                        <w:sz w:val="24"/>
                      </w:rPr>
                      <w:t>图</w:t>
                    </w:r>
                    <w:r>
                      <w:rPr>
                        <w:rFonts w:ascii="仿宋_GB2312" w:eastAsia="仿宋_GB2312" w:cs="DengXian-Regular"/>
                        <w:sz w:val="24"/>
                      </w:rPr>
                      <w:t>4</w:t>
                    </w:r>
                    <w:r>
                      <w:rPr>
                        <w:rFonts w:hint="eastAsia" w:ascii="仿宋_GB2312" w:eastAsia="仿宋_GB2312" w:cs="DengXian-Regular"/>
                        <w:sz w:val="24"/>
                      </w:rPr>
                      <w:t>：财政拨款收支预决算对比情况</w:t>
                    </w:r>
                  </w:p>
                  <w:p>
                    <w:pPr>
                      <w:rPr>
                        <w:sz w:val="18"/>
                        <w:szCs w:val="21"/>
                      </w:rPr>
                    </w:pPr>
                  </w:p>
                </w:txbxContent>
              </v:textbox>
            </v:shape>
            <v:shape id="_x0000_s1087" o:spid="_x0000_s1087" o:spt="75" type="#_x0000_t75" style="position:absolute;left:3265;top:10215;height:3976;width:5643;" filled="f" o:preferrelative="t" stroked="f" coordsize="21600,21600">
              <v:path/>
              <v:fill on="f" focussize="0,0"/>
              <v:stroke on="f" joinstyle="miter"/>
              <v:imagedata r:id="rId9" o:title=""/>
              <o:lock v:ext="edit" aspectratio="t"/>
            </v:shape>
          </v:group>
        </w:pict>
      </w: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jc w:val="center"/>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hAnsi="Cambria" w:eastAsia="仿宋_GB2312" w:cs="ArialUnicodeMS"/>
          <w:kern w:val="0"/>
          <w:sz w:val="32"/>
          <w:szCs w:val="32"/>
        </w:rPr>
      </w:pPr>
      <w:r>
        <w:rPr>
          <w:rFonts w:ascii="仿宋_GB2312" w:hAnsi="Cambria" w:eastAsia="仿宋_GB2312" w:cs="ArialUnicodeMS"/>
          <w:kern w:val="0"/>
          <w:sz w:val="32"/>
          <w:szCs w:val="32"/>
        </w:rPr>
        <w:t xml:space="preserve">2018 </w:t>
      </w:r>
      <w:r>
        <w:rPr>
          <w:rFonts w:hint="eastAsia" w:ascii="仿宋_GB2312" w:hAnsi="Cambria" w:eastAsia="仿宋_GB2312" w:cs="ArialUnicodeMS"/>
          <w:kern w:val="0"/>
          <w:sz w:val="32"/>
          <w:szCs w:val="32"/>
        </w:rPr>
        <w:t>年度财政拨款支出</w:t>
      </w:r>
      <w:r>
        <w:rPr>
          <w:rFonts w:ascii="仿宋_GB2312" w:hAnsi="Cambria" w:eastAsia="仿宋_GB2312" w:cs="ArialUnicodeMS"/>
          <w:kern w:val="0"/>
          <w:sz w:val="32"/>
          <w:szCs w:val="32"/>
        </w:rPr>
        <w:t>3390.66</w:t>
      </w:r>
      <w:r>
        <w:rPr>
          <w:rFonts w:hint="eastAsia" w:ascii="仿宋_GB2312" w:hAnsi="Cambria" w:eastAsia="仿宋_GB2312" w:cs="ArialUnicodeMS"/>
          <w:kern w:val="0"/>
          <w:sz w:val="32"/>
          <w:szCs w:val="32"/>
        </w:rPr>
        <w:t>万元，主要用于以下方面科学技术支出</w:t>
      </w:r>
      <w:r>
        <w:rPr>
          <w:rFonts w:ascii="仿宋_GB2312" w:hAnsi="Cambria" w:eastAsia="仿宋_GB2312" w:cs="ArialUnicodeMS"/>
          <w:kern w:val="0"/>
          <w:sz w:val="32"/>
          <w:szCs w:val="32"/>
        </w:rPr>
        <w:t>6</w:t>
      </w:r>
      <w:r>
        <w:rPr>
          <w:rFonts w:hint="eastAsia" w:ascii="仿宋_GB2312" w:hAnsi="Cambria" w:eastAsia="仿宋_GB2312" w:cs="ArialUnicodeMS"/>
          <w:kern w:val="0"/>
          <w:sz w:val="32"/>
          <w:szCs w:val="32"/>
        </w:rPr>
        <w:t>万元，占</w:t>
      </w:r>
      <w:r>
        <w:rPr>
          <w:rFonts w:ascii="仿宋_GB2312" w:hAnsi="Cambria" w:eastAsia="仿宋_GB2312" w:cs="ArialUnicodeMS"/>
          <w:kern w:val="0"/>
          <w:sz w:val="32"/>
          <w:szCs w:val="32"/>
        </w:rPr>
        <w:t>0.18%</w:t>
      </w:r>
      <w:r>
        <w:rPr>
          <w:rFonts w:hint="eastAsia" w:ascii="仿宋_GB2312" w:hAnsi="Cambria" w:eastAsia="仿宋_GB2312" w:cs="ArialUnicodeMS"/>
          <w:kern w:val="0"/>
          <w:sz w:val="32"/>
          <w:szCs w:val="32"/>
        </w:rPr>
        <w:t>；节能环保支出</w:t>
      </w:r>
      <w:r>
        <w:rPr>
          <w:rFonts w:ascii="仿宋_GB2312" w:hAnsi="Cambria" w:eastAsia="仿宋_GB2312" w:cs="ArialUnicodeMS"/>
          <w:kern w:val="0"/>
          <w:sz w:val="32"/>
          <w:szCs w:val="32"/>
        </w:rPr>
        <w:t>148.46</w:t>
      </w:r>
      <w:r>
        <w:rPr>
          <w:rFonts w:hint="eastAsia" w:ascii="仿宋_GB2312" w:hAnsi="Cambria" w:eastAsia="仿宋_GB2312" w:cs="ArialUnicodeMS"/>
          <w:kern w:val="0"/>
          <w:sz w:val="32"/>
          <w:szCs w:val="32"/>
        </w:rPr>
        <w:t>万元，占</w:t>
      </w:r>
      <w:r>
        <w:rPr>
          <w:rFonts w:ascii="仿宋_GB2312" w:hAnsi="Cambria" w:eastAsia="仿宋_GB2312" w:cs="ArialUnicodeMS"/>
          <w:kern w:val="0"/>
          <w:sz w:val="32"/>
          <w:szCs w:val="32"/>
        </w:rPr>
        <w:t>4.38%</w:t>
      </w:r>
      <w:r>
        <w:rPr>
          <w:rFonts w:hint="eastAsia" w:ascii="仿宋_GB2312" w:hAnsi="Cambria" w:eastAsia="仿宋_GB2312" w:cs="ArialUnicodeMS"/>
          <w:kern w:val="0"/>
          <w:sz w:val="32"/>
          <w:szCs w:val="32"/>
        </w:rPr>
        <w:t>；城乡社区支出</w:t>
      </w:r>
      <w:r>
        <w:rPr>
          <w:rFonts w:ascii="仿宋_GB2312" w:hAnsi="Cambria" w:eastAsia="仿宋_GB2312" w:cs="ArialUnicodeMS"/>
          <w:kern w:val="0"/>
          <w:sz w:val="32"/>
          <w:szCs w:val="32"/>
        </w:rPr>
        <w:t>1032</w:t>
      </w:r>
      <w:r>
        <w:rPr>
          <w:rFonts w:hint="eastAsia" w:ascii="仿宋_GB2312" w:hAnsi="Cambria" w:eastAsia="仿宋_GB2312" w:cs="ArialUnicodeMS"/>
          <w:kern w:val="0"/>
          <w:sz w:val="32"/>
          <w:szCs w:val="32"/>
        </w:rPr>
        <w:t>万元，占</w:t>
      </w:r>
      <w:r>
        <w:rPr>
          <w:rFonts w:ascii="仿宋_GB2312" w:hAnsi="Cambria" w:eastAsia="仿宋_GB2312" w:cs="ArialUnicodeMS"/>
          <w:kern w:val="0"/>
          <w:sz w:val="32"/>
          <w:szCs w:val="32"/>
        </w:rPr>
        <w:t>30.43%</w:t>
      </w:r>
      <w:r>
        <w:rPr>
          <w:rFonts w:hint="eastAsia" w:ascii="仿宋_GB2312" w:hAnsi="Cambria" w:eastAsia="仿宋_GB2312" w:cs="ArialUnicodeMS"/>
          <w:kern w:val="0"/>
          <w:sz w:val="32"/>
          <w:szCs w:val="32"/>
        </w:rPr>
        <w:t>；农林水支出</w:t>
      </w:r>
      <w:r>
        <w:rPr>
          <w:rFonts w:ascii="仿宋_GB2312" w:hAnsi="Cambria" w:eastAsia="仿宋_GB2312" w:cs="ArialUnicodeMS"/>
          <w:kern w:val="0"/>
          <w:sz w:val="32"/>
          <w:szCs w:val="32"/>
        </w:rPr>
        <w:t>2204.2</w:t>
      </w:r>
      <w:r>
        <w:rPr>
          <w:rFonts w:hint="eastAsia" w:ascii="仿宋_GB2312" w:hAnsi="Cambria" w:eastAsia="仿宋_GB2312" w:cs="ArialUnicodeMS"/>
          <w:kern w:val="0"/>
          <w:sz w:val="32"/>
          <w:szCs w:val="32"/>
        </w:rPr>
        <w:t>万元，占</w:t>
      </w:r>
      <w:r>
        <w:rPr>
          <w:rFonts w:ascii="仿宋_GB2312" w:hAnsi="Cambria" w:eastAsia="仿宋_GB2312" w:cs="ArialUnicodeMS"/>
          <w:kern w:val="0"/>
          <w:sz w:val="32"/>
          <w:szCs w:val="32"/>
        </w:rPr>
        <w:t>65.01%</w:t>
      </w:r>
      <w:r>
        <w:rPr>
          <w:rFonts w:hint="eastAsia" w:ascii="仿宋_GB2312" w:hAnsi="Cambria" w:eastAsia="仿宋_GB2312" w:cs="ArialUnicodeMS"/>
          <w:kern w:val="0"/>
          <w:sz w:val="32"/>
          <w:szCs w:val="32"/>
        </w:rPr>
        <w:t>。</w:t>
      </w: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ind w:left="420" w:leftChars="200"/>
        <w:jc w:val="center"/>
        <w:rPr>
          <w:rFonts w:ascii="楷体_GB2312" w:eastAsia="楷体_GB2312" w:cs="DengXian-Bold"/>
          <w:b/>
          <w:bCs/>
          <w:sz w:val="32"/>
          <w:szCs w:val="32"/>
        </w:rPr>
      </w:pPr>
      <w:r>
        <w:pict>
          <v:shape id="_x0000_s1088" o:spid="_x0000_s1088" o:spt="75" type="#_x0000_t75" style="position:absolute;left:0pt;margin-left:104.05pt;margin-top:-97.8pt;height:121.4pt;width:254.5pt;z-index:1024;mso-width-relative:page;mso-height-relative:page;" filled="f" o:preferrelative="t" stroked="f" coordsize="21600,21600">
            <v:path/>
            <v:fill on="f" focussize="0,0"/>
            <v:stroke on="f" joinstyle="miter"/>
            <v:imagedata r:id="rId10" o:title=""/>
            <o:lock v:ext="edit" aspectratio="t"/>
          </v:shape>
        </w:pict>
      </w:r>
    </w:p>
    <w:p>
      <w:pPr>
        <w:adjustRightInd w:val="0"/>
        <w:snapToGrid w:val="0"/>
        <w:spacing w:after="0" w:line="580" w:lineRule="exact"/>
        <w:ind w:left="420" w:leftChars="200"/>
        <w:rPr>
          <w:rFonts w:ascii="楷体_GB2312" w:eastAsia="楷体_GB2312" w:cs="DengXian-Bold"/>
          <w:b/>
          <w:bCs/>
          <w:sz w:val="32"/>
          <w:szCs w:val="32"/>
        </w:rPr>
      </w:pPr>
      <w:r>
        <w:pict>
          <v:shape id="_x0000_s1089" o:spid="_x0000_s1089" o:spt="202" type="#_x0000_t202" style="position:absolute;left:0pt;margin-left:86.35pt;margin-top:13.95pt;height:52pt;width:296.35pt;z-index:-1024;mso-width-relative:page;mso-height-relative:page;" fillcolor="#C8ECCC" filled="t" stroked="f" coordsize="21600,21600">
            <v:path/>
            <v:fill on="t"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w:t>
                  </w:r>
                  <w:r>
                    <w:rPr>
                      <w:rFonts w:ascii="仿宋_GB2312" w:eastAsia="仿宋_GB2312" w:cs="DengXian-Regular"/>
                      <w:sz w:val="28"/>
                      <w:szCs w:val="28"/>
                    </w:rPr>
                    <w:t>5</w:t>
                  </w:r>
                  <w:r>
                    <w:rPr>
                      <w:rFonts w:hint="eastAsia" w:ascii="仿宋_GB2312" w:eastAsia="仿宋_GB2312" w:cs="DengXian-Regular"/>
                      <w:sz w:val="28"/>
                      <w:szCs w:val="28"/>
                    </w:rPr>
                    <w:t>：财政拨款支出决算结构（按功能分类）</w:t>
                  </w:r>
                </w:p>
                <w:p>
                  <w:pPr>
                    <w:rPr>
                      <w:sz w:val="20"/>
                      <w:szCs w:val="22"/>
                    </w:rPr>
                  </w:pPr>
                </w:p>
              </w:txbxContent>
            </v:textbox>
          </v:shape>
        </w:pict>
      </w: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r>
        <w:pict>
          <v:group id="组合 79" o:spid="_x0000_s1090" o:spt="203" style="position:absolute;left:0pt;margin-left:-79.5pt;margin-top:29.3pt;height:43.95pt;width:301.85pt;mso-position-vertical-relative:page;z-index:1024;mso-width-relative:page;mso-height-relative:page;" coordorigin="4551,52615" coordsize="8546,1398">
            <o:lock v:ext="edit"/>
            <v:rect id="矩形 13" o:spid="_x0000_s1091" o:spt="1" style="position:absolute;left:4551;top:52615;height:1175;width:8546;v-text-anchor:middle;" fillcolor="#96DA9D" filled="t" stroked="f" coordsize="21600,21600">
              <v:path/>
              <v:fill on="t" focussize="0,0"/>
              <v:stroke on="f" weight="2pt"/>
              <v:imagedata o:title=""/>
              <o:lock v:ext="edit"/>
            </v:rect>
            <v:rect id="矩形 14" o:spid="_x0000_s109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楷体_GB2312" w:eastAsia="楷体_GB2312" w:cs="DengXian-Bold"/>
          <w:b/>
          <w:bCs/>
          <w:sz w:val="32"/>
          <w:szCs w:val="32"/>
        </w:rPr>
        <w:t>（四）一般公共预算财政拨款基本支出决算情况说明</w:t>
      </w:r>
      <w:r>
        <w:pict>
          <v:group id="组合 23" o:spid="_x0000_s1093" o:spt="203" style="position:absolute;left:0pt;margin-left:-79.5pt;margin-top:29.3pt;height:43.95pt;width:301.85pt;mso-position-vertical-relative:page;z-index:1024;mso-width-relative:page;mso-height-relative:page;" coordorigin="4551,52615" coordsize="8546,1398">
            <o:lock v:ext="edit"/>
            <v:rect id="矩形 13" o:spid="_x0000_s1094" o:spt="1" style="position:absolute;left:4551;top:52615;height:1175;width:8546;v-text-anchor:middle;" fillcolor="#96DA9D" filled="t" stroked="f" coordsize="21600,21600">
              <v:path/>
              <v:fill on="t" focussize="0,0"/>
              <v:stroke on="f" weight="2pt"/>
              <v:imagedata o:title=""/>
              <o:lock v:ext="edit"/>
            </v:rect>
            <v:rect id="矩形 14" o:spid="_x0000_s109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p>
    <w:p>
      <w:pPr>
        <w:adjustRightInd w:val="0"/>
        <w:snapToGrid w:val="0"/>
        <w:spacing w:after="0" w:line="580" w:lineRule="exact"/>
        <w:ind w:firstLine="640" w:firstLineChars="200"/>
        <w:rPr>
          <w:rFonts w:ascii="仿宋_GB2312" w:hAnsi="Cambria" w:eastAsia="仿宋_GB2312" w:cs="ArialUnicodeMS"/>
          <w:kern w:val="0"/>
          <w:sz w:val="32"/>
          <w:szCs w:val="32"/>
        </w:rPr>
      </w:pPr>
      <w:r>
        <w:rPr>
          <w:rFonts w:ascii="仿宋_GB2312" w:hAnsi="Cambria" w:eastAsia="仿宋_GB2312" w:cs="ArialUnicodeMS"/>
          <w:kern w:val="0"/>
          <w:sz w:val="32"/>
          <w:szCs w:val="32"/>
        </w:rPr>
        <w:t xml:space="preserve">2018 </w:t>
      </w:r>
      <w:r>
        <w:rPr>
          <w:rFonts w:hint="eastAsia" w:ascii="仿宋_GB2312" w:hAnsi="Cambria" w:eastAsia="仿宋_GB2312" w:cs="ArialUnicodeMS"/>
          <w:kern w:val="0"/>
          <w:sz w:val="32"/>
          <w:szCs w:val="32"/>
        </w:rPr>
        <w:t>年度一般公共预算财政拨款基本支出</w:t>
      </w:r>
      <w:r>
        <w:rPr>
          <w:rFonts w:ascii="仿宋_GB2312" w:hAnsi="Cambria" w:eastAsia="仿宋_GB2312" w:cs="ArialUnicodeMS"/>
          <w:kern w:val="0"/>
          <w:sz w:val="32"/>
          <w:szCs w:val="32"/>
        </w:rPr>
        <w:t>1120.59</w:t>
      </w:r>
      <w:r>
        <w:rPr>
          <w:rFonts w:hint="eastAsia" w:ascii="仿宋_GB2312" w:hAnsi="Cambria" w:eastAsia="仿宋_GB2312" w:cs="ArialUnicodeMS"/>
          <w:kern w:val="0"/>
          <w:sz w:val="32"/>
          <w:szCs w:val="32"/>
        </w:rPr>
        <w:t>万元，其中：人员经费</w:t>
      </w:r>
      <w:r>
        <w:rPr>
          <w:rFonts w:ascii="仿宋_GB2312" w:hAnsi="Cambria" w:eastAsia="仿宋_GB2312" w:cs="ArialUnicodeMS"/>
          <w:kern w:val="0"/>
          <w:sz w:val="32"/>
          <w:szCs w:val="32"/>
        </w:rPr>
        <w:t>1071.35</w:t>
      </w:r>
      <w:r>
        <w:rPr>
          <w:rFonts w:hint="eastAsia" w:ascii="仿宋_GB2312" w:hAnsi="Cambria" w:eastAsia="仿宋_GB2312" w:cs="ArialUnicodeMS"/>
          <w:kern w:val="0"/>
          <w:sz w:val="32"/>
          <w:szCs w:val="32"/>
        </w:rPr>
        <w:t>万元，主要包括基本工资、津贴补贴、奖金、绩效工资、机关事业单位基本养老保险缴费、职业年金缴费、职工基本医疗保险缴费、住房公积金、其他社会保障缴费、其他工资福利支出、生活补助；公用经费</w:t>
      </w:r>
      <w:r>
        <w:rPr>
          <w:rFonts w:ascii="仿宋_GB2312" w:hAnsi="Cambria" w:eastAsia="仿宋_GB2312" w:cs="ArialUnicodeMS"/>
          <w:kern w:val="0"/>
          <w:sz w:val="32"/>
          <w:szCs w:val="32"/>
        </w:rPr>
        <w:t>49.24</w:t>
      </w:r>
      <w:r>
        <w:rPr>
          <w:rFonts w:hint="eastAsia" w:ascii="仿宋_GB2312" w:hAnsi="Cambria" w:eastAsia="仿宋_GB2312" w:cs="ArialUnicodeMS"/>
          <w:kern w:val="0"/>
          <w:sz w:val="32"/>
          <w:szCs w:val="32"/>
        </w:rPr>
        <w:t>万元，主要包括办公费、手续费、水费、电费、邮电费、差旅费、公务用车运行维护费。</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w:t>
      </w:r>
      <w:r>
        <w:rPr>
          <w:rFonts w:ascii="黑体" w:eastAsia="黑体"/>
          <w:b w:val="0"/>
          <w:bCs w:val="0"/>
        </w:rPr>
        <w:t xml:space="preserve"> </w:t>
      </w:r>
      <w:r>
        <w:rPr>
          <w:rFonts w:hint="eastAsia" w:ascii="黑体" w:eastAsia="黑体"/>
          <w:b w:val="0"/>
          <w:bCs w:val="0"/>
        </w:rPr>
        <w:t>经费支出决算情况说明</w:t>
      </w:r>
    </w:p>
    <w:p>
      <w:pPr>
        <w:adjustRightInd w:val="0"/>
        <w:snapToGrid w:val="0"/>
        <w:spacing w:after="0" w:line="580" w:lineRule="exact"/>
        <w:ind w:firstLine="640" w:firstLineChars="200"/>
        <w:rPr>
          <w:rFonts w:ascii="仿宋_GB2312" w:hAnsi="仿宋" w:eastAsia="仿宋_GB2312" w:cs="DengXian-Regular"/>
          <w:sz w:val="32"/>
          <w:szCs w:val="32"/>
        </w:rPr>
      </w:pPr>
      <w:r>
        <w:rPr>
          <w:rFonts w:hint="eastAsia" w:ascii="仿宋_GB2312" w:hAnsi="仿宋" w:eastAsia="仿宋_GB2312" w:cs="DengXian-Regular"/>
          <w:sz w:val="32"/>
          <w:szCs w:val="32"/>
        </w:rPr>
        <w:t>本部门</w:t>
      </w:r>
      <w:r>
        <w:rPr>
          <w:rFonts w:ascii="仿宋_GB2312" w:hAnsi="仿宋" w:eastAsia="仿宋_GB2312" w:cs="DengXian-Regular"/>
          <w:sz w:val="32"/>
          <w:szCs w:val="32"/>
        </w:rPr>
        <w:t>2018</w:t>
      </w:r>
      <w:r>
        <w:rPr>
          <w:rFonts w:hint="eastAsia" w:ascii="仿宋_GB2312" w:hAnsi="仿宋" w:eastAsia="仿宋_GB2312" w:cs="DengXian-Regular"/>
          <w:sz w:val="32"/>
          <w:szCs w:val="32"/>
        </w:rPr>
        <w:t>年度</w:t>
      </w:r>
      <w:r>
        <w:rPr>
          <w:rFonts w:ascii="仿宋_GB2312" w:hAnsi="仿宋" w:eastAsia="仿宋_GB2312" w:cs="DengXian-Regular"/>
          <w:sz w:val="32"/>
          <w:szCs w:val="32"/>
        </w:rPr>
        <w:t xml:space="preserve"> </w:t>
      </w:r>
      <w:r>
        <w:rPr>
          <w:rFonts w:hint="eastAsia" w:ascii="仿宋_GB2312" w:hAnsi="仿宋" w:eastAsia="仿宋_GB2312" w:cs="DengXian-Regular"/>
          <w:sz w:val="32"/>
          <w:szCs w:val="32"/>
        </w:rPr>
        <w:t>“三公”经费支出共计</w:t>
      </w:r>
      <w:r>
        <w:rPr>
          <w:rFonts w:ascii="仿宋_GB2312" w:hAnsi="仿宋" w:eastAsia="仿宋_GB2312" w:cs="DengXian-Regular"/>
          <w:sz w:val="32"/>
          <w:szCs w:val="32"/>
        </w:rPr>
        <w:t>10.31</w:t>
      </w:r>
      <w:r>
        <w:rPr>
          <w:rFonts w:hint="eastAsia" w:ascii="仿宋_GB2312" w:hAnsi="仿宋" w:eastAsia="仿宋_GB2312" w:cs="DengXian-Regular"/>
          <w:sz w:val="32"/>
          <w:szCs w:val="32"/>
        </w:rPr>
        <w:t>万元，</w:t>
      </w:r>
      <w:r>
        <w:rPr>
          <w:rFonts w:hint="eastAsia" w:ascii="仿宋_GB2312" w:hAnsi="仿宋" w:eastAsia="仿宋_GB2312" w:cs="DengXian-Regular"/>
          <w:b/>
          <w:bCs/>
          <w:sz w:val="32"/>
          <w:szCs w:val="32"/>
        </w:rPr>
        <w:t>较年初预算减少</w:t>
      </w:r>
      <w:r>
        <w:rPr>
          <w:rFonts w:ascii="仿宋_GB2312" w:hAnsi="仿宋" w:eastAsia="仿宋_GB2312" w:cs="DengXian-Regular"/>
          <w:b/>
          <w:bCs/>
          <w:sz w:val="32"/>
          <w:szCs w:val="32"/>
        </w:rPr>
        <w:t>2.58</w:t>
      </w:r>
      <w:r>
        <w:rPr>
          <w:rFonts w:hint="eastAsia" w:ascii="仿宋_GB2312" w:hAnsi="仿宋" w:eastAsia="仿宋_GB2312" w:cs="DengXian-Regular"/>
          <w:b/>
          <w:bCs/>
          <w:sz w:val="32"/>
          <w:szCs w:val="32"/>
        </w:rPr>
        <w:t>万元，降低</w:t>
      </w:r>
      <w:r>
        <w:rPr>
          <w:rFonts w:ascii="仿宋_GB2312" w:hAnsi="仿宋" w:eastAsia="仿宋_GB2312" w:cs="DengXian-Regular"/>
          <w:b/>
          <w:bCs/>
          <w:sz w:val="32"/>
          <w:szCs w:val="32"/>
        </w:rPr>
        <w:t>20.02%</w:t>
      </w:r>
      <w:r>
        <w:rPr>
          <w:rFonts w:hint="eastAsia" w:ascii="仿宋_GB2312" w:hAnsi="仿宋" w:eastAsia="仿宋_GB2312" w:cs="DengXian-Regular"/>
          <w:b/>
          <w:bCs/>
          <w:sz w:val="32"/>
          <w:szCs w:val="32"/>
        </w:rPr>
        <w:t>，</w:t>
      </w:r>
      <w:r>
        <w:rPr>
          <w:rFonts w:hint="eastAsia" w:ascii="仿宋_GB2312" w:hAnsi="仿宋" w:eastAsia="仿宋_GB2312" w:cs="DengXian-Regular"/>
          <w:sz w:val="32"/>
          <w:szCs w:val="32"/>
        </w:rPr>
        <w:t>主要是认真贯彻落实中央“八项规定”精神和厉行节约要求，从严控制“三公”经费开支，全年实际支出比预算有所节约。具体情况如下：</w:t>
      </w:r>
    </w:p>
    <w:p>
      <w:pPr>
        <w:adjustRightInd w:val="0"/>
        <w:snapToGrid w:val="0"/>
        <w:spacing w:after="0" w:line="580" w:lineRule="exact"/>
        <w:ind w:firstLine="643" w:firstLineChars="200"/>
        <w:rPr>
          <w:rFonts w:ascii="仿宋_GB2312" w:hAnsi="仿宋" w:eastAsia="仿宋_GB2312" w:cs="DengXian-Regular"/>
          <w:sz w:val="32"/>
          <w:szCs w:val="32"/>
        </w:rPr>
      </w:pPr>
      <w:r>
        <w:rPr>
          <w:rFonts w:hint="eastAsia" w:ascii="楷体_GB2312" w:eastAsia="楷体_GB2312" w:cs="DengXian-Bold"/>
          <w:b/>
          <w:bCs/>
          <w:sz w:val="32"/>
          <w:szCs w:val="32"/>
        </w:rPr>
        <w:t>（</w:t>
      </w:r>
      <w:r>
        <w:pict>
          <v:group id="组合 82" o:spid="_x0000_s1096" o:spt="203" style="position:absolute;left:0pt;margin-left:-79.5pt;margin-top:29.3pt;height:43.95pt;width:301.85pt;mso-position-vertical-relative:page;z-index:1024;mso-width-relative:page;mso-height-relative:page;" coordorigin="4551,52615" coordsize="8546,1398">
            <o:lock v:ext="edit"/>
            <v:rect id="矩形 13" o:spid="_x0000_s1097" o:spt="1" style="position:absolute;left:4551;top:52615;height:1175;width:8546;v-text-anchor:middle;" fillcolor="#96DA9D" filled="t" stroked="f" coordsize="21600,21600">
              <v:path/>
              <v:fill on="t" focussize="0,0"/>
              <v:stroke on="f" weight="2pt"/>
              <v:imagedata o:title=""/>
              <o:lock v:ext="edit"/>
            </v:rect>
            <v:rect id="矩形 14" o:spid="_x0000_s109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楷体_GB2312" w:eastAsia="楷体_GB2312" w:cs="DengXian-Bold"/>
          <w:b/>
          <w:bCs/>
          <w:sz w:val="32"/>
          <w:szCs w:val="32"/>
        </w:rPr>
        <w:t>一）因公出国（境）费支出</w:t>
      </w:r>
      <w:r>
        <w:rPr>
          <w:rFonts w:ascii="楷体_GB2312" w:eastAsia="楷体_GB2312" w:cs="DengXian-Bold"/>
          <w:b/>
          <w:bCs/>
          <w:sz w:val="32"/>
          <w:szCs w:val="32"/>
        </w:rPr>
        <w:t>0</w:t>
      </w:r>
      <w:r>
        <w:rPr>
          <w:rFonts w:hint="eastAsia" w:ascii="楷体_GB2312" w:eastAsia="楷体_GB2312" w:cs="DengXian-Bold"/>
          <w:b/>
          <w:bCs/>
          <w:sz w:val="32"/>
          <w:szCs w:val="32"/>
        </w:rPr>
        <w:t>万元。</w:t>
      </w:r>
      <w:r>
        <w:rPr>
          <w:rFonts w:hint="eastAsia" w:ascii="仿宋_GB2312" w:hAnsi="仿宋" w:eastAsia="仿宋_GB2312" w:cs="DengXian-Regular"/>
          <w:sz w:val="32"/>
          <w:szCs w:val="32"/>
        </w:rPr>
        <w:t>本部门</w:t>
      </w:r>
      <w:r>
        <w:rPr>
          <w:rFonts w:ascii="仿宋_GB2312" w:hAnsi="仿宋" w:eastAsia="仿宋_GB2312" w:cs="DengXian-Regular"/>
          <w:sz w:val="32"/>
          <w:szCs w:val="32"/>
        </w:rPr>
        <w:t>2018</w:t>
      </w:r>
      <w:r>
        <w:rPr>
          <w:rFonts w:hint="eastAsia" w:ascii="仿宋_GB2312" w:hAnsi="仿宋" w:eastAsia="仿宋_GB2312" w:cs="DengXian-Regular"/>
          <w:sz w:val="32"/>
          <w:szCs w:val="32"/>
        </w:rPr>
        <w:t>年度未发生因公出国（境）费用。</w:t>
      </w:r>
    </w:p>
    <w:p>
      <w:pPr>
        <w:adjustRightInd w:val="0"/>
        <w:snapToGrid w:val="0"/>
        <w:spacing w:after="0" w:line="580" w:lineRule="exact"/>
        <w:ind w:firstLine="643" w:firstLineChars="200"/>
        <w:rPr>
          <w:rFonts w:ascii="仿宋_GB2312" w:hAnsi="宋体" w:eastAsia="仿宋_GB2312" w:cs="DengXian-Bold"/>
          <w:b/>
          <w:bCs/>
          <w:sz w:val="32"/>
          <w:szCs w:val="32"/>
        </w:rPr>
      </w:pPr>
      <w:r>
        <w:rPr>
          <w:rFonts w:hint="eastAsia" w:ascii="楷体_GB2312" w:eastAsia="楷体_GB2312" w:cs="DengXian-Bold"/>
          <w:b/>
          <w:bCs/>
          <w:sz w:val="32"/>
          <w:szCs w:val="32"/>
        </w:rPr>
        <w:t>（二）公务用车购置及运行维护费支出</w:t>
      </w:r>
      <w:r>
        <w:rPr>
          <w:rFonts w:ascii="楷体_GB2312" w:eastAsia="楷体_GB2312" w:cs="DengXian-Bold"/>
          <w:b/>
          <w:bCs/>
          <w:sz w:val="32"/>
          <w:szCs w:val="32"/>
        </w:rPr>
        <w:t>10.31</w:t>
      </w:r>
      <w:r>
        <w:rPr>
          <w:rFonts w:hint="eastAsia" w:ascii="楷体_GB2312" w:eastAsia="楷体_GB2312" w:cs="DengXian-Bold"/>
          <w:b/>
          <w:bCs/>
          <w:sz w:val="32"/>
          <w:szCs w:val="32"/>
        </w:rPr>
        <w:t>万元。</w:t>
      </w:r>
      <w:r>
        <w:rPr>
          <w:rFonts w:hint="eastAsia" w:ascii="仿宋_GB2312" w:hAnsi="宋体" w:eastAsia="仿宋_GB2312" w:cs="DengXian-Regular"/>
          <w:sz w:val="32"/>
          <w:szCs w:val="32"/>
        </w:rPr>
        <w:t>本部门</w:t>
      </w:r>
      <w:r>
        <w:rPr>
          <w:rFonts w:ascii="仿宋_GB2312" w:hAnsi="宋体" w:eastAsia="仿宋_GB2312" w:cs="DengXian-Regular"/>
          <w:sz w:val="32"/>
          <w:szCs w:val="32"/>
        </w:rPr>
        <w:t>2018</w:t>
      </w:r>
      <w:r>
        <w:rPr>
          <w:rFonts w:hint="eastAsia" w:ascii="仿宋_GB2312" w:hAnsi="宋体" w:eastAsia="仿宋_GB2312" w:cs="DengXian-Regular"/>
          <w:sz w:val="32"/>
          <w:szCs w:val="32"/>
        </w:rPr>
        <w:t>年度公务用车购置及运行维护费较年初预算减少</w:t>
      </w:r>
      <w:r>
        <w:rPr>
          <w:rFonts w:ascii="仿宋_GB2312" w:hAnsi="宋体" w:eastAsia="仿宋_GB2312" w:cs="DengXian-Regular"/>
          <w:sz w:val="32"/>
          <w:szCs w:val="32"/>
        </w:rPr>
        <w:t>2.19</w:t>
      </w:r>
      <w:r>
        <w:rPr>
          <w:rFonts w:hint="eastAsia" w:ascii="仿宋_GB2312" w:hAnsi="宋体" w:eastAsia="仿宋_GB2312" w:cs="DengXian-Regular"/>
          <w:sz w:val="32"/>
          <w:szCs w:val="32"/>
        </w:rPr>
        <w:t>万元，降低</w:t>
      </w:r>
      <w:r>
        <w:rPr>
          <w:rFonts w:ascii="仿宋_GB2312" w:hAnsi="宋体" w:eastAsia="仿宋_GB2312" w:cs="DengXian-Regular"/>
          <w:sz w:val="32"/>
          <w:szCs w:val="32"/>
        </w:rPr>
        <w:t>17.52%,</w:t>
      </w:r>
      <w:r>
        <w:rPr>
          <w:rFonts w:hint="eastAsia" w:ascii="仿宋_GB2312" w:hAnsi="宋体" w:eastAsia="仿宋_GB2312" w:cs="DengXian-Regular"/>
          <w:sz w:val="32"/>
          <w:szCs w:val="32"/>
        </w:rPr>
        <w:t>主要是认真贯彻落实中央“八项规定”精神和厉行节约要求，从严控制“三公”经费开支，全年实际支出比预算有所节约。</w:t>
      </w:r>
      <w:r>
        <w:rPr>
          <w:rFonts w:hint="eastAsia" w:ascii="仿宋_GB2312" w:hAnsi="宋体" w:eastAsia="仿宋_GB2312" w:cs="DengXian-Bold"/>
          <w:b/>
          <w:bCs/>
          <w:sz w:val="32"/>
          <w:szCs w:val="32"/>
        </w:rPr>
        <w:t>其中：</w:t>
      </w:r>
    </w:p>
    <w:p>
      <w:pPr>
        <w:adjustRightInd w:val="0"/>
        <w:snapToGrid w:val="0"/>
        <w:spacing w:after="0" w:line="580" w:lineRule="exact"/>
        <w:ind w:firstLine="643" w:firstLineChars="200"/>
        <w:rPr>
          <w:rFonts w:ascii="仿宋_GB2312" w:hAnsi="宋体" w:eastAsia="仿宋_GB2312" w:cs="DengXian-Regular"/>
          <w:sz w:val="32"/>
          <w:szCs w:val="32"/>
        </w:rPr>
      </w:pPr>
      <w:r>
        <w:rPr>
          <w:rFonts w:hint="eastAsia" w:ascii="仿宋_GB2312" w:hAnsi="宋体" w:eastAsia="仿宋_GB2312" w:cs="DengXian-Regular"/>
          <w:b/>
          <w:sz w:val="32"/>
          <w:szCs w:val="32"/>
        </w:rPr>
        <w:t>公务用车购置费：</w:t>
      </w:r>
      <w:r>
        <w:rPr>
          <w:rFonts w:hint="eastAsia" w:ascii="仿宋_GB2312" w:hAnsi="宋体" w:eastAsia="仿宋_GB2312" w:cs="DengXian-Regular"/>
          <w:sz w:val="32"/>
          <w:szCs w:val="32"/>
        </w:rPr>
        <w:t>本部门</w:t>
      </w:r>
      <w:r>
        <w:rPr>
          <w:rFonts w:ascii="仿宋_GB2312" w:hAnsi="宋体" w:eastAsia="仿宋_GB2312" w:cs="DengXian-Regular"/>
          <w:sz w:val="32"/>
          <w:szCs w:val="32"/>
        </w:rPr>
        <w:t>2018</w:t>
      </w:r>
      <w:r>
        <w:rPr>
          <w:rFonts w:hint="eastAsia" w:ascii="仿宋_GB2312" w:hAnsi="宋体" w:eastAsia="仿宋_GB2312" w:cs="DengXian-Regular"/>
          <w:sz w:val="32"/>
          <w:szCs w:val="32"/>
        </w:rPr>
        <w:t>年度未发生公务用车购置经费支出，与年初预算持平。</w:t>
      </w:r>
    </w:p>
    <w:p>
      <w:pPr>
        <w:adjustRightInd w:val="0"/>
        <w:snapToGrid w:val="0"/>
        <w:spacing w:after="0" w:line="580" w:lineRule="exact"/>
        <w:ind w:firstLine="643" w:firstLineChars="200"/>
        <w:rPr>
          <w:rFonts w:ascii="仿宋_GB2312" w:hAnsi="宋体"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hAnsi="宋体" w:eastAsia="仿宋_GB2312" w:cs="DengXian-Regular"/>
          <w:sz w:val="32"/>
          <w:szCs w:val="32"/>
        </w:rPr>
        <w:t>本部门</w:t>
      </w:r>
      <w:r>
        <w:rPr>
          <w:rFonts w:ascii="仿宋_GB2312" w:hAnsi="宋体" w:eastAsia="仿宋_GB2312" w:cs="DengXian-Regular"/>
          <w:sz w:val="32"/>
          <w:szCs w:val="32"/>
        </w:rPr>
        <w:t>2018</w:t>
      </w:r>
      <w:r>
        <w:rPr>
          <w:rFonts w:hint="eastAsia" w:ascii="仿宋_GB2312" w:hAnsi="宋体" w:eastAsia="仿宋_GB2312" w:cs="DengXian-Regular"/>
          <w:sz w:val="32"/>
          <w:szCs w:val="32"/>
        </w:rPr>
        <w:t>年度单位公务用车保有量</w:t>
      </w:r>
      <w:r>
        <w:rPr>
          <w:rFonts w:ascii="仿宋_GB2312" w:hAnsi="宋体" w:eastAsia="仿宋_GB2312" w:cs="DengXian-Regular"/>
          <w:sz w:val="32"/>
          <w:szCs w:val="32"/>
        </w:rPr>
        <w:t>7</w:t>
      </w:r>
      <w:r>
        <w:rPr>
          <w:rFonts w:hint="eastAsia" w:ascii="仿宋_GB2312" w:hAnsi="宋体" w:eastAsia="仿宋_GB2312" w:cs="DengXian-Regular"/>
          <w:sz w:val="32"/>
          <w:szCs w:val="32"/>
        </w:rPr>
        <w:t>辆。公车运行维护费支出较年初预算减少</w:t>
      </w:r>
      <w:r>
        <w:rPr>
          <w:rFonts w:ascii="仿宋_GB2312" w:hAnsi="宋体" w:eastAsia="仿宋_GB2312" w:cs="DengXian-Regular"/>
          <w:sz w:val="32"/>
          <w:szCs w:val="32"/>
        </w:rPr>
        <w:t>2.19</w:t>
      </w:r>
      <w:r>
        <w:rPr>
          <w:rFonts w:hint="eastAsia" w:ascii="仿宋_GB2312" w:hAnsi="宋体" w:eastAsia="仿宋_GB2312" w:cs="DengXian-Regular"/>
          <w:sz w:val="32"/>
          <w:szCs w:val="32"/>
        </w:rPr>
        <w:t>万元，降低</w:t>
      </w:r>
      <w:r>
        <w:rPr>
          <w:rFonts w:ascii="仿宋_GB2312" w:hAnsi="宋体" w:eastAsia="仿宋_GB2312" w:cs="DengXian-Regular"/>
          <w:sz w:val="32"/>
          <w:szCs w:val="32"/>
        </w:rPr>
        <w:t>17.52%,</w:t>
      </w:r>
      <w:r>
        <w:rPr>
          <w:rFonts w:hint="eastAsia" w:ascii="仿宋_GB2312" w:hAnsi="宋体" w:eastAsia="仿宋_GB2312" w:cs="DengXian-Regular"/>
          <w:sz w:val="32"/>
          <w:szCs w:val="32"/>
        </w:rPr>
        <w:t>主要是认真贯彻落实中央“八项规定”精神和厉行节约要求，从严控制“三公”经费开支，全年实际支出比预算有所节约。</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w:t>
      </w:r>
      <w:r>
        <w:rPr>
          <w:rFonts w:ascii="楷体_GB2312" w:eastAsia="楷体_GB2312" w:cs="DengXian-Bold"/>
          <w:b/>
          <w:bCs/>
          <w:sz w:val="32"/>
          <w:szCs w:val="32"/>
        </w:rPr>
        <w:t>0</w:t>
      </w:r>
      <w:r>
        <w:rPr>
          <w:rFonts w:hint="eastAsia" w:ascii="楷体_GB2312" w:eastAsia="楷体_GB2312" w:cs="DengXian-Bold"/>
          <w:b/>
          <w:bCs/>
          <w:sz w:val="32"/>
          <w:szCs w:val="32"/>
        </w:rPr>
        <w:t>万元。</w:t>
      </w:r>
      <w:r>
        <w:pict>
          <v:group id="组合 85" o:spid="_x0000_s1099" o:spt="203" style="position:absolute;left:0pt;margin-left:-79.5pt;margin-top:29.3pt;height:43.95pt;width:301.85pt;mso-position-vertical-relative:page;z-index:1024;mso-width-relative:page;mso-height-relative:page;" coordorigin="4551,52615" coordsize="8546,1398">
            <o:lock v:ext="edit"/>
            <v:rect id="矩形 13" o:spid="_x0000_s1100" o:spt="1" style="position:absolute;left:4551;top:52615;height:1175;width:8546;v-text-anchor:middle;" fillcolor="#96DA9D" filled="t" stroked="f" coordsize="21600,21600">
              <v:path/>
              <v:fill on="t" focussize="0,0"/>
              <v:stroke on="f" weight="2pt"/>
              <v:imagedata o:title=""/>
              <o:lock v:ext="edit"/>
            </v:rect>
            <v:rect id="矩形 14" o:spid="_x0000_s1101"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仿宋_GB2312" w:hAnsi="宋体" w:eastAsia="仿宋_GB2312" w:cs="DengXian-Regular"/>
          <w:sz w:val="32"/>
          <w:szCs w:val="32"/>
        </w:rPr>
        <w:t>本部门</w:t>
      </w:r>
      <w:r>
        <w:rPr>
          <w:rFonts w:ascii="仿宋_GB2312" w:hAnsi="宋体" w:eastAsia="仿宋_GB2312" w:cs="DengXian-Regular"/>
          <w:sz w:val="32"/>
          <w:szCs w:val="32"/>
        </w:rPr>
        <w:t>2018</w:t>
      </w:r>
      <w:r>
        <w:rPr>
          <w:rFonts w:hint="eastAsia" w:ascii="仿宋_GB2312" w:hAnsi="宋体" w:eastAsia="仿宋_GB2312" w:cs="DengXian-Regular"/>
          <w:sz w:val="32"/>
          <w:szCs w:val="32"/>
        </w:rPr>
        <w:t>年度未发生公务接待费用支出。公务接待费支出较年初预算减少</w:t>
      </w:r>
      <w:r>
        <w:rPr>
          <w:rFonts w:ascii="仿宋_GB2312" w:hAnsi="宋体" w:eastAsia="仿宋_GB2312" w:cs="DengXian-Regular"/>
          <w:sz w:val="32"/>
          <w:szCs w:val="32"/>
        </w:rPr>
        <w:t>0.39</w:t>
      </w:r>
      <w:r>
        <w:rPr>
          <w:rFonts w:hint="eastAsia" w:ascii="仿宋_GB2312" w:hAnsi="宋体" w:eastAsia="仿宋_GB2312" w:cs="DengXian-Regular"/>
          <w:sz w:val="32"/>
          <w:szCs w:val="32"/>
        </w:rPr>
        <w:t>万元，降低</w:t>
      </w:r>
      <w:r>
        <w:rPr>
          <w:rFonts w:ascii="仿宋_GB2312" w:hAnsi="宋体" w:eastAsia="仿宋_GB2312" w:cs="DengXian-Regular"/>
          <w:sz w:val="32"/>
          <w:szCs w:val="32"/>
        </w:rPr>
        <w:t>100%,</w:t>
      </w:r>
      <w:r>
        <w:rPr>
          <w:rFonts w:hint="eastAsia" w:ascii="仿宋_GB2312" w:hAnsi="宋体" w:eastAsia="仿宋_GB2312" w:cs="DengXian-Regular"/>
          <w:sz w:val="32"/>
          <w:szCs w:val="32"/>
        </w:rPr>
        <w:t>主要是认真贯彻落实中央“八项规定”精神和厉行节约要求，从严控制“三公”经费开支，全年实际支出比预算有所节约。</w: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adjustRightInd w:val="0"/>
        <w:snapToGrid w:val="0"/>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（一）预算绩效管理工作开展情况。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根据预算绩效管理要求，我单位组织对</w:t>
      </w:r>
      <w:r>
        <w:rPr>
          <w:rFonts w:ascii="仿宋_GB2312" w:eastAsia="仿宋_GB2312" w:cs="DengXian-Regular"/>
          <w:sz w:val="32"/>
          <w:szCs w:val="32"/>
        </w:rPr>
        <w:t>2018</w:t>
      </w:r>
      <w:r>
        <w:rPr>
          <w:rFonts w:hint="eastAsia" w:ascii="仿宋_GB2312" w:eastAsia="仿宋_GB2312" w:cs="DengXian-Regular"/>
          <w:sz w:val="32"/>
          <w:szCs w:val="32"/>
        </w:rPr>
        <w:t>年度一般公共预算项目支出全面开展绩效自评，其中，一级项目</w:t>
      </w:r>
      <w:r>
        <w:rPr>
          <w:rFonts w:ascii="仿宋_GB2312" w:eastAsia="仿宋_GB2312" w:cs="DengXian-Regular"/>
          <w:sz w:val="32"/>
          <w:szCs w:val="32"/>
        </w:rPr>
        <w:t>8</w:t>
      </w:r>
      <w:r>
        <w:rPr>
          <w:rFonts w:hint="eastAsia" w:ascii="仿宋_GB2312" w:eastAsia="仿宋_GB2312" w:cs="DengXian-Regular"/>
          <w:sz w:val="32"/>
          <w:szCs w:val="32"/>
        </w:rPr>
        <w:t>个，共涉及资金</w:t>
      </w:r>
      <w:r>
        <w:rPr>
          <w:rFonts w:ascii="仿宋_GB2312" w:eastAsia="仿宋_GB2312" w:cs="DengXian-Regular"/>
          <w:sz w:val="32"/>
          <w:szCs w:val="32"/>
        </w:rPr>
        <w:t>1238.07</w:t>
      </w:r>
      <w:r>
        <w:rPr>
          <w:rFonts w:hint="eastAsia" w:ascii="仿宋_GB2312" w:eastAsia="仿宋_GB2312" w:cs="DengXian-Regular"/>
          <w:sz w:val="32"/>
          <w:szCs w:val="32"/>
        </w:rPr>
        <w:t>万元，占一般公共预算项目支出总额的</w:t>
      </w:r>
      <w:r>
        <w:rPr>
          <w:rFonts w:ascii="仿宋_GB2312" w:eastAsia="仿宋_GB2312" w:cs="DengXian-Regular"/>
          <w:sz w:val="32"/>
          <w:szCs w:val="32"/>
        </w:rPr>
        <w:t>100%</w:t>
      </w:r>
      <w:r>
        <w:rPr>
          <w:rFonts w:hint="eastAsia" w:ascii="仿宋_GB2312" w:eastAsia="仿宋_GB2312" w:cs="DengXian-Regular"/>
          <w:sz w:val="32"/>
          <w:szCs w:val="32"/>
        </w:rPr>
        <w:t>。组织对</w:t>
      </w:r>
      <w:r>
        <w:rPr>
          <w:rFonts w:ascii="仿宋_GB2312" w:eastAsia="仿宋_GB2312" w:cs="DengXian-Regular"/>
          <w:sz w:val="32"/>
          <w:szCs w:val="32"/>
        </w:rPr>
        <w:t>2018</w:t>
      </w:r>
      <w:r>
        <w:rPr>
          <w:rFonts w:hint="eastAsia" w:ascii="仿宋_GB2312" w:eastAsia="仿宋_GB2312" w:cs="DengXian-Regular"/>
          <w:sz w:val="32"/>
          <w:szCs w:val="32"/>
        </w:rPr>
        <w:t>年度</w:t>
      </w:r>
      <w:r>
        <w:rPr>
          <w:rFonts w:ascii="仿宋_GB2312" w:eastAsia="仿宋_GB2312" w:cs="DengXian-Regular"/>
          <w:sz w:val="32"/>
          <w:szCs w:val="32"/>
        </w:rPr>
        <w:t>1</w:t>
      </w:r>
      <w:r>
        <w:rPr>
          <w:rFonts w:hint="eastAsia" w:ascii="仿宋_GB2312" w:eastAsia="仿宋_GB2312" w:cs="DengXian-Regular"/>
          <w:sz w:val="32"/>
          <w:szCs w:val="32"/>
        </w:rPr>
        <w:t>个政府性基金预算项目支出开展绩效自评，共涉及资金</w:t>
      </w:r>
      <w:r>
        <w:rPr>
          <w:rFonts w:ascii="仿宋_GB2312" w:eastAsia="仿宋_GB2312" w:cs="DengXian-Regular"/>
          <w:sz w:val="32"/>
          <w:szCs w:val="32"/>
        </w:rPr>
        <w:t>1032</w:t>
      </w:r>
      <w:r>
        <w:rPr>
          <w:rFonts w:hint="eastAsia" w:ascii="仿宋_GB2312" w:eastAsia="仿宋_GB2312" w:cs="DengXian-Regular"/>
          <w:sz w:val="32"/>
          <w:szCs w:val="32"/>
        </w:rPr>
        <w:t>万元，占政府性基金预算项目支出总额的</w:t>
      </w:r>
      <w:r>
        <w:rPr>
          <w:rFonts w:ascii="仿宋_GB2312" w:eastAsia="仿宋_GB2312" w:cs="DengXian-Regular"/>
          <w:sz w:val="32"/>
          <w:szCs w:val="32"/>
        </w:rPr>
        <w:t>100%</w:t>
      </w:r>
      <w:r>
        <w:rPr>
          <w:rFonts w:hint="eastAsia" w:ascii="仿宋_GB2312" w:eastAsia="仿宋_GB2312" w:cs="DengXian-Regular"/>
          <w:sz w:val="32"/>
          <w:szCs w:val="32"/>
        </w:rPr>
        <w:t>。组织对森林培育等</w:t>
      </w:r>
      <w:r>
        <w:rPr>
          <w:rFonts w:ascii="仿宋_GB2312" w:eastAsia="仿宋_GB2312" w:cs="DengXian-Regular"/>
          <w:sz w:val="32"/>
          <w:szCs w:val="32"/>
        </w:rPr>
        <w:t>8</w:t>
      </w:r>
      <w:r>
        <w:rPr>
          <w:rFonts w:hint="eastAsia" w:ascii="仿宋_GB2312" w:eastAsia="仿宋_GB2312" w:cs="DengXian-Regular"/>
          <w:sz w:val="32"/>
          <w:szCs w:val="32"/>
        </w:rPr>
        <w:t>个项目开展了部门评价，涉及一般公共预算支出</w:t>
      </w:r>
      <w:r>
        <w:rPr>
          <w:rFonts w:ascii="仿宋_GB2312" w:eastAsia="仿宋_GB2312" w:cs="DengXian-Regular"/>
          <w:sz w:val="32"/>
          <w:szCs w:val="32"/>
        </w:rPr>
        <w:t>1238.07</w:t>
      </w:r>
      <w:r>
        <w:rPr>
          <w:rFonts w:hint="eastAsia" w:ascii="仿宋_GB2312" w:eastAsia="仿宋_GB2312" w:cs="DengXian-Regular"/>
          <w:sz w:val="32"/>
          <w:szCs w:val="32"/>
        </w:rPr>
        <w:t>万元，政府性基金预算支出</w:t>
      </w:r>
      <w:r>
        <w:rPr>
          <w:rFonts w:ascii="仿宋_GB2312" w:eastAsia="仿宋_GB2312" w:cs="DengXian-Regular"/>
          <w:sz w:val="32"/>
          <w:szCs w:val="32"/>
        </w:rPr>
        <w:t>1032</w:t>
      </w:r>
      <w:r>
        <w:rPr>
          <w:rFonts w:hint="eastAsia" w:ascii="仿宋_GB2312" w:eastAsia="仿宋_GB2312" w:cs="DengXian-Regular"/>
          <w:sz w:val="32"/>
          <w:szCs w:val="32"/>
        </w:rPr>
        <w:t>万元。</w:t>
      </w:r>
    </w:p>
    <w:p>
      <w:pPr>
        <w:adjustRightInd w:val="0"/>
        <w:snapToGrid w:val="0"/>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（二）项目绩效自评结果。</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我单位在今年部门决算公开中反映</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森林培育项目及城市建设项目</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个项目绩效自评结果。</w:t>
      </w:r>
    </w:p>
    <w:p>
      <w:pPr>
        <w:numPr>
          <w:ilvl w:val="0"/>
          <w:numId w:val="2"/>
        </w:numPr>
        <w:adjustRightInd w:val="0"/>
        <w:snapToGrid w:val="0"/>
        <w:spacing w:after="0"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森林培育项目自评综述：根据年初设定的绩效目标，森林培育项目绩效自评得分为</w:t>
      </w:r>
      <w:r>
        <w:rPr>
          <w:rFonts w:ascii="仿宋_GB2312" w:hAnsi="仿宋_GB2312" w:eastAsia="仿宋_GB2312" w:cs="仿宋_GB2312"/>
          <w:sz w:val="32"/>
          <w:szCs w:val="32"/>
        </w:rPr>
        <w:t>95</w:t>
      </w:r>
      <w:r>
        <w:rPr>
          <w:rFonts w:hint="eastAsia" w:ascii="仿宋_GB2312" w:hAnsi="仿宋_GB2312" w:eastAsia="仿宋_GB2312" w:cs="仿宋_GB2312"/>
          <w:sz w:val="32"/>
          <w:szCs w:val="32"/>
        </w:rPr>
        <w:t>分。全年预算数为</w:t>
      </w:r>
      <w:r>
        <w:rPr>
          <w:rFonts w:ascii="仿宋_GB2312" w:hAnsi="仿宋_GB2312" w:eastAsia="仿宋_GB2312" w:cs="仿宋_GB2312"/>
          <w:sz w:val="32"/>
          <w:szCs w:val="32"/>
        </w:rPr>
        <w:t>927.11</w:t>
      </w:r>
      <w:r>
        <w:rPr>
          <w:rFonts w:hint="eastAsia" w:ascii="仿宋_GB2312" w:hAnsi="仿宋_GB2312" w:eastAsia="仿宋_GB2312" w:cs="仿宋_GB2312"/>
          <w:sz w:val="32"/>
          <w:szCs w:val="32"/>
        </w:rPr>
        <w:t>万元，执行数为</w:t>
      </w:r>
      <w:r>
        <w:rPr>
          <w:rFonts w:ascii="仿宋_GB2312" w:hAnsi="仿宋_GB2312" w:eastAsia="仿宋_GB2312" w:cs="仿宋_GB2312"/>
          <w:sz w:val="32"/>
          <w:szCs w:val="32"/>
        </w:rPr>
        <w:t>927.11</w:t>
      </w:r>
      <w:r>
        <w:rPr>
          <w:rFonts w:hint="eastAsia" w:ascii="仿宋_GB2312" w:hAnsi="仿宋_GB2312" w:eastAsia="仿宋_GB2312" w:cs="仿宋_GB2312"/>
          <w:sz w:val="32"/>
          <w:szCs w:val="32"/>
        </w:rPr>
        <w:t>万元，完成预算的</w:t>
      </w:r>
      <w:r>
        <w:rPr>
          <w:rFonts w:ascii="仿宋_GB2312" w:hAnsi="仿宋_GB2312" w:eastAsia="仿宋_GB2312" w:cs="仿宋_GB2312"/>
          <w:sz w:val="32"/>
          <w:szCs w:val="32"/>
        </w:rPr>
        <w:t>100%</w:t>
      </w:r>
      <w:r>
        <w:rPr>
          <w:rFonts w:hint="eastAsia" w:ascii="仿宋_GB2312" w:hAnsi="仿宋_GB2312" w:eastAsia="仿宋_GB2312" w:cs="仿宋_GB2312"/>
          <w:sz w:val="32"/>
          <w:szCs w:val="32"/>
        </w:rPr>
        <w:t>。项目绩效目标完成情况：一是完成人工造林</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万亩；二是及时拨付造林资金</w:t>
      </w:r>
      <w:r>
        <w:rPr>
          <w:rFonts w:ascii="仿宋_GB2312" w:hAnsi="仿宋_GB2312" w:eastAsia="仿宋_GB2312" w:cs="仿宋_GB2312"/>
          <w:sz w:val="32"/>
          <w:szCs w:val="32"/>
        </w:rPr>
        <w:t>927.11</w:t>
      </w:r>
      <w:r>
        <w:rPr>
          <w:rFonts w:hint="eastAsia" w:ascii="仿宋_GB2312" w:hAnsi="仿宋_GB2312" w:eastAsia="仿宋_GB2312" w:cs="仿宋_GB2312"/>
          <w:sz w:val="32"/>
          <w:szCs w:val="32"/>
        </w:rPr>
        <w:t>万元。发现的主要问题及原因：一是资金下达不及时；二是造林的成活率有待提高。下一步改进措施：一是继续加大对造林的补贴资金；二是提高造林的成活率。</w:t>
      </w:r>
    </w:p>
    <w:p>
      <w:pPr>
        <w:numPr>
          <w:ilvl w:val="0"/>
          <w:numId w:val="2"/>
        </w:numPr>
        <w:adjustRightInd w:val="0"/>
        <w:snapToGrid w:val="0"/>
        <w:spacing w:after="0"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城市建设项目自评综述：根据年初设定的绩效目标，森林培育项目绩效自评得分为</w:t>
      </w:r>
      <w:r>
        <w:rPr>
          <w:rFonts w:ascii="仿宋_GB2312" w:hAnsi="仿宋_GB2312" w:eastAsia="仿宋_GB2312" w:cs="仿宋_GB2312"/>
          <w:sz w:val="32"/>
          <w:szCs w:val="32"/>
        </w:rPr>
        <w:t>95</w:t>
      </w:r>
      <w:r>
        <w:rPr>
          <w:rFonts w:hint="eastAsia" w:ascii="仿宋_GB2312" w:hAnsi="仿宋_GB2312" w:eastAsia="仿宋_GB2312" w:cs="仿宋_GB2312"/>
          <w:sz w:val="32"/>
          <w:szCs w:val="32"/>
        </w:rPr>
        <w:t>分。全年预算数为</w:t>
      </w:r>
      <w:r>
        <w:rPr>
          <w:rFonts w:ascii="仿宋_GB2312" w:hAnsi="仿宋_GB2312" w:eastAsia="仿宋_GB2312" w:cs="仿宋_GB2312"/>
          <w:sz w:val="32"/>
          <w:szCs w:val="32"/>
        </w:rPr>
        <w:t>1032</w:t>
      </w:r>
      <w:r>
        <w:rPr>
          <w:rFonts w:hint="eastAsia" w:ascii="仿宋_GB2312" w:hAnsi="仿宋_GB2312" w:eastAsia="仿宋_GB2312" w:cs="仿宋_GB2312"/>
          <w:sz w:val="32"/>
          <w:szCs w:val="32"/>
        </w:rPr>
        <w:t>万元，执行数为</w:t>
      </w:r>
      <w:r>
        <w:rPr>
          <w:rFonts w:ascii="仿宋_GB2312" w:hAnsi="仿宋_GB2312" w:eastAsia="仿宋_GB2312" w:cs="仿宋_GB2312"/>
          <w:sz w:val="32"/>
          <w:szCs w:val="32"/>
        </w:rPr>
        <w:t>1032</w:t>
      </w:r>
      <w:r>
        <w:rPr>
          <w:rFonts w:hint="eastAsia" w:ascii="仿宋_GB2312" w:hAnsi="仿宋_GB2312" w:eastAsia="仿宋_GB2312" w:cs="仿宋_GB2312"/>
          <w:sz w:val="32"/>
          <w:szCs w:val="32"/>
        </w:rPr>
        <w:t>万元，完成预算的</w:t>
      </w:r>
      <w:r>
        <w:rPr>
          <w:rFonts w:ascii="仿宋_GB2312" w:hAnsi="仿宋_GB2312" w:eastAsia="仿宋_GB2312" w:cs="仿宋_GB2312"/>
          <w:sz w:val="32"/>
          <w:szCs w:val="32"/>
        </w:rPr>
        <w:t>100%</w:t>
      </w:r>
      <w:r>
        <w:rPr>
          <w:rFonts w:hint="eastAsia" w:ascii="仿宋_GB2312" w:hAnsi="仿宋_GB2312" w:eastAsia="仿宋_GB2312" w:cs="仿宋_GB2312"/>
          <w:sz w:val="32"/>
          <w:szCs w:val="32"/>
        </w:rPr>
        <w:t>。项目绩效目标完成情况：一是完成廊道绿化四处；二是及时拨付廊道绿化资金</w:t>
      </w:r>
      <w:r>
        <w:rPr>
          <w:rFonts w:ascii="仿宋_GB2312" w:hAnsi="仿宋_GB2312" w:eastAsia="仿宋_GB2312" w:cs="仿宋_GB2312"/>
          <w:sz w:val="32"/>
          <w:szCs w:val="32"/>
        </w:rPr>
        <w:t>1032</w:t>
      </w:r>
      <w:r>
        <w:rPr>
          <w:rFonts w:hint="eastAsia" w:ascii="仿宋_GB2312" w:hAnsi="仿宋_GB2312" w:eastAsia="仿宋_GB2312" w:cs="仿宋_GB2312"/>
          <w:sz w:val="32"/>
          <w:szCs w:val="32"/>
        </w:rPr>
        <w:t>万元。发现的主要问题及原因：一是资金紧张下达不及时；二是廊道绿化造林成活率有待提高。下一步改进措施：一是继续加大对廊道绿化资金的投入；二是提高廊道绿化造林的成活率。</w:t>
      </w:r>
    </w:p>
    <w:p>
      <w:pPr>
        <w:adjustRightInd w:val="0"/>
        <w:snapToGrid w:val="0"/>
        <w:spacing w:after="0" w:line="580" w:lineRule="exact"/>
        <w:ind w:left="640"/>
        <w:rPr>
          <w:rFonts w:hint="eastAsia" w:ascii="楷体_GB2312" w:eastAsia="楷体_GB2312" w:cs="DengXian-Bold"/>
          <w:b/>
          <w:bCs/>
          <w:sz w:val="32"/>
          <w:szCs w:val="32"/>
        </w:rPr>
      </w:pPr>
      <w:r>
        <w:rPr>
          <w:rFonts w:hint="eastAsia" w:ascii="楷体_GB2312" w:eastAsia="楷体_GB2312" w:cs="DengXian-Bold"/>
          <w:b/>
          <w:bCs/>
          <w:sz w:val="32"/>
          <w:szCs w:val="32"/>
        </w:rPr>
        <w:t>（三）财政评价项目绩效评价结果。</w:t>
      </w:r>
    </w:p>
    <w:p>
      <w:pPr>
        <w:adjustRightInd w:val="0"/>
        <w:snapToGrid w:val="0"/>
        <w:spacing w:after="0" w:line="580" w:lineRule="exact"/>
        <w:ind w:left="640"/>
        <w:rPr>
          <w:rFonts w:ascii="仿宋_GB2312" w:hAnsi="仿宋_GB2312" w:eastAsia="仿宋_GB2312" w:cs="仿宋_GB2312"/>
          <w:sz w:val="32"/>
          <w:szCs w:val="32"/>
        </w:rPr>
      </w:pPr>
      <w:r>
        <w:rPr>
          <w:rFonts w:hint="eastAsia" w:ascii="仿宋_GB2312" w:hAnsi="仿宋_GB2312" w:eastAsia="仿宋_GB2312" w:cs="仿宋_GB2312"/>
          <w:sz w:val="32"/>
          <w:szCs w:val="32"/>
        </w:rPr>
        <w:t>无</w:t>
      </w:r>
    </w:p>
    <w:p>
      <w:pPr>
        <w:pStyle w:val="3"/>
        <w:spacing w:before="0" w:after="0" w:line="580" w:lineRule="exact"/>
        <w:ind w:firstLine="640" w:firstLineChars="200"/>
        <w:rPr>
          <w:rFonts w:ascii="黑体" w:eastAsia="黑体"/>
          <w:b w:val="0"/>
          <w:bCs w:val="0"/>
        </w:rPr>
      </w:pPr>
      <w:r>
        <w:rPr>
          <w:rFonts w:hint="eastAsia" w:ascii="黑体" w:eastAsia="黑体"/>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hAnsi="宋体" w:eastAsia="仿宋_GB2312" w:cs="DengXian-Regular"/>
          <w:sz w:val="32"/>
          <w:szCs w:val="32"/>
        </w:rPr>
      </w:pPr>
      <w:r>
        <w:rPr>
          <w:rFonts w:hint="eastAsia" w:ascii="仿宋_GB2312" w:hAnsi="宋体" w:eastAsia="仿宋_GB2312" w:cs="DengXian-Regular"/>
          <w:sz w:val="32"/>
          <w:szCs w:val="32"/>
        </w:rPr>
        <w:t>本部门</w:t>
      </w:r>
      <w:r>
        <w:rPr>
          <w:rFonts w:ascii="仿宋_GB2312" w:hAnsi="宋体" w:eastAsia="仿宋_GB2312" w:cs="DengXian-Regular"/>
          <w:sz w:val="32"/>
          <w:szCs w:val="32"/>
        </w:rPr>
        <w:t>2018</w:t>
      </w:r>
      <w:r>
        <w:rPr>
          <w:rFonts w:hint="eastAsia" w:ascii="仿宋_GB2312" w:hAnsi="宋体" w:eastAsia="仿宋_GB2312" w:cs="DengXian-Regular"/>
          <w:sz w:val="32"/>
          <w:szCs w:val="32"/>
        </w:rPr>
        <w:t>年度机关运行经费支出</w:t>
      </w:r>
      <w:r>
        <w:rPr>
          <w:rFonts w:ascii="仿宋_GB2312" w:hAnsi="宋体" w:eastAsia="仿宋_GB2312" w:cs="DengXian-Regular"/>
          <w:sz w:val="32"/>
          <w:szCs w:val="32"/>
        </w:rPr>
        <w:t>49.24</w:t>
      </w:r>
      <w:r>
        <w:rPr>
          <w:rFonts w:hint="eastAsia" w:ascii="仿宋_GB2312" w:hAnsi="宋体" w:eastAsia="仿宋_GB2312" w:cs="DengXian-Regular"/>
          <w:sz w:val="32"/>
          <w:szCs w:val="32"/>
        </w:rPr>
        <w:t>万元，比年初预算数增加</w:t>
      </w:r>
      <w:r>
        <w:rPr>
          <w:rFonts w:ascii="仿宋_GB2312" w:hAnsi="宋体" w:eastAsia="仿宋_GB2312" w:cs="DengXian-Regular"/>
          <w:sz w:val="32"/>
          <w:szCs w:val="32"/>
        </w:rPr>
        <w:t>12.43</w:t>
      </w:r>
      <w:r>
        <w:rPr>
          <w:rFonts w:hint="eastAsia" w:ascii="仿宋_GB2312" w:hAnsi="宋体" w:eastAsia="仿宋_GB2312" w:cs="DengXian-Regular"/>
          <w:sz w:val="32"/>
          <w:szCs w:val="32"/>
        </w:rPr>
        <w:t>万元，增长</w:t>
      </w:r>
      <w:r>
        <w:rPr>
          <w:rFonts w:ascii="仿宋_GB2312" w:hAnsi="宋体" w:eastAsia="仿宋_GB2312" w:cs="DengXian-Regular"/>
          <w:sz w:val="32"/>
          <w:szCs w:val="32"/>
        </w:rPr>
        <w:t>33.77%</w:t>
      </w:r>
      <w:r>
        <w:rPr>
          <w:rFonts w:hint="eastAsia" w:ascii="仿宋_GB2312" w:hAnsi="宋体" w:eastAsia="仿宋_GB2312" w:cs="DengXian-Regular"/>
          <w:sz w:val="32"/>
          <w:szCs w:val="32"/>
        </w:rPr>
        <w:t>。主要原因是</w:t>
      </w:r>
      <w:r>
        <w:rPr>
          <w:rFonts w:ascii="仿宋_GB2312" w:hAnsi="宋体" w:eastAsia="仿宋_GB2312" w:cs="DengXian-Regular"/>
          <w:sz w:val="32"/>
          <w:szCs w:val="32"/>
        </w:rPr>
        <w:t>2018</w:t>
      </w:r>
      <w:r>
        <w:rPr>
          <w:rFonts w:hint="eastAsia" w:ascii="仿宋_GB2312" w:hAnsi="宋体" w:eastAsia="仿宋_GB2312" w:cs="DengXian-Regular"/>
          <w:sz w:val="32"/>
          <w:szCs w:val="32"/>
        </w:rPr>
        <w:t>年度临时性工作增加，导致办公经费增加。</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pStyle w:val="4"/>
        <w:spacing w:before="0" w:after="0" w:line="580" w:lineRule="exact"/>
        <w:ind w:firstLine="640" w:firstLineChars="200"/>
        <w:rPr>
          <w:rFonts w:hint="eastAsia" w:ascii="仿宋_GB2312" w:hAnsi="仿宋_GB2312" w:eastAsia="仿宋_GB2312" w:cs="仿宋_GB2312"/>
          <w:b w:val="0"/>
          <w:bCs w:val="0"/>
          <w:color w:val="000000"/>
          <w:kern w:val="0"/>
          <w:sz w:val="32"/>
          <w:szCs w:val="32"/>
        </w:rPr>
      </w:pPr>
      <w:r>
        <w:rPr>
          <w:rFonts w:hint="eastAsia" w:ascii="仿宋_GB2312" w:hAnsi="Times New Roman" w:eastAsia="仿宋_GB2312" w:cs="DengXian-Regular"/>
          <w:b w:val="0"/>
          <w:bCs w:val="0"/>
          <w:sz w:val="32"/>
          <w:szCs w:val="32"/>
        </w:rPr>
        <w:t>本部门</w:t>
      </w:r>
      <w:r>
        <w:rPr>
          <w:rFonts w:ascii="仿宋_GB2312" w:hAnsi="Times New Roman" w:eastAsia="仿宋_GB2312" w:cs="DengXian-Regular"/>
          <w:b w:val="0"/>
          <w:bCs w:val="0"/>
          <w:sz w:val="32"/>
          <w:szCs w:val="32"/>
        </w:rPr>
        <w:t>2019</w:t>
      </w:r>
      <w:r>
        <w:rPr>
          <w:rFonts w:hint="eastAsia" w:ascii="仿宋_GB2312" w:hAnsi="Times New Roman" w:eastAsia="仿宋_GB2312" w:cs="DengXian-Regular"/>
          <w:b w:val="0"/>
          <w:bCs w:val="0"/>
          <w:sz w:val="32"/>
          <w:szCs w:val="32"/>
        </w:rPr>
        <w:t>年度政府采购支出总额</w:t>
      </w:r>
      <w:r>
        <w:rPr>
          <w:rFonts w:hint="eastAsia" w:ascii="仿宋_GB2312" w:hAnsi="Times New Roman" w:eastAsia="仿宋_GB2312" w:cs="DengXian-Regular"/>
          <w:b w:val="0"/>
          <w:bCs w:val="0"/>
          <w:sz w:val="32"/>
          <w:szCs w:val="32"/>
          <w:lang w:val="en-US" w:eastAsia="zh-CN"/>
        </w:rPr>
        <w:t>0</w:t>
      </w:r>
      <w:r>
        <w:rPr>
          <w:rFonts w:hint="eastAsia" w:ascii="仿宋_GB2312" w:hAnsi="Times New Roman" w:eastAsia="仿宋_GB2312" w:cs="DengXian-Regular"/>
          <w:b w:val="0"/>
          <w:bCs w:val="0"/>
          <w:sz w:val="32"/>
          <w:szCs w:val="32"/>
        </w:rPr>
        <w:t>万元，从采购类型来看，</w:t>
      </w:r>
      <w:r>
        <w:rPr>
          <w:rFonts w:hint="eastAsia" w:ascii="仿宋_GB2312" w:hAnsi="仿宋_GB2312" w:eastAsia="仿宋_GB2312" w:cs="仿宋_GB2312"/>
          <w:b w:val="0"/>
          <w:bCs w:val="0"/>
          <w:color w:val="000000"/>
          <w:kern w:val="0"/>
          <w:sz w:val="32"/>
          <w:szCs w:val="32"/>
        </w:rPr>
        <w:t>政府采购货物支出</w:t>
      </w:r>
      <w:r>
        <w:rPr>
          <w:rFonts w:hint="eastAsia" w:ascii="仿宋_GB2312" w:hAnsi="仿宋_GB2312" w:eastAsia="仿宋_GB2312" w:cs="仿宋_GB2312"/>
          <w:b w:val="0"/>
          <w:bCs w:val="0"/>
          <w:color w:val="000000"/>
          <w:kern w:val="0"/>
          <w:sz w:val="32"/>
          <w:szCs w:val="32"/>
          <w:lang w:val="en-US" w:eastAsia="zh-CN"/>
        </w:rPr>
        <w:t>0</w:t>
      </w:r>
      <w:r>
        <w:rPr>
          <w:rFonts w:ascii="仿宋_GB2312" w:hAnsi="仿宋_GB2312" w:eastAsia="仿宋_GB2312" w:cs="仿宋_GB2312"/>
          <w:b w:val="0"/>
          <w:bCs w:val="0"/>
          <w:color w:val="000000"/>
          <w:kern w:val="0"/>
          <w:sz w:val="32"/>
          <w:szCs w:val="32"/>
        </w:rPr>
        <w:t xml:space="preserve"> </w:t>
      </w:r>
      <w:r>
        <w:rPr>
          <w:rFonts w:hint="eastAsia" w:ascii="仿宋_GB2312" w:hAnsi="仿宋_GB2312" w:eastAsia="仿宋_GB2312" w:cs="仿宋_GB2312"/>
          <w:b w:val="0"/>
          <w:bCs w:val="0"/>
          <w:color w:val="000000"/>
          <w:kern w:val="0"/>
          <w:sz w:val="32"/>
          <w:szCs w:val="32"/>
        </w:rPr>
        <w:t>万元、政府采购工程支出</w:t>
      </w:r>
      <w:r>
        <w:rPr>
          <w:rFonts w:hint="eastAsia" w:ascii="仿宋_GB2312" w:hAnsi="仿宋_GB2312" w:eastAsia="仿宋_GB2312" w:cs="仿宋_GB2312"/>
          <w:b w:val="0"/>
          <w:bCs w:val="0"/>
          <w:color w:val="000000"/>
          <w:kern w:val="0"/>
          <w:sz w:val="32"/>
          <w:szCs w:val="32"/>
          <w:lang w:val="en-US" w:eastAsia="zh-CN"/>
        </w:rPr>
        <w:t>0</w:t>
      </w:r>
      <w:r>
        <w:rPr>
          <w:rFonts w:hint="eastAsia" w:ascii="仿宋_GB2312" w:hAnsi="仿宋_GB2312" w:eastAsia="仿宋_GB2312" w:cs="仿宋_GB2312"/>
          <w:b w:val="0"/>
          <w:bCs w:val="0"/>
          <w:color w:val="000000"/>
          <w:kern w:val="0"/>
          <w:sz w:val="32"/>
          <w:szCs w:val="32"/>
        </w:rPr>
        <w:t>万元、政府采购服务支出</w:t>
      </w:r>
      <w:r>
        <w:rPr>
          <w:rFonts w:hint="eastAsia" w:ascii="仿宋_GB2312" w:hAnsi="仿宋_GB2312" w:eastAsia="仿宋_GB2312" w:cs="仿宋_GB2312"/>
          <w:b w:val="0"/>
          <w:bCs w:val="0"/>
          <w:color w:val="000000"/>
          <w:kern w:val="0"/>
          <w:sz w:val="32"/>
          <w:szCs w:val="32"/>
          <w:lang w:val="en-US" w:eastAsia="zh-CN"/>
        </w:rPr>
        <w:t>0</w:t>
      </w:r>
      <w:r>
        <w:rPr>
          <w:rFonts w:hint="eastAsia" w:ascii="仿宋_GB2312" w:hAnsi="仿宋_GB2312" w:eastAsia="仿宋_GB2312" w:cs="仿宋_GB2312"/>
          <w:b w:val="0"/>
          <w:bCs w:val="0"/>
          <w:color w:val="000000"/>
          <w:kern w:val="0"/>
          <w:sz w:val="32"/>
          <w:szCs w:val="32"/>
        </w:rPr>
        <w:t>万元。授予中小企业合同金</w:t>
      </w:r>
      <w:r>
        <w:rPr>
          <w:rFonts w:hint="eastAsia" w:ascii="仿宋_GB2312" w:hAnsi="仿宋_GB2312" w:eastAsia="仿宋_GB2312" w:cs="仿宋_GB2312"/>
          <w:b w:val="0"/>
          <w:bCs w:val="0"/>
          <w:color w:val="000000"/>
          <w:kern w:val="0"/>
          <w:sz w:val="32"/>
          <w:szCs w:val="32"/>
          <w:lang w:val="en-US" w:eastAsia="zh-CN"/>
        </w:rPr>
        <w:t>0</w:t>
      </w:r>
      <w:r>
        <w:rPr>
          <w:rFonts w:hint="eastAsia" w:ascii="仿宋_GB2312" w:hAnsi="仿宋_GB2312" w:eastAsia="仿宋_GB2312" w:cs="仿宋_GB2312"/>
          <w:b w:val="0"/>
          <w:bCs w:val="0"/>
          <w:color w:val="000000"/>
          <w:kern w:val="0"/>
          <w:sz w:val="32"/>
          <w:szCs w:val="32"/>
        </w:rPr>
        <w:t>万元，占政府采购支出总额的</w:t>
      </w:r>
      <w:r>
        <w:rPr>
          <w:rFonts w:hint="eastAsia" w:ascii="仿宋_GB2312" w:hAnsi="仿宋_GB2312" w:eastAsia="仿宋_GB2312" w:cs="仿宋_GB2312"/>
          <w:b w:val="0"/>
          <w:bCs w:val="0"/>
          <w:color w:val="000000"/>
          <w:kern w:val="0"/>
          <w:sz w:val="32"/>
          <w:szCs w:val="32"/>
          <w:lang w:val="en-US" w:eastAsia="zh-CN"/>
        </w:rPr>
        <w:t>0</w:t>
      </w:r>
      <w:r>
        <w:rPr>
          <w:rFonts w:ascii="仿宋_GB2312" w:hAnsi="仿宋_GB2312" w:eastAsia="仿宋_GB2312" w:cs="仿宋_GB2312"/>
          <w:b w:val="0"/>
          <w:bCs w:val="0"/>
          <w:color w:val="000000"/>
          <w:kern w:val="0"/>
          <w:sz w:val="32"/>
          <w:szCs w:val="32"/>
        </w:rPr>
        <w:t>%</w:t>
      </w:r>
      <w:r>
        <w:rPr>
          <w:rFonts w:hint="eastAsia" w:ascii="仿宋_GB2312" w:hAnsi="仿宋_GB2312" w:eastAsia="仿宋_GB2312" w:cs="仿宋_GB2312"/>
          <w:b w:val="0"/>
          <w:bCs w:val="0"/>
          <w:color w:val="000000"/>
          <w:kern w:val="0"/>
          <w:sz w:val="32"/>
          <w:szCs w:val="32"/>
        </w:rPr>
        <w:t>，其中授予小微企业合同金额</w:t>
      </w:r>
      <w:r>
        <w:rPr>
          <w:rFonts w:hint="eastAsia" w:ascii="仿宋_GB2312" w:hAnsi="仿宋_GB2312" w:eastAsia="仿宋_GB2312" w:cs="仿宋_GB2312"/>
          <w:b w:val="0"/>
          <w:bCs w:val="0"/>
          <w:color w:val="000000"/>
          <w:kern w:val="0"/>
          <w:sz w:val="32"/>
          <w:szCs w:val="32"/>
          <w:lang w:val="en-US" w:eastAsia="zh-CN"/>
        </w:rPr>
        <w:t>0</w:t>
      </w:r>
      <w:r>
        <w:rPr>
          <w:rFonts w:hint="eastAsia" w:ascii="仿宋_GB2312" w:hAnsi="仿宋_GB2312" w:eastAsia="仿宋_GB2312" w:cs="仿宋_GB2312"/>
          <w:b w:val="0"/>
          <w:bCs w:val="0"/>
          <w:color w:val="000000"/>
          <w:kern w:val="0"/>
          <w:sz w:val="32"/>
          <w:szCs w:val="32"/>
        </w:rPr>
        <w:t>万元，占政府采购支出总额的</w:t>
      </w:r>
      <w:r>
        <w:rPr>
          <w:rFonts w:ascii="仿宋_GB2312" w:hAnsi="仿宋_GB2312" w:eastAsia="仿宋_GB2312" w:cs="仿宋_GB2312"/>
          <w:b w:val="0"/>
          <w:bCs w:val="0"/>
          <w:color w:val="000000"/>
          <w:kern w:val="0"/>
          <w:sz w:val="32"/>
          <w:szCs w:val="32"/>
        </w:rPr>
        <w:t xml:space="preserve"> </w:t>
      </w:r>
      <w:r>
        <w:rPr>
          <w:rFonts w:hint="eastAsia" w:ascii="仿宋_GB2312" w:hAnsi="仿宋_GB2312" w:eastAsia="仿宋_GB2312" w:cs="仿宋_GB2312"/>
          <w:b w:val="0"/>
          <w:bCs w:val="0"/>
          <w:color w:val="000000"/>
          <w:kern w:val="0"/>
          <w:sz w:val="32"/>
          <w:szCs w:val="32"/>
          <w:lang w:val="en-US" w:eastAsia="zh-CN"/>
        </w:rPr>
        <w:t>0</w:t>
      </w:r>
      <w:r>
        <w:rPr>
          <w:rFonts w:ascii="仿宋_GB2312" w:hAnsi="仿宋_GB2312" w:eastAsia="仿宋_GB2312" w:cs="仿宋_GB2312"/>
          <w:b w:val="0"/>
          <w:bCs w:val="0"/>
          <w:color w:val="000000"/>
          <w:kern w:val="0"/>
          <w:sz w:val="32"/>
          <w:szCs w:val="32"/>
        </w:rPr>
        <w:t>%</w:t>
      </w:r>
      <w:r>
        <w:rPr>
          <w:rFonts w:hint="eastAsia" w:ascii="仿宋_GB2312" w:hAnsi="仿宋_GB2312" w:eastAsia="仿宋_GB2312" w:cs="仿宋_GB2312"/>
          <w:b w:val="0"/>
          <w:bCs w:val="0"/>
          <w:color w:val="000000"/>
          <w:kern w:val="0"/>
          <w:sz w:val="32"/>
          <w:szCs w:val="32"/>
        </w:rPr>
        <w:t>。</w:t>
      </w:r>
    </w:p>
    <w:p>
      <w:pPr>
        <w:pStyle w:val="4"/>
        <w:spacing w:before="0" w:after="0" w:line="580" w:lineRule="exact"/>
        <w:ind w:firstLine="643" w:firstLineChars="200"/>
        <w:rPr>
          <w:rFonts w:ascii="楷体_GB2312" w:eastAsia="楷体_GB2312" w:cs="DengXian-Bold"/>
        </w:rPr>
      </w:pPr>
      <w:bookmarkStart w:id="0" w:name="_GoBack"/>
      <w:bookmarkEnd w:id="0"/>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w:t>
      </w:r>
      <w:r>
        <w:rPr>
          <w:rFonts w:ascii="仿宋_GB2312" w:eastAsia="仿宋_GB2312" w:cs="DengXian-Regular"/>
          <w:sz w:val="32"/>
          <w:szCs w:val="32"/>
        </w:rPr>
        <w:t>2018</w:t>
      </w:r>
      <w:r>
        <w:rPr>
          <w:rFonts w:hint="eastAsia" w:ascii="仿宋_GB2312" w:eastAsia="仿宋_GB2312" w:cs="DengXian-Regular"/>
          <w:sz w:val="32"/>
          <w:szCs w:val="32"/>
        </w:rPr>
        <w:t>年</w:t>
      </w:r>
      <w:r>
        <w:rPr>
          <w:rFonts w:ascii="仿宋_GB2312" w:eastAsia="仿宋_GB2312" w:cs="DengXian-Regular"/>
          <w:sz w:val="32"/>
          <w:szCs w:val="32"/>
        </w:rPr>
        <w:t>12</w:t>
      </w:r>
      <w:r>
        <w:rPr>
          <w:rFonts w:hint="eastAsia" w:ascii="仿宋_GB2312" w:eastAsia="仿宋_GB2312" w:cs="DengXian-Regular"/>
          <w:sz w:val="32"/>
          <w:szCs w:val="32"/>
        </w:rPr>
        <w:t>月</w:t>
      </w:r>
      <w:r>
        <w:rPr>
          <w:rFonts w:ascii="仿宋_GB2312" w:eastAsia="仿宋_GB2312" w:cs="DengXian-Regular"/>
          <w:sz w:val="32"/>
          <w:szCs w:val="32"/>
        </w:rPr>
        <w:t>31</w:t>
      </w:r>
      <w:r>
        <w:rPr>
          <w:rFonts w:hint="eastAsia" w:ascii="仿宋_GB2312" w:eastAsia="仿宋_GB2312" w:cs="DengXian-Regular"/>
          <w:sz w:val="32"/>
          <w:szCs w:val="32"/>
        </w:rPr>
        <w:t>日，本部门共有车辆</w:t>
      </w:r>
      <w:r>
        <w:rPr>
          <w:rFonts w:ascii="仿宋_GB2312" w:eastAsia="仿宋_GB2312" w:cs="DengXian-Regular"/>
          <w:sz w:val="32"/>
          <w:szCs w:val="32"/>
        </w:rPr>
        <w:t>7</w:t>
      </w:r>
      <w:r>
        <w:rPr>
          <w:rFonts w:hint="eastAsia" w:ascii="仿宋_GB2312" w:eastAsia="仿宋_GB2312" w:cs="DengXian-Regular"/>
          <w:sz w:val="32"/>
          <w:szCs w:val="32"/>
        </w:rPr>
        <w:t>辆，比上年增加</w:t>
      </w:r>
      <w:r>
        <w:rPr>
          <w:rFonts w:ascii="仿宋_GB2312" w:eastAsia="仿宋_GB2312" w:cs="DengXian-Regular"/>
          <w:sz w:val="32"/>
          <w:szCs w:val="32"/>
        </w:rPr>
        <w:t>2</w:t>
      </w:r>
      <w:r>
        <w:rPr>
          <w:rFonts w:hint="eastAsia" w:ascii="仿宋_GB2312" w:eastAsia="仿宋_GB2312" w:cs="DengXian-Regular"/>
          <w:sz w:val="32"/>
          <w:szCs w:val="32"/>
        </w:rPr>
        <w:t>辆，主要是上级部门调配</w:t>
      </w:r>
      <w:r>
        <w:rPr>
          <w:rFonts w:ascii="仿宋_GB2312" w:eastAsia="仿宋_GB2312" w:cs="DengXian-Regular"/>
          <w:sz w:val="32"/>
          <w:szCs w:val="32"/>
        </w:rPr>
        <w:t>2</w:t>
      </w:r>
      <w:r>
        <w:rPr>
          <w:rFonts w:hint="eastAsia" w:ascii="仿宋_GB2312" w:eastAsia="仿宋_GB2312" w:cs="DengXian-Regular"/>
          <w:sz w:val="32"/>
          <w:szCs w:val="32"/>
        </w:rPr>
        <w:t>辆防火专用特种车。其中，机要通信用车</w:t>
      </w:r>
      <w:r>
        <w:rPr>
          <w:rFonts w:ascii="仿宋_GB2312" w:eastAsia="仿宋_GB2312" w:cs="DengXian-Regular"/>
          <w:sz w:val="32"/>
          <w:szCs w:val="32"/>
        </w:rPr>
        <w:t>2</w:t>
      </w:r>
      <w:r>
        <w:rPr>
          <w:rFonts w:hint="eastAsia" w:ascii="仿宋_GB2312" w:eastAsia="仿宋_GB2312" w:cs="DengXian-Regular"/>
          <w:sz w:val="32"/>
          <w:szCs w:val="32"/>
        </w:rPr>
        <w:t>辆，执法执勤用车</w:t>
      </w:r>
      <w:r>
        <w:rPr>
          <w:rFonts w:ascii="仿宋_GB2312" w:eastAsia="仿宋_GB2312" w:cs="DengXian-Regular"/>
          <w:sz w:val="32"/>
          <w:szCs w:val="32"/>
        </w:rPr>
        <w:t>2</w:t>
      </w:r>
      <w:r>
        <w:rPr>
          <w:rFonts w:hint="eastAsia" w:ascii="仿宋_GB2312" w:eastAsia="仿宋_GB2312" w:cs="DengXian-Regular"/>
          <w:sz w:val="32"/>
          <w:szCs w:val="32"/>
        </w:rPr>
        <w:t>辆，特种专业技术用车</w:t>
      </w:r>
      <w:r>
        <w:rPr>
          <w:rFonts w:ascii="仿宋_GB2312" w:eastAsia="仿宋_GB2312" w:cs="DengXian-Regular"/>
          <w:sz w:val="32"/>
          <w:szCs w:val="32"/>
        </w:rPr>
        <w:t>3</w:t>
      </w:r>
      <w:r>
        <w:rPr>
          <w:rFonts w:hint="eastAsia" w:ascii="仿宋_GB2312" w:eastAsia="仿宋_GB2312" w:cs="DengXian-Regular"/>
          <w:sz w:val="32"/>
          <w:szCs w:val="32"/>
        </w:rPr>
        <w:t>辆；单位价值</w:t>
      </w:r>
      <w:r>
        <w:rPr>
          <w:rFonts w:ascii="仿宋_GB2312" w:hAnsi="TimesNewRomanPSMT" w:eastAsia="仿宋_GB2312" w:cs="TimesNewRomanPSMT"/>
          <w:sz w:val="32"/>
          <w:szCs w:val="32"/>
        </w:rPr>
        <w:t>50</w:t>
      </w:r>
      <w:r>
        <w:rPr>
          <w:rFonts w:hint="eastAsia" w:ascii="仿宋_GB2312" w:eastAsia="仿宋_GB2312" w:cs="DengXian-Regular"/>
          <w:sz w:val="32"/>
          <w:szCs w:val="32"/>
        </w:rPr>
        <w:t>万元以上通用设备</w:t>
      </w:r>
      <w:r>
        <w:rPr>
          <w:rFonts w:ascii="仿宋_GB2312" w:eastAsia="仿宋_GB2312" w:cs="DengXian-Regular"/>
          <w:sz w:val="32"/>
          <w:szCs w:val="32"/>
        </w:rPr>
        <w:t>0</w:t>
      </w:r>
      <w:r>
        <w:rPr>
          <w:rFonts w:hint="eastAsia" w:ascii="仿宋_GB2312" w:eastAsia="仿宋_GB2312" w:cs="DengXian-Regular"/>
          <w:sz w:val="32"/>
          <w:szCs w:val="32"/>
        </w:rPr>
        <w:t>台（套），与上年持平，单位价值</w:t>
      </w:r>
      <w:r>
        <w:rPr>
          <w:rFonts w:ascii="仿宋_GB2312" w:hAnsi="TimesNewRomanPSMT" w:eastAsia="仿宋_GB2312" w:cs="TimesNewRomanPSMT"/>
          <w:sz w:val="32"/>
          <w:szCs w:val="32"/>
        </w:rPr>
        <w:t>100</w:t>
      </w:r>
      <w:r>
        <w:rPr>
          <w:rFonts w:hint="eastAsia" w:ascii="仿宋_GB2312" w:eastAsia="仿宋_GB2312" w:cs="DengXian-Regular"/>
          <w:sz w:val="32"/>
          <w:szCs w:val="32"/>
        </w:rPr>
        <w:t>万元以上专用设备</w:t>
      </w:r>
      <w:r>
        <w:rPr>
          <w:rFonts w:ascii="仿宋_GB2312" w:eastAsia="仿宋_GB2312" w:cs="DengXian-Regular"/>
          <w:sz w:val="32"/>
          <w:szCs w:val="32"/>
        </w:rPr>
        <w:t>0</w:t>
      </w:r>
      <w:r>
        <w:rPr>
          <w:rFonts w:hint="eastAsia" w:ascii="仿宋_GB2312" w:eastAsia="仿宋_GB2312" w:cs="DengXian-Regular"/>
          <w:sz w:val="32"/>
          <w:szCs w:val="32"/>
        </w:rPr>
        <w:t>台（套），与上年持平。</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1</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年度国有资本经营和政府采购无收支及结转结余情况，故国有资本经营预算财政拨款支出决算表、政府采购情况表以空表列示。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2</w:t>
      </w:r>
      <w:r>
        <w:rPr>
          <w:rFonts w:hint="eastAsia" w:ascii="仿宋_GB2312" w:eastAsia="仿宋_GB2312" w:cs="DengXian-Regular"/>
          <w:sz w:val="32"/>
          <w:szCs w:val="32"/>
        </w:rPr>
        <w:t>、由于决算公开表格中金额数值应当保留两位小数，公开数据为四舍五入计算结</w:t>
      </w:r>
      <w:r>
        <w:pict>
          <v:group id="组合 91" o:spid="_x0000_s1102" o:spt="203" style="position:absolute;left:0pt;margin-left:-79.5pt;margin-top:29.3pt;height:43.95pt;width:301.85pt;mso-position-vertical-relative:page;z-index:1024;mso-width-relative:page;mso-height-relative:page;" coordorigin="4551,52615" coordsize="8546,1398">
            <o:lock v:ext="edit"/>
            <v:rect id="矩形 13" o:spid="_x0000_s1103" o:spt="1" style="position:absolute;left:4551;top:52615;height:1175;width:8546;v-text-anchor:middle;" fillcolor="#96DA9D" filled="t" stroked="f" coordsize="21600,21600">
              <v:path/>
              <v:fill on="t" focussize="0,0"/>
              <v:stroke on="f" weight="2pt"/>
              <v:imagedata o:title=""/>
              <o:lock v:ext="edit"/>
            </v:rect>
            <v:rect id="矩形 14" o:spid="_x0000_s1104"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ascii="宋体" w:cs="MS-UIGothic,Bold"/>
          <w:b/>
          <w:bCs/>
          <w:kern w:val="0"/>
          <w:sz w:val="44"/>
          <w:szCs w:val="44"/>
        </w:rPr>
        <w:sectPr>
          <w:pgSz w:w="11906" w:h="16838"/>
          <w:pgMar w:top="2098" w:right="1474" w:bottom="1984" w:left="1588" w:header="851" w:footer="992" w:gutter="0"/>
          <w:cols w:space="0" w:num="1"/>
          <w:docGrid w:type="lines" w:linePitch="312" w:charSpace="0"/>
        </w:sect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pict>
          <v:shape id="图片 21" o:spid="_x0000_s1105" o:spt="75" alt="2" type="#_x0000_t75" style="position:absolute;left:0pt;margin-left:-79.45pt;margin-top:-105.35pt;height:840.95pt;width:594.5pt;z-index:-1024;mso-width-relative:page;mso-height-relative:page;" filled="f" o:preferrelative="t" stroked="f" coordsize="21600,21600">
            <v:path/>
            <v:fill on="f" focussize="0,0"/>
            <v:stroke on="f" joinstyle="miter"/>
            <v:imagedata r:id="rId5" o:title=""/>
            <o:lock v:ext="edit" aspectratio="t"/>
          </v:shape>
        </w:pict>
      </w:r>
      <w:r>
        <w:pict>
          <v:shape id="文本框 22" o:spid="_x0000_s1106" o:spt="202" type="#_x0000_t202" style="position:absolute;left:0pt;margin-left:-78.7pt;margin-top:232.8pt;height:159.1pt;width:596.2pt;z-index:1024;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v:textbox>
          </v:shape>
        </w:pic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w:t>
      </w:r>
      <w:r>
        <w:rPr>
          <w:rFonts w:hint="eastAsia" w:ascii="宋体" w:hAnsi="宋体"/>
          <w:b/>
          <w:bCs/>
          <w:color w:val="000000"/>
          <w:kern w:val="0"/>
          <w:sz w:val="32"/>
          <w:szCs w:val="32"/>
        </w:rPr>
        <w:t>末</w:t>
      </w:r>
      <w:r>
        <w:rPr>
          <w:rFonts w:hint="eastAsia" w:ascii="仿宋_GB2312" w:hAnsi="宋体" w:eastAsia="仿宋_GB2312"/>
          <w:b/>
          <w:bCs/>
          <w:color w:val="000000"/>
          <w:kern w:val="0"/>
          <w:sz w:val="32"/>
          <w:szCs w:val="32"/>
        </w:rPr>
        <w:t>结转和结</w:t>
      </w:r>
      <w:r>
        <w:pict>
          <v:group id="组合 149" o:spid="_x0000_s1107" o:spt="203" style="position:absolute;left:0pt;margin-left:-81.05pt;margin-top:39.65pt;height:43.95pt;width:264.85pt;mso-position-vertical-relative:page;z-index:1024;mso-width-relative:page;mso-height-relative:page;" coordorigin="4551,52615" coordsize="8546,1398">
            <o:lock v:ext="edit"/>
            <v:rect id="矩形 13" o:spid="_x0000_s1108" o:spt="1" style="position:absolute;left:4551;top:52615;height:1175;width:8546;v-text-anchor:middle;" fillcolor="#96DA9D" filled="t" stroked="f" coordsize="21600,21600">
              <v:path/>
              <v:fill on="t" focussize="0,0"/>
              <v:stroke on="f" weight="2pt"/>
              <v:imagedata o:title=""/>
              <o:lock v:ext="edit"/>
            </v:rect>
            <v:rect id="矩形 14" o:spid="_x0000_s1109"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b/>
          <w:bCs/>
          <w:color w:val="000000"/>
          <w:kern w:val="0"/>
          <w:sz w:val="32"/>
          <w:szCs w:val="32"/>
        </w:rPr>
        <w:t>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（十）资本性支出（基本建设）：</w:t>
      </w:r>
      <w:r>
        <w:rPr>
          <w:rFonts w:hint="eastAsia" w:ascii="仿宋_GB2312" w:hAnsi="宋体" w:eastAsia="仿宋_GB2312"/>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（十一）资本性支出：</w:t>
      </w:r>
      <w:r>
        <w:rPr>
          <w:rFonts w:hint="eastAsia" w:ascii="仿宋_GB2312" w:hAnsi="宋体" w:eastAsia="仿宋_GB2312"/>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pict>
          <v:group id="组合 94" o:spid="_x0000_s1110" o:spt="203" style="position:absolute;left:0pt;margin-left:-81.05pt;margin-top:39.65pt;height:43.95pt;width:264.85pt;mso-position-vertical-relative:page;z-index:1024;mso-width-relative:page;mso-height-relative:page;" coordorigin="4551,52615" coordsize="8546,1398">
            <o:lock v:ext="edit"/>
            <v:rect id="矩形 13" o:spid="_x0000_s1111" o:spt="1" style="position:absolute;left:4551;top:52615;height:1175;width:8546;v-text-anchor:middle;" fillcolor="#96DA9D" filled="t" stroked="f" coordsize="21600,21600">
              <v:path/>
              <v:fill on="t" focussize="0,0"/>
              <v:stroke on="f" weight="2pt"/>
              <v:imagedata o:title=""/>
              <o:lock v:ext="edit"/>
            </v:rect>
            <v:rect id="矩形 14" o:spid="_x0000_s111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w:t>
      </w:r>
      <w:r>
        <w:pict>
          <v:group id="组合 97" o:spid="_x0000_s1113" o:spt="203" style="position:absolute;left:0pt;margin-left:-81.05pt;margin-top:39.65pt;height:43.95pt;width:264.85pt;mso-position-vertical-relative:page;z-index:1024;mso-width-relative:page;mso-height-relative:page;" coordorigin="4551,52615" coordsize="8546,1398">
            <o:lock v:ext="edit"/>
            <v:rect id="矩形 13" o:spid="_x0000_s1114" o:spt="1" style="position:absolute;left:4551;top:52615;height:1175;width:8546;v-text-anchor:middle;" fillcolor="#96DA9D" filled="t" stroked="f" coordsize="21600,21600">
              <v:path/>
              <v:fill on="t" focussize="0,0"/>
              <v:stroke on="f" weight="2pt"/>
              <v:imagedata o:title=""/>
              <o:lock v:ext="edit"/>
            </v:rect>
            <v:rect id="矩形 14" o:spid="_x0000_s111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b/>
          <w:bCs/>
          <w:color w:val="000000"/>
          <w:kern w:val="0"/>
          <w:sz w:val="32"/>
          <w:szCs w:val="32"/>
        </w:rPr>
        <w:t>他交通费用：</w:t>
      </w:r>
      <w:r>
        <w:rPr>
          <w:rFonts w:hint="eastAsia" w:ascii="仿宋_GB2312" w:hAnsi="宋体" w:eastAsia="仿宋_GB2312"/>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hAnsi="Cambria" w:eastAsia="仿宋_GB2312" w:cs="ArialUnicodeMS"/>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hAnsi="宋体" w:eastAsia="仿宋_GB2312"/>
          <w:b/>
          <w:bCs/>
          <w:color w:val="000000"/>
          <w:kern w:val="0"/>
          <w:sz w:val="32"/>
          <w:szCs w:val="32"/>
        </w:rPr>
        <w:t>（十七）经费形式</w:t>
      </w:r>
      <w:r>
        <w:rPr>
          <w:rFonts w:ascii="仿宋_GB2312" w:hAnsi="宋体" w:eastAsia="仿宋_GB2312"/>
          <w:b/>
          <w:bCs/>
          <w:color w:val="000000"/>
          <w:kern w:val="0"/>
          <w:sz w:val="32"/>
          <w:szCs w:val="32"/>
        </w:rPr>
        <w:t>:</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pPr>
        <w:widowControl/>
        <w:spacing w:after="0" w:line="560" w:lineRule="exact"/>
        <w:ind w:firstLine="420" w:firstLineChars="200"/>
        <w:rPr>
          <w:rFonts w:ascii="仿宋_GB2312" w:hAnsi="Cambria" w:eastAsia="仿宋_GB2312" w:cs="ArialUnicodeMS"/>
          <w:kern w:val="0"/>
          <w:sz w:val="32"/>
          <w:szCs w:val="32"/>
        </w:rPr>
      </w:pPr>
      <w:r>
        <w:pict>
          <v:shape id="图片 101" o:spid="_x0000_s1116" o:spt="75" alt="3" type="#_x0000_t75" style="position:absolute;left:0pt;margin-left:-78pt;margin-top:-106.7pt;height:845.35pt;width:597.65pt;z-index:-1024;mso-width-relative:page;mso-height-relative:page;" filled="f" o:preferrelative="t" stroked="f" coordsize="21600,21600">
            <v:path/>
            <v:fill on="f" focussize="0,0"/>
            <v:stroke on="f" joinstyle="miter"/>
            <v:imagedata r:id="rId11" o:title=""/>
            <o:lock v:ext="edit" aspectratio="t"/>
          </v:shape>
        </w:pict>
      </w:r>
    </w:p>
    <w:sectPr>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A5433E1-3B35-4CC5-9EA9-BE9B616383A9}"/>
  </w:font>
  <w:font w:name="Arial">
    <w:panose1 w:val="020B0604020202020204"/>
    <w:charset w:val="01"/>
    <w:family w:val="swiss"/>
    <w:pitch w:val="default"/>
    <w:sig w:usb0="E0002EFF" w:usb1="C000785B" w:usb2="00000009" w:usb3="00000000" w:csb0="400001FF" w:csb1="FFFF0000"/>
    <w:embedRegular r:id="rId2" w:fontKey="{2D156B70-5D1A-4472-822B-6EDBAFDE7EE6}"/>
  </w:font>
  <w:font w:name="黑体">
    <w:panose1 w:val="02010609060101010101"/>
    <w:charset w:val="86"/>
    <w:family w:val="auto"/>
    <w:pitch w:val="default"/>
    <w:sig w:usb0="800002BF" w:usb1="38CF7CFA" w:usb2="00000016" w:usb3="00000000" w:csb0="00040001" w:csb1="00000000"/>
    <w:embedRegular r:id="rId3" w:fontKey="{0AE49584-C917-4BC4-9AEB-0352CF0C7D28}"/>
  </w:font>
  <w:font w:name="Courier New">
    <w:panose1 w:val="02070309020205020404"/>
    <w:charset w:val="01"/>
    <w:family w:val="modern"/>
    <w:pitch w:val="default"/>
    <w:sig w:usb0="E0002EFF" w:usb1="C0007843" w:usb2="00000009" w:usb3="00000000" w:csb0="400001FF" w:csb1="FFFF0000"/>
    <w:embedRegular r:id="rId4" w:fontKey="{8F22ECF1-4BC2-43D0-85E7-1FD1505C56FB}"/>
  </w:font>
  <w:font w:name="Symbol">
    <w:panose1 w:val="05050102010706020507"/>
    <w:charset w:val="02"/>
    <w:family w:val="roman"/>
    <w:pitch w:val="default"/>
    <w:sig w:usb0="00000000" w:usb1="00000000" w:usb2="00000000" w:usb3="00000000" w:csb0="80000000" w:csb1="00000000"/>
    <w:embedRegular r:id="rId5" w:fontKey="{A4B2BCBC-F42C-45CB-AD2C-58DEA0AFC6CB}"/>
  </w:font>
  <w:font w:name="Calibri">
    <w:panose1 w:val="020F0502020204030204"/>
    <w:charset w:val="00"/>
    <w:family w:val="swiss"/>
    <w:pitch w:val="default"/>
    <w:sig w:usb0="E4002EFF" w:usb1="C000247B" w:usb2="00000009" w:usb3="00000000" w:csb0="200001FF" w:csb1="00000000"/>
    <w:embedRegular r:id="rId6" w:fontKey="{1C84AD3E-A019-4122-BD06-24577F3E00DA}"/>
  </w:font>
  <w:font w:name="Cambria">
    <w:panose1 w:val="02040503050406030204"/>
    <w:charset w:val="00"/>
    <w:family w:val="roman"/>
    <w:pitch w:val="default"/>
    <w:sig w:usb0="E00006FF" w:usb1="420024FF" w:usb2="02000000" w:usb3="00000000" w:csb0="2000019F" w:csb1="00000000"/>
    <w:embedRegular r:id="rId7" w:fontKey="{F5D5F8E4-90C6-466F-A894-C370795AE32D}"/>
  </w:font>
  <w:font w:name="楷体">
    <w:panose1 w:val="02010609060101010101"/>
    <w:charset w:val="86"/>
    <w:family w:val="modern"/>
    <w:pitch w:val="default"/>
    <w:sig w:usb0="800002BF" w:usb1="38CF7CFA" w:usb2="00000016" w:usb3="00000000" w:csb0="00040001" w:csb1="00000000"/>
    <w:embedRegular r:id="rId8" w:fontKey="{7B026CD0-373E-4952-827F-6D68CB54F0C1}"/>
  </w:font>
  <w:font w:name="仿宋_GB2312">
    <w:altName w:val="仿宋"/>
    <w:panose1 w:val="00000000000000000000"/>
    <w:charset w:val="86"/>
    <w:family w:val="modern"/>
    <w:pitch w:val="default"/>
    <w:sig w:usb0="00000000" w:usb1="00000000" w:usb2="00000010" w:usb3="00000000" w:csb0="00040000" w:csb1="00000000"/>
    <w:embedRegular r:id="rId9" w:fontKey="{49D14BD2-01FF-4097-93D0-AB0914749AE8}"/>
  </w:font>
  <w:font w:name="MS Gothic">
    <w:panose1 w:val="020B0609070205080204"/>
    <w:charset w:val="80"/>
    <w:family w:val="modern"/>
    <w:pitch w:val="default"/>
    <w:sig w:usb0="E00002FF" w:usb1="6AC7FDFB" w:usb2="08000012" w:usb3="00000000" w:csb0="4002009F" w:csb1="DFD70000"/>
    <w:embedRegular r:id="rId10" w:fontKey="{20BAFB7D-B43B-43AD-A780-4658B7921191}"/>
  </w:font>
  <w:font w:name="ArialUnicodeMS">
    <w:altName w:val="Malgun Gothic"/>
    <w:panose1 w:val="00000000000000000000"/>
    <w:charset w:val="81"/>
    <w:family w:val="auto"/>
    <w:pitch w:val="default"/>
    <w:sig w:usb0="00000000" w:usb1="00000000" w:usb2="00000010" w:usb3="00000000" w:csb0="00080000" w:csb1="00000000"/>
    <w:embedRegular r:id="rId11" w:fontKey="{E59D7CC7-E64E-4A83-917C-A2C8C70F365C}"/>
  </w:font>
  <w:font w:name="MS-UIGothic,Bold">
    <w:altName w:val="Malgun Gothic"/>
    <w:panose1 w:val="00000000000000000000"/>
    <w:charset w:val="81"/>
    <w:family w:val="auto"/>
    <w:pitch w:val="default"/>
    <w:sig w:usb0="00000000" w:usb1="00000000" w:usb2="00000010" w:usb3="00000000" w:csb0="00080000" w:csb1="00000000"/>
    <w:embedRegular r:id="rId12" w:fontKey="{6F3BEC46-34E4-4F0B-AEC1-35734E46D6A6}"/>
  </w:font>
  <w:font w:name="Arial">
    <w:panose1 w:val="020B0604020202020204"/>
    <w:charset w:val="00"/>
    <w:family w:val="swiss"/>
    <w:pitch w:val="default"/>
    <w:sig w:usb0="E0002EFF" w:usb1="C000785B" w:usb2="00000009" w:usb3="00000000" w:csb0="400001FF" w:csb1="FFFF0000"/>
    <w:embedRegular r:id="rId13" w:fontKey="{4E430F26-860E-46C9-B817-C78935A185A0}"/>
  </w:font>
  <w:font w:name="DengXian-Regular">
    <w:altName w:val="宋体"/>
    <w:panose1 w:val="00000000000000000000"/>
    <w:charset w:val="86"/>
    <w:family w:val="auto"/>
    <w:pitch w:val="default"/>
    <w:sig w:usb0="00000000" w:usb1="00000000" w:usb2="00000010" w:usb3="00000000" w:csb0="00040000" w:csb1="00000000"/>
    <w:embedRegular r:id="rId14" w:fontKey="{5F3940A4-D7EC-48EE-A5C4-C40966B7E63C}"/>
  </w:font>
  <w:font w:name="楷体_GB2312">
    <w:altName w:val="楷体"/>
    <w:panose1 w:val="00000000000000000000"/>
    <w:charset w:val="86"/>
    <w:family w:val="modern"/>
    <w:pitch w:val="default"/>
    <w:sig w:usb0="00000000" w:usb1="00000000" w:usb2="00000010" w:usb3="00000000" w:csb0="00040000" w:csb1="00000000"/>
    <w:embedRegular r:id="rId15" w:fontKey="{AC395194-5C82-4CC3-9634-4BE2BAF5F264}"/>
  </w:font>
  <w:font w:name="DengXian-Bold">
    <w:altName w:val="宋体"/>
    <w:panose1 w:val="00000000000000000000"/>
    <w:charset w:val="86"/>
    <w:family w:val="auto"/>
    <w:pitch w:val="default"/>
    <w:sig w:usb0="00000000" w:usb1="00000000" w:usb2="00000010" w:usb3="00000000" w:csb0="00040000" w:csb1="00000000"/>
    <w:embedRegular r:id="rId16" w:fontKey="{FC7F8FDE-C0B6-4BC9-9E08-5A10078E1823}"/>
  </w:font>
  <w:font w:name="仿宋">
    <w:panose1 w:val="02010609060101010101"/>
    <w:charset w:val="86"/>
    <w:family w:val="modern"/>
    <w:pitch w:val="default"/>
    <w:sig w:usb0="800002BF" w:usb1="38CF7CFA" w:usb2="00000016" w:usb3="00000000" w:csb0="00040001" w:csb1="00000000"/>
    <w:embedRegular r:id="rId17" w:fontKey="{DDBA55CE-1E2A-41A4-8EC1-98B440ED8DD4}"/>
  </w:font>
  <w:font w:name="TimesNewRomanPSMT">
    <w:altName w:val="Arial"/>
    <w:panose1 w:val="00000000000000000000"/>
    <w:charset w:val="00"/>
    <w:family w:val="swiss"/>
    <w:pitch w:val="default"/>
    <w:sig w:usb0="00000000" w:usb1="00000000" w:usb2="00000000" w:usb3="00000000" w:csb0="00000001" w:csb1="00000000"/>
  </w:font>
  <w:font w:name="仿宋_GB2312">
    <w:altName w:val="仿宋"/>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DB9A87"/>
    <w:multiLevelType w:val="singleLevel"/>
    <w:tmpl w:val="45DB9A87"/>
    <w:lvl w:ilvl="0" w:tentative="0">
      <w:start w:val="3"/>
      <w:numFmt w:val="chineseCounting"/>
      <w:suff w:val="nothing"/>
      <w:lvlText w:val="（%1）"/>
      <w:lvlJc w:val="left"/>
      <w:rPr>
        <w:rFonts w:hint="eastAsia" w:cs="Times New Roman"/>
      </w:rPr>
    </w:lvl>
  </w:abstractNum>
  <w:abstractNum w:abstractNumId="1">
    <w:nsid w:val="5F222FFA"/>
    <w:multiLevelType w:val="singleLevel"/>
    <w:tmpl w:val="5F222FFA"/>
    <w:lvl w:ilvl="0" w:tentative="0">
      <w:start w:val="1"/>
      <w:numFmt w:val="decimal"/>
      <w:suff w:val="nothing"/>
      <w:lvlText w:val="（%1）"/>
      <w:lvlJc w:val="left"/>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bordersDoNotSurroundHeader w:val="1"/>
  <w:bordersDoNotSurroundFooter w:val="1"/>
  <w:doNotTrackMoves/>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C1413"/>
    <w:rsid w:val="00024E7F"/>
    <w:rsid w:val="00040968"/>
    <w:rsid w:val="00042870"/>
    <w:rsid w:val="000475A0"/>
    <w:rsid w:val="0005458F"/>
    <w:rsid w:val="00077678"/>
    <w:rsid w:val="000838C3"/>
    <w:rsid w:val="000B2446"/>
    <w:rsid w:val="000D7C65"/>
    <w:rsid w:val="000E1F12"/>
    <w:rsid w:val="000E2F81"/>
    <w:rsid w:val="000E576B"/>
    <w:rsid w:val="000E64AF"/>
    <w:rsid w:val="00117946"/>
    <w:rsid w:val="00117E2C"/>
    <w:rsid w:val="00126A1F"/>
    <w:rsid w:val="00146C47"/>
    <w:rsid w:val="00152FB8"/>
    <w:rsid w:val="00171575"/>
    <w:rsid w:val="00176658"/>
    <w:rsid w:val="0018239E"/>
    <w:rsid w:val="00182695"/>
    <w:rsid w:val="001A29BD"/>
    <w:rsid w:val="001B3410"/>
    <w:rsid w:val="001C030D"/>
    <w:rsid w:val="001C4A84"/>
    <w:rsid w:val="001C6069"/>
    <w:rsid w:val="001D22A4"/>
    <w:rsid w:val="001E5902"/>
    <w:rsid w:val="001F1D8C"/>
    <w:rsid w:val="0020443D"/>
    <w:rsid w:val="00226D7E"/>
    <w:rsid w:val="00233705"/>
    <w:rsid w:val="00235AD9"/>
    <w:rsid w:val="002455AB"/>
    <w:rsid w:val="00264A4B"/>
    <w:rsid w:val="00275CA2"/>
    <w:rsid w:val="002817B0"/>
    <w:rsid w:val="00290500"/>
    <w:rsid w:val="002A65A5"/>
    <w:rsid w:val="002A67A7"/>
    <w:rsid w:val="002C04C4"/>
    <w:rsid w:val="002C2F08"/>
    <w:rsid w:val="002D08B0"/>
    <w:rsid w:val="002D0A2A"/>
    <w:rsid w:val="002D1AE3"/>
    <w:rsid w:val="002F2ECE"/>
    <w:rsid w:val="003079FA"/>
    <w:rsid w:val="00316BA7"/>
    <w:rsid w:val="0033253A"/>
    <w:rsid w:val="003345EA"/>
    <w:rsid w:val="00341C8F"/>
    <w:rsid w:val="003536C5"/>
    <w:rsid w:val="0035463A"/>
    <w:rsid w:val="00382E52"/>
    <w:rsid w:val="00391D9D"/>
    <w:rsid w:val="003A570E"/>
    <w:rsid w:val="003B6C51"/>
    <w:rsid w:val="003C1413"/>
    <w:rsid w:val="003C549F"/>
    <w:rsid w:val="003D5A16"/>
    <w:rsid w:val="003E7DB3"/>
    <w:rsid w:val="004021B9"/>
    <w:rsid w:val="00424EF4"/>
    <w:rsid w:val="00431175"/>
    <w:rsid w:val="00435C58"/>
    <w:rsid w:val="004427E1"/>
    <w:rsid w:val="00482269"/>
    <w:rsid w:val="00487CDE"/>
    <w:rsid w:val="004A01AE"/>
    <w:rsid w:val="004B6E37"/>
    <w:rsid w:val="004C32BA"/>
    <w:rsid w:val="004D6D8F"/>
    <w:rsid w:val="004D6EC3"/>
    <w:rsid w:val="004E1BA1"/>
    <w:rsid w:val="004E2763"/>
    <w:rsid w:val="00515627"/>
    <w:rsid w:val="00524396"/>
    <w:rsid w:val="00540439"/>
    <w:rsid w:val="00575922"/>
    <w:rsid w:val="00594635"/>
    <w:rsid w:val="005A6C90"/>
    <w:rsid w:val="005B28CA"/>
    <w:rsid w:val="005D5CA2"/>
    <w:rsid w:val="005D7825"/>
    <w:rsid w:val="005E3FB0"/>
    <w:rsid w:val="005F4B66"/>
    <w:rsid w:val="005F5208"/>
    <w:rsid w:val="00601D0D"/>
    <w:rsid w:val="00604F91"/>
    <w:rsid w:val="006226EB"/>
    <w:rsid w:val="00623803"/>
    <w:rsid w:val="00635800"/>
    <w:rsid w:val="00641318"/>
    <w:rsid w:val="00642872"/>
    <w:rsid w:val="0064405D"/>
    <w:rsid w:val="00650243"/>
    <w:rsid w:val="00661F71"/>
    <w:rsid w:val="00680834"/>
    <w:rsid w:val="00694F0F"/>
    <w:rsid w:val="00695557"/>
    <w:rsid w:val="006A49AC"/>
    <w:rsid w:val="006A7B79"/>
    <w:rsid w:val="006C18D6"/>
    <w:rsid w:val="006C3CB4"/>
    <w:rsid w:val="006D4EA7"/>
    <w:rsid w:val="006D6CB4"/>
    <w:rsid w:val="006D77C2"/>
    <w:rsid w:val="006E3DF2"/>
    <w:rsid w:val="0070012A"/>
    <w:rsid w:val="0070664B"/>
    <w:rsid w:val="007071B8"/>
    <w:rsid w:val="00711E85"/>
    <w:rsid w:val="00713BF7"/>
    <w:rsid w:val="007414DE"/>
    <w:rsid w:val="0074187B"/>
    <w:rsid w:val="00777464"/>
    <w:rsid w:val="007905A9"/>
    <w:rsid w:val="00790E06"/>
    <w:rsid w:val="00794FE0"/>
    <w:rsid w:val="007B0E8E"/>
    <w:rsid w:val="007B256E"/>
    <w:rsid w:val="007C6DA3"/>
    <w:rsid w:val="007E21C0"/>
    <w:rsid w:val="007E47E6"/>
    <w:rsid w:val="007E5500"/>
    <w:rsid w:val="007F0442"/>
    <w:rsid w:val="007F055B"/>
    <w:rsid w:val="00811C2F"/>
    <w:rsid w:val="00833D46"/>
    <w:rsid w:val="00834705"/>
    <w:rsid w:val="00840A97"/>
    <w:rsid w:val="008448FE"/>
    <w:rsid w:val="0085743F"/>
    <w:rsid w:val="008947EC"/>
    <w:rsid w:val="008B2CF6"/>
    <w:rsid w:val="008C0149"/>
    <w:rsid w:val="008D31F9"/>
    <w:rsid w:val="008D5DED"/>
    <w:rsid w:val="008E25CA"/>
    <w:rsid w:val="008E6064"/>
    <w:rsid w:val="008F34FC"/>
    <w:rsid w:val="008F36D4"/>
    <w:rsid w:val="0091084D"/>
    <w:rsid w:val="00912504"/>
    <w:rsid w:val="00920530"/>
    <w:rsid w:val="00922643"/>
    <w:rsid w:val="009333D5"/>
    <w:rsid w:val="00944CD7"/>
    <w:rsid w:val="00966A2F"/>
    <w:rsid w:val="009831B2"/>
    <w:rsid w:val="009A1ABE"/>
    <w:rsid w:val="009D5BE4"/>
    <w:rsid w:val="009E21A4"/>
    <w:rsid w:val="009F22C6"/>
    <w:rsid w:val="009F53B4"/>
    <w:rsid w:val="00A07E50"/>
    <w:rsid w:val="00A11941"/>
    <w:rsid w:val="00A15397"/>
    <w:rsid w:val="00A35CE0"/>
    <w:rsid w:val="00A4462E"/>
    <w:rsid w:val="00A44AA4"/>
    <w:rsid w:val="00A61623"/>
    <w:rsid w:val="00A82208"/>
    <w:rsid w:val="00A84687"/>
    <w:rsid w:val="00A84EA7"/>
    <w:rsid w:val="00A85AB8"/>
    <w:rsid w:val="00AB0A0E"/>
    <w:rsid w:val="00AC1F2B"/>
    <w:rsid w:val="00AD2263"/>
    <w:rsid w:val="00AD3B6E"/>
    <w:rsid w:val="00AF0BFD"/>
    <w:rsid w:val="00B014FA"/>
    <w:rsid w:val="00B1751F"/>
    <w:rsid w:val="00B210C0"/>
    <w:rsid w:val="00B3300C"/>
    <w:rsid w:val="00B43FC3"/>
    <w:rsid w:val="00B54B50"/>
    <w:rsid w:val="00B560BB"/>
    <w:rsid w:val="00B56722"/>
    <w:rsid w:val="00B67C6A"/>
    <w:rsid w:val="00B715F9"/>
    <w:rsid w:val="00B74D39"/>
    <w:rsid w:val="00B91DA4"/>
    <w:rsid w:val="00B93E84"/>
    <w:rsid w:val="00BA3C4E"/>
    <w:rsid w:val="00BC058C"/>
    <w:rsid w:val="00C07E4C"/>
    <w:rsid w:val="00C12630"/>
    <w:rsid w:val="00C21BA1"/>
    <w:rsid w:val="00C34562"/>
    <w:rsid w:val="00C3774E"/>
    <w:rsid w:val="00C57456"/>
    <w:rsid w:val="00C65387"/>
    <w:rsid w:val="00C76393"/>
    <w:rsid w:val="00C87FAB"/>
    <w:rsid w:val="00C91FF7"/>
    <w:rsid w:val="00C94E53"/>
    <w:rsid w:val="00CA5CD9"/>
    <w:rsid w:val="00CA687A"/>
    <w:rsid w:val="00CB24C1"/>
    <w:rsid w:val="00CC46BD"/>
    <w:rsid w:val="00CD0AB9"/>
    <w:rsid w:val="00CF0F9C"/>
    <w:rsid w:val="00CF481C"/>
    <w:rsid w:val="00CF5595"/>
    <w:rsid w:val="00D0048E"/>
    <w:rsid w:val="00D232A1"/>
    <w:rsid w:val="00D23E7A"/>
    <w:rsid w:val="00D330FA"/>
    <w:rsid w:val="00D60956"/>
    <w:rsid w:val="00D61063"/>
    <w:rsid w:val="00D64A1E"/>
    <w:rsid w:val="00D75F9E"/>
    <w:rsid w:val="00D769F2"/>
    <w:rsid w:val="00D97EB5"/>
    <w:rsid w:val="00DB2DB8"/>
    <w:rsid w:val="00DB35AF"/>
    <w:rsid w:val="00DD3BF3"/>
    <w:rsid w:val="00DD72D7"/>
    <w:rsid w:val="00DF5B88"/>
    <w:rsid w:val="00DF5C90"/>
    <w:rsid w:val="00E0589E"/>
    <w:rsid w:val="00E241FA"/>
    <w:rsid w:val="00E2595E"/>
    <w:rsid w:val="00E35374"/>
    <w:rsid w:val="00E43691"/>
    <w:rsid w:val="00E50C19"/>
    <w:rsid w:val="00E558F3"/>
    <w:rsid w:val="00E64655"/>
    <w:rsid w:val="00E73081"/>
    <w:rsid w:val="00E856C9"/>
    <w:rsid w:val="00EA392F"/>
    <w:rsid w:val="00EA41BB"/>
    <w:rsid w:val="00EB6A8B"/>
    <w:rsid w:val="00EC7C63"/>
    <w:rsid w:val="00EF38C6"/>
    <w:rsid w:val="00F14342"/>
    <w:rsid w:val="00F16540"/>
    <w:rsid w:val="00F62BBF"/>
    <w:rsid w:val="00F679C7"/>
    <w:rsid w:val="00F7711A"/>
    <w:rsid w:val="00F939C9"/>
    <w:rsid w:val="00FA0D58"/>
    <w:rsid w:val="00FA56F4"/>
    <w:rsid w:val="00FB4EDA"/>
    <w:rsid w:val="00FC3BA9"/>
    <w:rsid w:val="00FC4766"/>
    <w:rsid w:val="00FD0068"/>
    <w:rsid w:val="00FD3BD5"/>
    <w:rsid w:val="00FE3DC8"/>
    <w:rsid w:val="02A86279"/>
    <w:rsid w:val="04073F84"/>
    <w:rsid w:val="0B60750A"/>
    <w:rsid w:val="10686488"/>
    <w:rsid w:val="10DF728A"/>
    <w:rsid w:val="1264200E"/>
    <w:rsid w:val="141C5B77"/>
    <w:rsid w:val="18D8339D"/>
    <w:rsid w:val="1A21388F"/>
    <w:rsid w:val="1A570D2F"/>
    <w:rsid w:val="28FB0B8D"/>
    <w:rsid w:val="2D2B7942"/>
    <w:rsid w:val="2D46481D"/>
    <w:rsid w:val="2E733B28"/>
    <w:rsid w:val="31852B5A"/>
    <w:rsid w:val="32D01238"/>
    <w:rsid w:val="3DFC59A8"/>
    <w:rsid w:val="3ECF245E"/>
    <w:rsid w:val="3FB96314"/>
    <w:rsid w:val="53A44FAF"/>
    <w:rsid w:val="594329EC"/>
    <w:rsid w:val="5BEE1540"/>
    <w:rsid w:val="5DE61A5D"/>
    <w:rsid w:val="63C04243"/>
    <w:rsid w:val="649C01C7"/>
    <w:rsid w:val="699A3F60"/>
    <w:rsid w:val="72902E62"/>
    <w:rsid w:val="73C61104"/>
    <w:rsid w:val="776452EA"/>
    <w:rsid w:val="7DC663B9"/>
    <w:rsid w:val="7FD21032"/>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uiPriority="99" w:name="annotation text" w:locked="1"/>
    <w:lsdException w:unhideWhenUsed="0" w:uiPriority="99" w:semiHidden="0" w:name="header"/>
    <w:lsdException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unhideWhenUsed="0" w:uiPriority="99" w:name="Date"/>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iPriority="99" w:name="Hyperlink" w:locked="1"/>
    <w:lsdException w:uiPriority="99" w:name="FollowedHyperlink" w:locked="1"/>
    <w:lsdException w:qFormat="1" w:unhideWhenUsed="0" w:uiPriority="0" w:semiHidden="0" w:name="Strong"/>
    <w:lsdException w:qFormat="1" w:unhideWhenUsed="0" w:uiPriority="0" w:semiHidden="0" w:name="Emphasis"/>
    <w:lsdException w:uiPriority="99" w:name="Document Map" w:locked="1"/>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nhideWhenUsed="0" w:uiPriority="99" w:name="Balloon Text"/>
    <w:lsdException w:unhideWhenUsed="0" w:uiPriority="99" w:semiHidden="0" w:name="Table Grid"/>
    <w:lsdException w:uiPriority="99" w:name="Table Theme" w:locked="1"/>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6"/>
    <w:qFormat/>
    <w:uiPriority w:val="99"/>
    <w:pPr>
      <w:keepNext/>
      <w:keepLines/>
      <w:spacing w:before="260" w:after="260" w:line="416" w:lineRule="auto"/>
      <w:outlineLvl w:val="1"/>
    </w:pPr>
    <w:rPr>
      <w:rFonts w:ascii="Calibri" w:hAnsi="Calibri"/>
      <w:b/>
      <w:bCs/>
      <w:sz w:val="32"/>
      <w:szCs w:val="32"/>
    </w:rPr>
  </w:style>
  <w:style w:type="paragraph" w:styleId="4">
    <w:name w:val="heading 3"/>
    <w:basedOn w:val="1"/>
    <w:next w:val="1"/>
    <w:link w:val="17"/>
    <w:qFormat/>
    <w:uiPriority w:val="99"/>
    <w:pPr>
      <w:keepNext/>
      <w:keepLines/>
      <w:spacing w:before="260" w:after="260" w:line="416" w:lineRule="auto"/>
      <w:outlineLvl w:val="2"/>
    </w:pPr>
    <w:rPr>
      <w:b/>
      <w:bCs/>
      <w:sz w:val="32"/>
      <w:szCs w:val="32"/>
    </w:rPr>
  </w:style>
  <w:style w:type="paragraph" w:styleId="5">
    <w:name w:val="heading 4"/>
    <w:basedOn w:val="1"/>
    <w:next w:val="1"/>
    <w:link w:val="18"/>
    <w:qFormat/>
    <w:uiPriority w:val="99"/>
    <w:pPr>
      <w:keepNext/>
      <w:keepLines/>
      <w:spacing w:before="280" w:after="290" w:line="376" w:lineRule="auto"/>
      <w:outlineLvl w:val="3"/>
    </w:pPr>
    <w:rPr>
      <w:rFonts w:ascii="Calibri" w:hAnsi="Calibri"/>
      <w:b/>
      <w:bCs/>
      <w:sz w:val="28"/>
      <w:szCs w:val="28"/>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19"/>
    <w:semiHidden/>
    <w:uiPriority w:val="99"/>
    <w:pPr>
      <w:ind w:left="100" w:leftChars="2500"/>
    </w:pPr>
  </w:style>
  <w:style w:type="paragraph" w:styleId="7">
    <w:name w:val="Balloon Text"/>
    <w:basedOn w:val="1"/>
    <w:link w:val="20"/>
    <w:semiHidden/>
    <w:uiPriority w:val="99"/>
    <w:rPr>
      <w:sz w:val="18"/>
      <w:szCs w:val="18"/>
    </w:rPr>
  </w:style>
  <w:style w:type="paragraph" w:styleId="8">
    <w:name w:val="footer"/>
    <w:basedOn w:val="1"/>
    <w:link w:val="21"/>
    <w:uiPriority w:val="99"/>
    <w:pPr>
      <w:tabs>
        <w:tab w:val="center" w:pos="4153"/>
        <w:tab w:val="right" w:pos="8306"/>
      </w:tabs>
      <w:snapToGrid w:val="0"/>
      <w:jc w:val="left"/>
    </w:pPr>
    <w:rPr>
      <w:rFonts w:ascii="Cambria" w:hAnsi="Cambria" w:eastAsia="黑体"/>
      <w:sz w:val="18"/>
      <w:szCs w:val="18"/>
    </w:rPr>
  </w:style>
  <w:style w:type="paragraph" w:styleId="9">
    <w:name w:val="header"/>
    <w:basedOn w:val="1"/>
    <w:link w:val="22"/>
    <w:uiPriority w:val="99"/>
    <w:pPr>
      <w:pBdr>
        <w:bottom w:val="single" w:color="auto" w:sz="6" w:space="1"/>
      </w:pBdr>
      <w:tabs>
        <w:tab w:val="center" w:pos="4153"/>
        <w:tab w:val="right" w:pos="8306"/>
      </w:tabs>
      <w:snapToGrid w:val="0"/>
      <w:jc w:val="center"/>
    </w:pPr>
    <w:rPr>
      <w:rFonts w:ascii="Cambria" w:hAnsi="Cambria" w:eastAsia="黑体"/>
      <w:sz w:val="18"/>
      <w:szCs w:val="18"/>
    </w:rPr>
  </w:style>
  <w:style w:type="paragraph" w:styleId="10">
    <w:name w:val="Subtitle"/>
    <w:basedOn w:val="1"/>
    <w:next w:val="1"/>
    <w:link w:val="23"/>
    <w:qFormat/>
    <w:uiPriority w:val="99"/>
    <w:pPr>
      <w:widowControl/>
      <w:spacing w:after="200" w:line="276" w:lineRule="auto"/>
      <w:jc w:val="left"/>
    </w:pPr>
    <w:rPr>
      <w:rFonts w:ascii="Calibri" w:hAnsi="Calibri"/>
      <w:i/>
      <w:iCs/>
      <w:color w:val="F0A22E"/>
      <w:spacing w:val="15"/>
      <w:kern w:val="0"/>
      <w:sz w:val="24"/>
    </w:rPr>
  </w:style>
  <w:style w:type="paragraph" w:styleId="11">
    <w:name w:val="Title"/>
    <w:basedOn w:val="1"/>
    <w:next w:val="1"/>
    <w:link w:val="24"/>
    <w:qFormat/>
    <w:uiPriority w:val="99"/>
    <w:pPr>
      <w:widowControl/>
      <w:pBdr>
        <w:bottom w:val="single" w:color="F0A22E" w:sz="8" w:space="4"/>
      </w:pBdr>
      <w:spacing w:after="300"/>
      <w:contextualSpacing/>
      <w:jc w:val="left"/>
    </w:pPr>
    <w:rPr>
      <w:rFonts w:ascii="Calibri" w:hAnsi="Calibri"/>
      <w:color w:val="3A2C24"/>
      <w:spacing w:val="5"/>
      <w:kern w:val="28"/>
      <w:sz w:val="52"/>
      <w:szCs w:val="52"/>
    </w:rPr>
  </w:style>
  <w:style w:type="table" w:styleId="13">
    <w:name w:val="Table Grid"/>
    <w:basedOn w:val="12"/>
    <w:uiPriority w:val="99"/>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5">
    <w:name w:val="标题 1 Char"/>
    <w:basedOn w:val="14"/>
    <w:link w:val="2"/>
    <w:locked/>
    <w:uiPriority w:val="99"/>
    <w:rPr>
      <w:rFonts w:ascii="Times New Roman" w:hAnsi="Times New Roman" w:eastAsia="宋体" w:cs="Times New Roman"/>
      <w:b/>
      <w:bCs/>
      <w:kern w:val="44"/>
      <w:sz w:val="44"/>
      <w:szCs w:val="44"/>
    </w:rPr>
  </w:style>
  <w:style w:type="character" w:customStyle="1" w:styleId="16">
    <w:name w:val="标题 2 Char"/>
    <w:basedOn w:val="14"/>
    <w:link w:val="3"/>
    <w:locked/>
    <w:uiPriority w:val="99"/>
    <w:rPr>
      <w:rFonts w:ascii="Calibri" w:hAnsi="Calibri" w:eastAsia="宋体" w:cs="Times New Roman"/>
      <w:b/>
      <w:bCs/>
      <w:sz w:val="32"/>
      <w:szCs w:val="32"/>
    </w:rPr>
  </w:style>
  <w:style w:type="character" w:customStyle="1" w:styleId="17">
    <w:name w:val="标题 3 Char"/>
    <w:basedOn w:val="14"/>
    <w:link w:val="4"/>
    <w:locked/>
    <w:uiPriority w:val="99"/>
    <w:rPr>
      <w:rFonts w:ascii="Times New Roman" w:hAnsi="Times New Roman" w:eastAsia="宋体" w:cs="Times New Roman"/>
      <w:b/>
      <w:bCs/>
      <w:sz w:val="32"/>
      <w:szCs w:val="32"/>
    </w:rPr>
  </w:style>
  <w:style w:type="character" w:customStyle="1" w:styleId="18">
    <w:name w:val="标题 4 Char"/>
    <w:basedOn w:val="14"/>
    <w:link w:val="5"/>
    <w:locked/>
    <w:uiPriority w:val="99"/>
    <w:rPr>
      <w:rFonts w:ascii="Calibri" w:hAnsi="Calibri" w:eastAsia="宋体" w:cs="Times New Roman"/>
      <w:b/>
      <w:bCs/>
      <w:sz w:val="28"/>
      <w:szCs w:val="28"/>
    </w:rPr>
  </w:style>
  <w:style w:type="character" w:customStyle="1" w:styleId="19">
    <w:name w:val="日期 Char"/>
    <w:basedOn w:val="14"/>
    <w:link w:val="6"/>
    <w:semiHidden/>
    <w:locked/>
    <w:uiPriority w:val="99"/>
    <w:rPr>
      <w:rFonts w:ascii="Times New Roman" w:hAnsi="Times New Roman" w:eastAsia="宋体" w:cs="Times New Roman"/>
      <w:sz w:val="24"/>
      <w:szCs w:val="24"/>
    </w:rPr>
  </w:style>
  <w:style w:type="character" w:customStyle="1" w:styleId="20">
    <w:name w:val="批注框文本 Char"/>
    <w:basedOn w:val="14"/>
    <w:link w:val="7"/>
    <w:semiHidden/>
    <w:locked/>
    <w:uiPriority w:val="99"/>
    <w:rPr>
      <w:rFonts w:ascii="Times New Roman" w:hAnsi="Times New Roman" w:eastAsia="宋体" w:cs="Times New Roman"/>
      <w:sz w:val="18"/>
      <w:szCs w:val="18"/>
    </w:rPr>
  </w:style>
  <w:style w:type="character" w:customStyle="1" w:styleId="21">
    <w:name w:val="页脚 Char"/>
    <w:basedOn w:val="14"/>
    <w:link w:val="8"/>
    <w:locked/>
    <w:uiPriority w:val="99"/>
    <w:rPr>
      <w:rFonts w:cs="Times New Roman"/>
      <w:sz w:val="18"/>
      <w:szCs w:val="18"/>
    </w:rPr>
  </w:style>
  <w:style w:type="character" w:customStyle="1" w:styleId="22">
    <w:name w:val="页眉 Char"/>
    <w:basedOn w:val="14"/>
    <w:link w:val="9"/>
    <w:locked/>
    <w:uiPriority w:val="99"/>
    <w:rPr>
      <w:rFonts w:cs="Times New Roman"/>
      <w:sz w:val="18"/>
      <w:szCs w:val="18"/>
    </w:rPr>
  </w:style>
  <w:style w:type="character" w:customStyle="1" w:styleId="23">
    <w:name w:val="副标题 Char"/>
    <w:basedOn w:val="14"/>
    <w:link w:val="10"/>
    <w:locked/>
    <w:uiPriority w:val="99"/>
    <w:rPr>
      <w:rFonts w:ascii="Calibri" w:hAnsi="Calibri" w:eastAsia="宋体" w:cs="Times New Roman"/>
      <w:i/>
      <w:iCs/>
      <w:color w:val="F0A22E"/>
      <w:spacing w:val="15"/>
      <w:kern w:val="0"/>
      <w:sz w:val="24"/>
      <w:szCs w:val="24"/>
    </w:rPr>
  </w:style>
  <w:style w:type="character" w:customStyle="1" w:styleId="24">
    <w:name w:val="标题 Char"/>
    <w:basedOn w:val="14"/>
    <w:link w:val="11"/>
    <w:locked/>
    <w:uiPriority w:val="99"/>
    <w:rPr>
      <w:rFonts w:ascii="Calibri" w:hAnsi="Calibri" w:eastAsia="宋体" w:cs="Times New Roman"/>
      <w:color w:val="3A2C24"/>
      <w:spacing w:val="5"/>
      <w:kern w:val="28"/>
      <w:sz w:val="52"/>
      <w:szCs w:val="52"/>
    </w:rPr>
  </w:style>
  <w:style w:type="paragraph" w:styleId="25">
    <w:name w:val="No Spacing"/>
    <w:link w:val="26"/>
    <w:qFormat/>
    <w:uiPriority w:val="99"/>
    <w:pPr>
      <w:spacing w:after="160" w:line="480" w:lineRule="auto"/>
    </w:pPr>
    <w:rPr>
      <w:rFonts w:ascii="Cambria" w:hAnsi="Cambria" w:eastAsia="黑体" w:cs="Times New Roman"/>
      <w:sz w:val="22"/>
      <w:szCs w:val="22"/>
      <w:lang w:val="en-US" w:eastAsia="zh-CN" w:bidi="ar-SA"/>
    </w:rPr>
  </w:style>
  <w:style w:type="character" w:customStyle="1" w:styleId="26">
    <w:name w:val="无间隔 Char"/>
    <w:basedOn w:val="14"/>
    <w:link w:val="25"/>
    <w:qFormat/>
    <w:locked/>
    <w:uiPriority w:val="99"/>
    <w:rPr>
      <w:sz w:val="22"/>
      <w:szCs w:val="22"/>
      <w:lang w:val="en-US" w:eastAsia="zh-CN" w:bidi="ar-SA"/>
    </w:rPr>
  </w:style>
  <w:style w:type="character" w:customStyle="1" w:styleId="27">
    <w:name w:val="Style1"/>
    <w:basedOn w:val="14"/>
    <w:qFormat/>
    <w:uiPriority w:val="99"/>
    <w:rPr>
      <w:rFonts w:ascii="Cambria" w:hAnsi="黑体" w:eastAsia="黑体" w:cs="Times New Roman"/>
      <w:sz w:val="22"/>
      <w:szCs w:val="22"/>
      <w:lang w:eastAsia="zh-CN"/>
    </w:rPr>
  </w:style>
  <w:style w:type="character" w:customStyle="1" w:styleId="28">
    <w:name w:val="Style2"/>
    <w:basedOn w:val="14"/>
    <w:qFormat/>
    <w:uiPriority w:val="99"/>
    <w:rPr>
      <w:rFonts w:ascii="Cambria" w:hAnsi="黑体" w:eastAsia="黑体" w:cs="Times New Roman"/>
      <w:sz w:val="22"/>
      <w:szCs w:val="22"/>
      <w:lang w:eastAsia="zh-CN"/>
    </w:rPr>
  </w:style>
  <w:style w:type="character" w:customStyle="1" w:styleId="29">
    <w:name w:val="Style3"/>
    <w:basedOn w:val="14"/>
    <w:uiPriority w:val="99"/>
    <w:rPr>
      <w:rFonts w:ascii="Cambria" w:hAnsi="黑体" w:eastAsia="黑体" w:cs="Times New Roman"/>
      <w:sz w:val="22"/>
      <w:szCs w:val="22"/>
      <w:lang w:eastAsia="zh-CN"/>
    </w:rPr>
  </w:style>
  <w:style w:type="character" w:customStyle="1" w:styleId="30">
    <w:name w:val="Style4"/>
    <w:basedOn w:val="14"/>
    <w:uiPriority w:val="99"/>
    <w:rPr>
      <w:rFonts w:ascii="Cambria" w:hAnsi="黑体" w:eastAsia="黑体" w:cs="Times New Roman"/>
      <w:sz w:val="22"/>
      <w:szCs w:val="22"/>
      <w:lang w:eastAsia="zh-CN"/>
    </w:rPr>
  </w:style>
  <w:style w:type="character" w:customStyle="1" w:styleId="31">
    <w:name w:val="Style5"/>
    <w:basedOn w:val="14"/>
    <w:uiPriority w:val="99"/>
    <w:rPr>
      <w:rFonts w:ascii="Cambria" w:hAnsi="黑体" w:eastAsia="黑体" w:cs="Times New Roman"/>
      <w:sz w:val="22"/>
      <w:szCs w:val="22"/>
      <w:lang w:eastAsia="zh-CN"/>
    </w:rPr>
  </w:style>
  <w:style w:type="paragraph" w:styleId="3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9"/>
    <customShpInfo spid="_x0000_s1030"/>
    <customShpInfo spid="_x0000_s1028"/>
    <customShpInfo spid="_x0000_s1032"/>
    <customShpInfo spid="_x0000_s1033"/>
    <customShpInfo spid="_x0000_s1031"/>
    <customShpInfo spid="_x0000_s1034"/>
    <customShpInfo spid="_x0000_s1035"/>
    <customShpInfo spid="_x0000_s1037"/>
    <customShpInfo spid="_x0000_s1038"/>
    <customShpInfo spid="_x0000_s1036"/>
    <customShpInfo spid="_x0000_s1039"/>
    <customShpInfo spid="_x0000_s1040"/>
    <customShpInfo spid="_x0000_s1042"/>
    <customShpInfo spid="_x0000_s1043"/>
    <customShpInfo spid="_x0000_s1041"/>
    <customShpInfo spid="_x0000_s1045"/>
    <customShpInfo spid="_x0000_s1046"/>
    <customShpInfo spid="_x0000_s1044"/>
    <customShpInfo spid="_x0000_s1048"/>
    <customShpInfo spid="_x0000_s1049"/>
    <customShpInfo spid="_x0000_s1047"/>
    <customShpInfo spid="_x0000_s1051"/>
    <customShpInfo spid="_x0000_s1052"/>
    <customShpInfo spid="_x0000_s1050"/>
    <customShpInfo spid="_x0000_s1054"/>
    <customShpInfo spid="_x0000_s1055"/>
    <customShpInfo spid="_x0000_s1053"/>
    <customShpInfo spid="_x0000_s1057"/>
    <customShpInfo spid="_x0000_s1058"/>
    <customShpInfo spid="_x0000_s1056"/>
    <customShpInfo spid="_x0000_s1060"/>
    <customShpInfo spid="_x0000_s1061"/>
    <customShpInfo spid="_x0000_s1059"/>
    <customShpInfo spid="_x0000_s1063"/>
    <customShpInfo spid="_x0000_s1064"/>
    <customShpInfo spid="_x0000_s1062"/>
    <customShpInfo spid="_x0000_s1066"/>
    <customShpInfo spid="_x0000_s1067"/>
    <customShpInfo spid="_x0000_s1065"/>
    <customShpInfo spid="_x0000_s1069"/>
    <customShpInfo spid="_x0000_s1070"/>
    <customShpInfo spid="_x0000_s1068"/>
    <customShpInfo spid="_x0000_s1071"/>
    <customShpInfo spid="_x0000_s1072"/>
    <customShpInfo spid="_x0000_s1074"/>
    <customShpInfo spid="_x0000_s1075"/>
    <customShpInfo spid="_x0000_s1073"/>
    <customShpInfo spid="_x0000_s1076"/>
    <customShpInfo spid="_x0000_s1078"/>
    <customShpInfo spid="_x0000_s1079"/>
    <customShpInfo spid="_x0000_s1077"/>
    <customShpInfo spid="_x0000_s1080"/>
    <customShpInfo spid="_x0000_s1081"/>
    <customShpInfo spid="_x0000_s1083"/>
    <customShpInfo spid="_x0000_s1084"/>
    <customShpInfo spid="_x0000_s1082"/>
    <customShpInfo spid="_x0000_s1086"/>
    <customShpInfo spid="_x0000_s1087"/>
    <customShpInfo spid="_x0000_s1085"/>
    <customShpInfo spid="_x0000_s1088"/>
    <customShpInfo spid="_x0000_s1089"/>
    <customShpInfo spid="_x0000_s1091"/>
    <customShpInfo spid="_x0000_s1092"/>
    <customShpInfo spid="_x0000_s1090"/>
    <customShpInfo spid="_x0000_s1094"/>
    <customShpInfo spid="_x0000_s1095"/>
    <customShpInfo spid="_x0000_s1093"/>
    <customShpInfo spid="_x0000_s1097"/>
    <customShpInfo spid="_x0000_s1098"/>
    <customShpInfo spid="_x0000_s1096"/>
    <customShpInfo spid="_x0000_s1100"/>
    <customShpInfo spid="_x0000_s1101"/>
    <customShpInfo spid="_x0000_s1099"/>
    <customShpInfo spid="_x0000_s1103"/>
    <customShpInfo spid="_x0000_s1104"/>
    <customShpInfo spid="_x0000_s1102"/>
    <customShpInfo spid="_x0000_s1105"/>
    <customShpInfo spid="_x0000_s1106"/>
    <customShpInfo spid="_x0000_s1108"/>
    <customShpInfo spid="_x0000_s1109"/>
    <customShpInfo spid="_x0000_s1107"/>
    <customShpInfo spid="_x0000_s1111"/>
    <customShpInfo spid="_x0000_s1112"/>
    <customShpInfo spid="_x0000_s1110"/>
    <customShpInfo spid="_x0000_s1114"/>
    <customShpInfo spid="_x0000_s1115"/>
    <customShpInfo spid="_x0000_s1113"/>
    <customShpInfo spid="_x0000_s111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33</Pages>
  <Words>2032</Words>
  <Characters>11583</Characters>
  <Lines>96</Lines>
  <Paragraphs>27</Paragraphs>
  <TotalTime>0</TotalTime>
  <ScaleCrop>false</ScaleCrop>
  <LinksUpToDate>false</LinksUpToDate>
  <CharactersWithSpaces>13588</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2019-08-01T09:15:00Z</dcterms:created>
  <dc:creator>User</dc:creator>
  <cp:lastModifiedBy>晁宇</cp:lastModifiedBy>
  <cp:lastPrinted>2019-08-02T01:01:00Z</cp:lastPrinted>
  <dcterms:modified xsi:type="dcterms:W3CDTF">2021-06-23T09:41:11Z</dcterms:modified>
  <dc:subject>石家庄市xxx部门</dc:subject>
  <dc:title>2017年度部门决算</dc:title>
  <cp:revision>184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