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highlight w:val="yellow"/>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保定市满城区神星镇人民政府</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eastAsia" w:ascii="黑体" w:hAnsi="黑体" w:eastAsia="黑体" w:cs="黑体"/>
          <w:sz w:val="56"/>
          <w:szCs w:val="72"/>
          <w:lang w:eastAsia="zh-CN"/>
        </w:rPr>
      </w:pPr>
      <w:r>
        <w:rPr>
          <w:rFonts w:hint="eastAsia" w:ascii="黑体" w:hAnsi="黑体" w:eastAsia="黑体" w:cs="黑体"/>
          <w:sz w:val="56"/>
          <w:szCs w:val="72"/>
          <w:lang w:eastAsia="zh-CN"/>
        </w:rPr>
        <w:t>保定市满城区神星镇人民政府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hint="eastAsia"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60" w:lineRule="exact"/>
        <w:ind w:firstLine="640" w:firstLineChars="200"/>
        <w:jc w:val="left"/>
        <w:rPr>
          <w:rFonts w:hint="eastAsia" w:ascii="仿宋_GB2312" w:eastAsia="仿宋_GB2312" w:cs="Arial Black"/>
          <w:kern w:val="0"/>
          <w:sz w:val="32"/>
          <w:szCs w:val="32"/>
        </w:rPr>
      </w:pPr>
      <w:r>
        <w:rPr>
          <w:rFonts w:hint="eastAsia" w:ascii="仿宋_GB2312" w:eastAsia="仿宋_GB2312" w:cs="Arial Black"/>
          <w:kern w:val="0"/>
          <w:sz w:val="32"/>
          <w:szCs w:val="32"/>
        </w:rPr>
        <w:t>1、执行本级人民代表大会的决议和上级国家行政机关的决定和命令，发布决定和命令;</w:t>
      </w:r>
    </w:p>
    <w:p>
      <w:pPr>
        <w:spacing w:line="560" w:lineRule="exact"/>
        <w:ind w:firstLine="640" w:firstLineChars="200"/>
        <w:jc w:val="left"/>
        <w:rPr>
          <w:rFonts w:hint="eastAsia" w:ascii="仿宋_GB2312" w:eastAsia="仿宋_GB2312" w:cs="Arial Black"/>
          <w:kern w:val="0"/>
          <w:sz w:val="32"/>
          <w:szCs w:val="32"/>
        </w:rPr>
      </w:pPr>
      <w:r>
        <w:rPr>
          <w:rFonts w:hint="eastAsia" w:ascii="仿宋_GB2312" w:eastAsia="仿宋_GB2312" w:cs="Arial Black"/>
          <w:kern w:val="0"/>
          <w:sz w:val="32"/>
          <w:szCs w:val="32"/>
        </w:rPr>
        <w:t>2、执行本行政区域内的经济和社会发展计划、预算，管理本行政区域内的经济、教育、科学、文化、卫生、体育事业和财政、民政、公安、司法行政、计划生育等行政工作;</w:t>
      </w:r>
    </w:p>
    <w:p>
      <w:pPr>
        <w:spacing w:line="560" w:lineRule="exact"/>
        <w:ind w:firstLine="640" w:firstLineChars="200"/>
        <w:jc w:val="left"/>
        <w:rPr>
          <w:rFonts w:hint="eastAsia" w:ascii="仿宋_GB2312" w:eastAsia="仿宋_GB2312" w:cs="Arial Black"/>
          <w:kern w:val="0"/>
          <w:sz w:val="32"/>
          <w:szCs w:val="32"/>
        </w:rPr>
      </w:pPr>
      <w:r>
        <w:rPr>
          <w:rFonts w:hint="eastAsia" w:ascii="仿宋_GB2312" w:eastAsia="仿宋_GB2312" w:cs="Arial Black"/>
          <w:kern w:val="0"/>
          <w:sz w:val="32"/>
          <w:szCs w:val="32"/>
        </w:rPr>
        <w:t>3、保护社会主义的全民所有的财产和劳动群众集体所有的财产，保护公民私人所有的合法财产，维护社会秩序，保障公民的人身权利、民主权利和</w:t>
      </w:r>
      <w:r>
        <w:rPr>
          <w:rFonts w:hint="eastAsia" w:ascii="仿宋_GB2312" w:eastAsia="仿宋_GB2312" w:cs="Arial Black"/>
          <w:kern w:val="0"/>
          <w:sz w:val="32"/>
          <w:szCs w:val="32"/>
        </w:rPr>
        <w:fldChar w:fldCharType="begin"/>
      </w:r>
      <w:r>
        <w:rPr>
          <w:rFonts w:hint="eastAsia" w:ascii="仿宋_GB2312" w:eastAsia="仿宋_GB2312" w:cs="Arial Black"/>
          <w:kern w:val="0"/>
          <w:sz w:val="32"/>
          <w:szCs w:val="32"/>
        </w:rPr>
        <w:instrText xml:space="preserve"> HYPERLINK "http://www.oh100.com/qita/" \t "_blank" </w:instrText>
      </w:r>
      <w:r>
        <w:rPr>
          <w:rFonts w:hint="eastAsia" w:ascii="仿宋_GB2312" w:eastAsia="仿宋_GB2312" w:cs="Arial Black"/>
          <w:kern w:val="0"/>
          <w:sz w:val="32"/>
          <w:szCs w:val="32"/>
        </w:rPr>
        <w:fldChar w:fldCharType="separate"/>
      </w:r>
      <w:r>
        <w:rPr>
          <w:rFonts w:hint="eastAsia" w:ascii="仿宋_GB2312" w:eastAsia="仿宋_GB2312" w:cs="Arial Black"/>
          <w:kern w:val="0"/>
          <w:sz w:val="32"/>
          <w:szCs w:val="32"/>
        </w:rPr>
        <w:t>其他</w:t>
      </w:r>
      <w:r>
        <w:rPr>
          <w:rFonts w:hint="eastAsia" w:ascii="仿宋_GB2312" w:eastAsia="仿宋_GB2312" w:cs="Arial Black"/>
          <w:kern w:val="0"/>
          <w:sz w:val="32"/>
          <w:szCs w:val="32"/>
        </w:rPr>
        <w:fldChar w:fldCharType="end"/>
      </w:r>
      <w:r>
        <w:rPr>
          <w:rFonts w:hint="eastAsia" w:ascii="仿宋_GB2312" w:eastAsia="仿宋_GB2312" w:cs="Arial Black"/>
          <w:kern w:val="0"/>
          <w:sz w:val="32"/>
          <w:szCs w:val="32"/>
        </w:rPr>
        <w:t>权利;</w:t>
      </w:r>
    </w:p>
    <w:p>
      <w:pPr>
        <w:spacing w:line="560" w:lineRule="exact"/>
        <w:ind w:firstLine="640" w:firstLineChars="200"/>
        <w:jc w:val="left"/>
        <w:rPr>
          <w:rFonts w:hint="eastAsia" w:ascii="仿宋_GB2312" w:eastAsia="仿宋_GB2312" w:cs="Arial Black"/>
          <w:kern w:val="0"/>
          <w:sz w:val="32"/>
          <w:szCs w:val="32"/>
        </w:rPr>
      </w:pPr>
      <w:r>
        <w:rPr>
          <w:rFonts w:hint="eastAsia" w:ascii="仿宋_GB2312" w:eastAsia="仿宋_GB2312" w:cs="Arial Black"/>
          <w:kern w:val="0"/>
          <w:sz w:val="32"/>
          <w:szCs w:val="32"/>
        </w:rPr>
        <w:t>4、保护各种经济组织的合法权益;</w:t>
      </w:r>
    </w:p>
    <w:p>
      <w:pPr>
        <w:spacing w:line="560" w:lineRule="exact"/>
        <w:ind w:firstLine="640" w:firstLineChars="200"/>
        <w:jc w:val="left"/>
        <w:rPr>
          <w:rFonts w:hint="eastAsia" w:ascii="仿宋_GB2312" w:eastAsia="仿宋_GB2312" w:cs="Arial Black"/>
          <w:kern w:val="0"/>
          <w:sz w:val="32"/>
          <w:szCs w:val="32"/>
        </w:rPr>
      </w:pPr>
      <w:r>
        <w:rPr>
          <w:rFonts w:hint="eastAsia" w:ascii="仿宋_GB2312" w:eastAsia="仿宋_GB2312" w:cs="Arial Black"/>
          <w:kern w:val="0"/>
          <w:sz w:val="32"/>
          <w:szCs w:val="32"/>
        </w:rPr>
        <w:t>5、保障少数民族的权利和尊重少数民族的风俗习惯;</w:t>
      </w:r>
    </w:p>
    <w:p>
      <w:pPr>
        <w:spacing w:line="560" w:lineRule="exact"/>
        <w:ind w:firstLine="640" w:firstLineChars="200"/>
        <w:jc w:val="left"/>
        <w:rPr>
          <w:rFonts w:hint="eastAsia" w:ascii="仿宋_GB2312" w:eastAsia="仿宋_GB2312" w:cs="Arial Black"/>
          <w:kern w:val="0"/>
          <w:sz w:val="32"/>
          <w:szCs w:val="32"/>
        </w:rPr>
      </w:pPr>
      <w:r>
        <w:rPr>
          <w:rFonts w:hint="eastAsia" w:ascii="仿宋_GB2312" w:eastAsia="仿宋_GB2312" w:cs="Arial Black"/>
          <w:kern w:val="0"/>
          <w:sz w:val="32"/>
          <w:szCs w:val="32"/>
        </w:rPr>
        <w:t>6、办理上级县委、县政府政府交办的其他事项。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 xml:space="preserve">年度本部门决算汇编范围的独立核算单位（以下简称“单位”）共 </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 xml:space="preserve"> 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保定市满城区神星镇人民政府</w:t>
            </w:r>
          </w:p>
        </w:tc>
        <w:tc>
          <w:tcPr>
            <w:tcW w:w="2404"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行政单位</w:t>
            </w:r>
          </w:p>
        </w:tc>
        <w:tc>
          <w:tcPr>
            <w:tcW w:w="2622"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highlight w:val="yellow"/>
          <w:lang w:eastAsia="zh-CN"/>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57.84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4.43</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项目增加。</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733.78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53.85</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628.80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46.15</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57.84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4.43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57.84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4.43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项目增加</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hint="eastAsia" w:ascii="仿宋_GB2312" w:hAnsi="Times New Roman" w:eastAsia="仿宋_GB2312" w:cs="Wingdings"/>
          <w:sz w:val="32"/>
          <w:szCs w:val="32"/>
          <w:lang w:val="en-US" w:eastAsia="zh-CN"/>
        </w:rPr>
      </w:pPr>
      <w:r>
        <w:rPr>
          <w:rFonts w:hint="eastAsia" w:ascii="仿宋_GB2312" w:hAnsi="Times New Roman" w:eastAsia="仿宋_GB2312" w:cs="Wingdings"/>
          <w:sz w:val="32"/>
          <w:szCs w:val="32"/>
          <w:lang w:val="en-US" w:eastAsia="zh-CN"/>
        </w:rPr>
        <w:t>本部门2020年度一般公共预算财政拨款收入1362.58万元，完成年初预算的110.85%,比年初预算增加133.33万元，决算数大于预算数主要原因是项目增加、人员经费增加；本年支出1362.58万元，完成年初预算的110.85%,比年初预算增加133.33万元，决算数大于预算数主要原因是主要是项目增加。</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1362.58</w:t>
      </w:r>
      <w:r>
        <w:rPr>
          <w:rFonts w:hint="eastAsia" w:ascii="仿宋_GB2312" w:hAnsi="Times New Roman" w:eastAsia="仿宋_GB2312" w:cs="Wingdings"/>
          <w:sz w:val="32"/>
          <w:szCs w:val="32"/>
        </w:rPr>
        <w:t>万元，主要用于以下方面（按本部门支出的功能分类大类进行列举，可对各类资多支出用途进行概括说明）：比如：一般公共服务（类）支出</w:t>
      </w:r>
      <w:r>
        <w:rPr>
          <w:rFonts w:hint="eastAsia" w:ascii="仿宋_GB2312" w:hAnsi="Times New Roman" w:eastAsia="仿宋_GB2312" w:cs="Wingdings"/>
          <w:sz w:val="32"/>
          <w:szCs w:val="32"/>
          <w:lang w:val="en-US" w:eastAsia="zh-CN"/>
        </w:rPr>
        <w:t>636.33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47.95</w:t>
      </w:r>
      <w:r>
        <w:rPr>
          <w:rFonts w:hint="eastAsia" w:ascii="仿宋_GB2312" w:hAnsi="Times New Roman" w:eastAsia="仿宋_GB2312" w:cs="Wingdings"/>
          <w:sz w:val="32"/>
          <w:szCs w:val="32"/>
        </w:rPr>
        <w:t>%，；卫生健康支出（类）支出</w:t>
      </w:r>
      <w:r>
        <w:rPr>
          <w:rFonts w:hint="eastAsia" w:ascii="仿宋_GB2312" w:hAnsi="Times New Roman" w:eastAsia="仿宋_GB2312" w:cs="Wingdings"/>
          <w:sz w:val="32"/>
          <w:szCs w:val="32"/>
          <w:lang w:val="en-US" w:eastAsia="zh-CN"/>
        </w:rPr>
        <w:t>30.74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2.26</w:t>
      </w:r>
      <w:r>
        <w:rPr>
          <w:rFonts w:hint="eastAsia" w:ascii="仿宋_GB2312" w:hAnsi="Times New Roman" w:eastAsia="仿宋_GB2312" w:cs="Wingdings"/>
          <w:sz w:val="32"/>
          <w:szCs w:val="32"/>
        </w:rPr>
        <w:t>%；教育（类）支出</w:t>
      </w:r>
      <w:r>
        <w:rPr>
          <w:rFonts w:hint="eastAsia" w:ascii="仿宋_GB2312" w:hAnsi="Times New Roman" w:eastAsia="仿宋_GB2312" w:cs="Wingdings"/>
          <w:sz w:val="32"/>
          <w:szCs w:val="32"/>
          <w:lang w:val="en-US" w:eastAsia="zh-CN"/>
        </w:rPr>
        <w:t>3.73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0.27</w:t>
      </w:r>
      <w:r>
        <w:rPr>
          <w:rFonts w:hint="eastAsia" w:ascii="仿宋_GB2312" w:hAnsi="Times New Roman" w:eastAsia="仿宋_GB2312" w:cs="Wingdings"/>
          <w:sz w:val="32"/>
          <w:szCs w:val="32"/>
        </w:rPr>
        <w:t>%；节能环保支出（类）支出</w:t>
      </w:r>
      <w:r>
        <w:rPr>
          <w:rFonts w:hint="eastAsia" w:ascii="仿宋_GB2312" w:hAnsi="Times New Roman" w:eastAsia="仿宋_GB2312" w:cs="Wingdings"/>
          <w:sz w:val="32"/>
          <w:szCs w:val="32"/>
          <w:lang w:val="en-US" w:eastAsia="zh-CN"/>
        </w:rPr>
        <w:t>15.00</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1.10</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100.30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7.36</w:t>
      </w:r>
      <w:r>
        <w:rPr>
          <w:rFonts w:hint="eastAsia" w:ascii="仿宋_GB2312" w:hAnsi="Times New Roman" w:eastAsia="仿宋_GB2312" w:cs="Wingdings"/>
          <w:sz w:val="32"/>
          <w:szCs w:val="32"/>
        </w:rPr>
        <w:t>%；农林水（类）支出</w:t>
      </w:r>
      <w:r>
        <w:rPr>
          <w:rFonts w:hint="eastAsia" w:ascii="仿宋_GB2312" w:hAnsi="Times New Roman" w:eastAsia="仿宋_GB2312" w:cs="Wingdings"/>
          <w:sz w:val="32"/>
          <w:szCs w:val="32"/>
          <w:lang w:val="en-US" w:eastAsia="zh-CN"/>
        </w:rPr>
        <w:t>528.12</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38.76</w:t>
      </w:r>
      <w:r>
        <w:rPr>
          <w:rFonts w:hint="eastAsia" w:ascii="仿宋_GB2312" w:hAnsi="Times New Roman" w:eastAsia="仿宋_GB2312" w:cs="Wingdings"/>
          <w:sz w:val="32"/>
          <w:szCs w:val="32"/>
        </w:rPr>
        <w:t>%;农村综合改革（类）支出</w:t>
      </w:r>
      <w:r>
        <w:rPr>
          <w:rFonts w:hint="eastAsia" w:ascii="仿宋_GB2312" w:hAnsi="Times New Roman" w:eastAsia="仿宋_GB2312" w:cs="Wingdings"/>
          <w:sz w:val="32"/>
          <w:szCs w:val="32"/>
          <w:lang w:val="en-US" w:eastAsia="zh-CN"/>
        </w:rPr>
        <w:t>321.01</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23.56</w:t>
      </w:r>
      <w:r>
        <w:rPr>
          <w:rFonts w:hint="eastAsia" w:ascii="仿宋_GB2312" w:hAnsi="Times New Roman" w:eastAsia="仿宋_GB2312" w:cs="Wingdings"/>
          <w:sz w:val="32"/>
          <w:szCs w:val="32"/>
        </w:rPr>
        <w:t>%;住房保障支出（类）支出</w:t>
      </w:r>
      <w:r>
        <w:rPr>
          <w:rFonts w:hint="eastAsia" w:ascii="仿宋_GB2312" w:hAnsi="Times New Roman" w:eastAsia="仿宋_GB2312" w:cs="Wingdings"/>
          <w:sz w:val="32"/>
          <w:szCs w:val="32"/>
          <w:lang w:val="en-US" w:eastAsia="zh-CN"/>
        </w:rPr>
        <w:t>30.36</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2.29</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733.78</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688.76</w:t>
      </w:r>
      <w:r>
        <w:rPr>
          <w:rFonts w:hint="eastAsia" w:ascii="仿宋_GB2312" w:hAnsi="Times New Roman" w:eastAsia="仿宋_GB2312" w:cs="Wingdings"/>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hAnsi="Times New Roman" w:eastAsia="仿宋_GB2312" w:cs="Wingdings"/>
          <w:sz w:val="32"/>
          <w:szCs w:val="32"/>
          <w:lang w:val="en-US" w:eastAsia="zh-CN"/>
        </w:rPr>
        <w:t>45.02</w:t>
      </w:r>
      <w:r>
        <w:rPr>
          <w:rFonts w:hint="eastAsia" w:ascii="仿宋_GB2312" w:hAnsi="Times New Roman" w:eastAsia="仿宋_GB2312" w:cs="Wingdings"/>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7.20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5.89万</w:t>
      </w:r>
      <w:bookmarkStart w:id="0" w:name="_GoBack"/>
      <w:bookmarkEnd w:id="0"/>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81.81</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1.31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18.19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节约开支</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1.52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34.78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公务用车活动增加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5.79</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81.81</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1.31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18.19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厉行节俭</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1.52</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34.78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公务用车运行维护费用增加</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%,主要是未发生‘公务用车购置’经费支出；较上年增加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%,主要是未发生‘公务用车购置’经费支出。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,发生运行维护费支出5.89万元</w:t>
      </w:r>
      <w:r>
        <w:rPr>
          <w:rFonts w:hint="eastAsia" w:ascii="仿宋_GB2312" w:hAnsi="Times New Roman" w:eastAsia="仿宋_GB2312" w:cs="Wingdings"/>
          <w:sz w:val="32"/>
          <w:szCs w:val="32"/>
        </w:rPr>
        <w:t>。公车运行维护费支出较预算</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1.31</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18.19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李兴节约</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1.52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34.78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公务用车活动增加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未发生公务接待费用</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未发生公务接待费用</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21.00</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3.34%</w:t>
      </w:r>
      <w:r>
        <w:rPr>
          <w:rFonts w:hint="eastAsia" w:ascii="仿宋_GB2312" w:hAnsi="仿宋_GB2312" w:eastAsia="仿宋_GB2312" w:cs="仿宋_GB2312"/>
          <w:sz w:val="32"/>
          <w:szCs w:val="32"/>
        </w:rPr>
        <w:t>。</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河道清理整治启动经费</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河道清理整治启动经费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河道清理整治启动经费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保障了河道行洪畅通</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改善了人居环境</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消除了信访因素</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保障了全镇的稳定发展</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tbl>
      <w:tblPr>
        <w:tblStyle w:val="5"/>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nil"/>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nil"/>
              <w:right w:val="single" w:color="auto" w:sz="4" w:space="0"/>
            </w:tcBorders>
            <w:vAlign w:val="center"/>
          </w:tcPr>
          <w:p>
            <w:pPr>
              <w:widowControl/>
              <w:jc w:val="left"/>
              <w:rPr>
                <w:rFonts w:ascii="宋体" w:hAnsi="宋体" w:eastAsia="宋体" w:cs="Arial"/>
                <w:color w:val="000000"/>
                <w:kern w:val="0"/>
                <w:sz w:val="22"/>
              </w:rPr>
            </w:pPr>
            <w:r>
              <w:rPr>
                <w:rFonts w:hint="eastAsia" w:ascii="仿宋_GB2312" w:hAnsi="仿宋_GB2312" w:eastAsia="仿宋_GB2312" w:cs="仿宋_GB2312"/>
                <w:sz w:val="32"/>
                <w:szCs w:val="32"/>
                <w:lang w:eastAsia="zh-CN"/>
              </w:rPr>
              <w:t>河道清理整治启动经费</w:t>
            </w:r>
            <w:r>
              <w:rPr>
                <w:rFonts w:hint="eastAsia" w:ascii="仿宋_GB2312" w:hAnsi="仿宋_GB2312" w:eastAsia="仿宋_GB2312" w:cs="仿宋_GB2312"/>
                <w:sz w:val="32"/>
                <w:szCs w:val="32"/>
              </w:rPr>
              <w:t>项目</w:t>
            </w:r>
          </w:p>
        </w:tc>
        <w:tc>
          <w:tcPr>
            <w:tcW w:w="1225" w:type="dxa"/>
            <w:tcBorders>
              <w:top w:val="nil"/>
              <w:left w:val="nil"/>
              <w:bottom w:val="nil"/>
              <w:right w:val="single" w:color="auto" w:sz="4" w:space="0"/>
            </w:tcBorders>
            <w:vAlign w:val="bottom"/>
          </w:tcPr>
          <w:p>
            <w:pPr>
              <w:widowControl/>
              <w:jc w:val="right"/>
              <w:rPr>
                <w:rFonts w:hint="default" w:ascii="Arial" w:hAnsi="Arial" w:eastAsia="宋体" w:cs="Arial"/>
                <w:color w:val="000000"/>
                <w:kern w:val="0"/>
                <w:sz w:val="20"/>
                <w:szCs w:val="20"/>
                <w:lang w:val="en-US" w:eastAsia="zh-CN"/>
              </w:rPr>
            </w:pPr>
            <w:r>
              <w:rPr>
                <w:rFonts w:hint="eastAsia" w:ascii="Arial" w:hAnsi="Arial" w:eastAsia="宋体" w:cs="Arial"/>
                <w:color w:val="000000"/>
                <w:sz w:val="20"/>
                <w:szCs w:val="20"/>
                <w:lang w:val="en-US" w:eastAsia="zh-CN"/>
              </w:rPr>
              <w:t>15.00</w:t>
            </w:r>
          </w:p>
        </w:tc>
        <w:tc>
          <w:tcPr>
            <w:tcW w:w="904" w:type="dxa"/>
            <w:tcBorders>
              <w:top w:val="nil"/>
              <w:left w:val="nil"/>
              <w:bottom w:val="nil"/>
              <w:right w:val="single" w:color="auto" w:sz="4" w:space="0"/>
            </w:tcBorders>
            <w:vAlign w:val="center"/>
          </w:tcPr>
          <w:p>
            <w:pPr>
              <w:widowControl/>
              <w:jc w:val="center"/>
              <w:rPr>
                <w:rFonts w:hint="eastAsia" w:ascii="宋体" w:eastAsia="宋体" w:cs="宋体"/>
                <w:color w:val="000000"/>
                <w:kern w:val="0"/>
                <w:sz w:val="22"/>
                <w:lang w:val="en-US" w:eastAsia="zh-CN"/>
              </w:rPr>
            </w:pPr>
            <w:r>
              <w:rPr>
                <w:rFonts w:hint="eastAsia" w:ascii="宋体" w:eastAsia="宋体" w:cs="宋体"/>
                <w:color w:val="000000"/>
                <w:kern w:val="0"/>
                <w:sz w:val="22"/>
                <w:lang w:val="en-US" w:eastAsia="zh-CN"/>
              </w:rPr>
              <w:t>√</w:t>
            </w:r>
          </w:p>
        </w:tc>
        <w:tc>
          <w:tcPr>
            <w:tcW w:w="1011" w:type="dxa"/>
            <w:tcBorders>
              <w:top w:val="nil"/>
              <w:left w:val="nil"/>
              <w:bottom w:val="nil"/>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nil"/>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hint="eastAsia" w:ascii="宋体" w:eastAsia="等线" w:cs="宋体"/>
                <w:color w:val="000000"/>
                <w:kern w:val="0"/>
                <w:sz w:val="22"/>
                <w:lang w:val="en-US" w:eastAsia="zh-CN"/>
              </w:rPr>
            </w:pPr>
            <w:r>
              <w:rPr>
                <w:rFonts w:hint="eastAsia" w:ascii="宋体" w:cs="宋体"/>
                <w:color w:val="000000"/>
                <w:kern w:val="0"/>
                <w:sz w:val="22"/>
                <w:lang w:val="en-US" w:eastAsia="zh-CN"/>
              </w:rPr>
              <w:t>2</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项目</w:t>
            </w:r>
          </w:p>
        </w:tc>
        <w:tc>
          <w:tcPr>
            <w:tcW w:w="1225" w:type="dxa"/>
            <w:tcBorders>
              <w:top w:val="nil"/>
              <w:left w:val="nil"/>
              <w:bottom w:val="single" w:color="auto" w:sz="4" w:space="0"/>
              <w:right w:val="single" w:color="auto" w:sz="4" w:space="0"/>
            </w:tcBorders>
            <w:vAlign w:val="bottom"/>
          </w:tcPr>
          <w:p>
            <w:pPr>
              <w:widowControl/>
              <w:jc w:val="right"/>
              <w:rPr>
                <w:rFonts w:hint="default" w:ascii="Arial" w:hAnsi="Arial" w:eastAsia="宋体" w:cs="Arial"/>
                <w:color w:val="000000"/>
                <w:sz w:val="20"/>
                <w:szCs w:val="20"/>
                <w:lang w:val="en-US" w:eastAsia="zh-CN"/>
              </w:rPr>
            </w:pPr>
            <w:r>
              <w:rPr>
                <w:rFonts w:hint="eastAsia" w:ascii="Arial" w:hAnsi="Arial" w:eastAsia="宋体" w:cs="Arial"/>
                <w:color w:val="000000"/>
                <w:sz w:val="20"/>
                <w:szCs w:val="20"/>
                <w:lang w:val="en-US" w:eastAsia="zh-CN"/>
              </w:rPr>
              <w:t>6.00</w:t>
            </w:r>
          </w:p>
        </w:tc>
        <w:tc>
          <w:tcPr>
            <w:tcW w:w="904"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000000"/>
                <w:kern w:val="0"/>
                <w:sz w:val="22"/>
                <w:lang w:val="en-US"/>
              </w:rPr>
            </w:pPr>
            <w:r>
              <w:rPr>
                <w:rFonts w:hint="eastAsia" w:ascii="宋体" w:eastAsia="宋体" w:cs="宋体"/>
                <w:color w:val="000000"/>
                <w:kern w:val="0"/>
                <w:sz w:val="22"/>
                <w:lang w:val="en-US" w:eastAsia="zh-CN"/>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bl>
    <w:p>
      <w:pPr>
        <w:adjustRightInd w:val="0"/>
        <w:snapToGrid w:val="0"/>
        <w:spacing w:line="600" w:lineRule="exact"/>
        <w:ind w:firstLine="643" w:firstLineChars="200"/>
        <w:rPr>
          <w:rFonts w:hint="eastAsia" w:ascii="仿宋_GB2312" w:hAnsi="仿宋_GB2312" w:eastAsia="仿宋_GB2312" w:cs="仿宋_GB2312"/>
          <w:b/>
          <w:bCs/>
          <w:sz w:val="32"/>
          <w:szCs w:val="32"/>
          <w:lang w:val="en-US" w:eastAsia="zh-CN"/>
        </w:rPr>
      </w:pPr>
      <w:r>
        <w:rPr>
          <w:rFonts w:hint="eastAsia" w:ascii="楷体_GB2312" w:hAnsi="楷体_GB2312" w:eastAsia="楷体_GB2312" w:cs="楷体_GB2312"/>
          <w:b/>
          <w:bCs/>
          <w:sz w:val="32"/>
          <w:szCs w:val="32"/>
        </w:rPr>
        <w:t>（三）财政评价项目绩效评价结果</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5.89</w:t>
      </w:r>
      <w:r>
        <w:rPr>
          <w:rFonts w:hint="eastAsia" w:ascii="仿宋_GB2312" w:hAnsi="仿宋_GB2312" w:eastAsia="仿宋_GB2312" w:cs="仿宋_GB2312"/>
          <w:sz w:val="32"/>
          <w:szCs w:val="32"/>
        </w:rPr>
        <w:t>万元，比2019年度增加</w:t>
      </w:r>
      <w:r>
        <w:rPr>
          <w:rFonts w:hint="eastAsia" w:ascii="仿宋_GB2312" w:hAnsi="仿宋_GB2312" w:eastAsia="仿宋_GB2312" w:cs="仿宋_GB2312"/>
          <w:sz w:val="32"/>
          <w:szCs w:val="32"/>
          <w:lang w:val="en-US" w:eastAsia="zh-CN"/>
        </w:rPr>
        <w:t>1.52</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34.78</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公务用车运行维护费增加</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rPr>
        <w:t>八、政府采购情况</w:t>
      </w:r>
    </w:p>
    <w:p>
      <w:pPr>
        <w:ind w:firstLine="561"/>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eastAsia="zh-CN"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adjustRightInd w:val="0"/>
        <w:snapToGrid w:val="0"/>
        <w:spacing w:line="600" w:lineRule="exact"/>
        <w:ind w:firstLine="640"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w:t>
      </w:r>
      <w:r>
        <w:rPr>
          <w:rFonts w:hint="eastAsia" w:ascii="仿宋_GB2312" w:hAnsi="仿宋_GB2312" w:eastAsia="仿宋_GB2312" w:cs="仿宋_GB2312"/>
          <w:sz w:val="32"/>
          <w:szCs w:val="32"/>
          <w:lang w:eastAsia="zh-CN"/>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本部门2020年度未发生政府性基金预算、国有资金经营预算收支及结转结余情况，故政府性基金预算、国有资金经营预算以空表列示。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1"/>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1362.58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636.33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18.00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100.30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30.74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r>
              <w:rPr>
                <w:rFonts w:hint="eastAsia" w:ascii="宋体" w:hAnsi="宋体" w:eastAsia="宋体" w:cs="宋体"/>
                <w:color w:val="000000"/>
                <w:kern w:val="0"/>
                <w:sz w:val="18"/>
                <w:szCs w:val="18"/>
                <w:lang w:val="en-US" w:eastAsia="zh-CN" w:bidi="ar"/>
              </w:rPr>
              <w:t>.00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528.12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30.36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1362.58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1362.58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1362.58</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1362.58</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687" w:type="dxa"/>
        <w:jc w:val="center"/>
        <w:tblLayout w:type="fixed"/>
        <w:tblCellMar>
          <w:top w:w="0" w:type="dxa"/>
          <w:left w:w="0" w:type="dxa"/>
          <w:bottom w:w="0" w:type="dxa"/>
          <w:right w:w="0" w:type="dxa"/>
        </w:tblCellMar>
      </w:tblPr>
      <w:tblGrid>
        <w:gridCol w:w="755"/>
        <w:gridCol w:w="43"/>
        <w:gridCol w:w="43"/>
        <w:gridCol w:w="3387"/>
        <w:gridCol w:w="1113"/>
        <w:gridCol w:w="925"/>
        <w:gridCol w:w="523"/>
        <w:gridCol w:w="724"/>
        <w:gridCol w:w="724"/>
        <w:gridCol w:w="724"/>
        <w:gridCol w:w="726"/>
      </w:tblGrid>
      <w:tr>
        <w:tblPrEx>
          <w:tblCellMar>
            <w:top w:w="0" w:type="dxa"/>
            <w:left w:w="0" w:type="dxa"/>
            <w:bottom w:w="0" w:type="dxa"/>
            <w:right w:w="0" w:type="dxa"/>
          </w:tblCellMar>
        </w:tblPrEx>
        <w:trPr>
          <w:trHeight w:val="670" w:hRule="atLeast"/>
          <w:jc w:val="center"/>
        </w:trPr>
        <w:tc>
          <w:tcPr>
            <w:tcW w:w="9687"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7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3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1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2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755"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4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3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1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2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17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422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1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92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5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72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72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72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72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84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338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1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4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38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1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4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38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1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42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1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9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72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72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72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7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42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1362.58</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1362.58</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636.33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636.33</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20103</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636.33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636.33</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2010301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255.86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255.86</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2010302</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26.00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26.00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2010305</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专项业务活动</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2010308</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2010350</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323.47</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323.47</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教育支出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3.73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20509</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3.73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2050901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农村中小学校舍建设</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3.73</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文化和旅游</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2070109</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100.30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100.30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100.30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100.30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3.60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3.60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2080502</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37.47</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37.47</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2080505</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52.71</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52.71</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2080506</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6.52</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6.52</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30.74</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30.74</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21004</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公共卫生</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2100409</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21011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20.74</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20.74</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2101101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10.65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10.65</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2101102</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10.10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10.10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节能环保支出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21104</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自然生态保护</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2110402</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15.00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213</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农林水支出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528.12</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528.12</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21301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农业农村</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207.10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207.10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2130122</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207.10</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207.10</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21307</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农村综合改革</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321.01</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321.01</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2130701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67.46</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2130705</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253.55</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253.55</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30.36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22102</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30.36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2210201</w:t>
            </w: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30.36</w:t>
            </w: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33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11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687"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r>
        <w:tblPrEx>
          <w:tblCellMar>
            <w:top w:w="0" w:type="dxa"/>
            <w:left w:w="0" w:type="dxa"/>
            <w:bottom w:w="0" w:type="dxa"/>
            <w:right w:w="0" w:type="dxa"/>
          </w:tblCellMar>
        </w:tblPrEx>
        <w:trPr>
          <w:trHeight w:val="385" w:hRule="atLeast"/>
          <w:jc w:val="center"/>
        </w:trPr>
        <w:tc>
          <w:tcPr>
            <w:tcW w:w="9687"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bidi="ar"/>
              </w:rPr>
            </w:pPr>
          </w:p>
        </w:tc>
      </w:tr>
      <w:tr>
        <w:tblPrEx>
          <w:tblCellMar>
            <w:top w:w="0" w:type="dxa"/>
            <w:left w:w="0" w:type="dxa"/>
            <w:bottom w:w="0" w:type="dxa"/>
            <w:right w:w="0" w:type="dxa"/>
          </w:tblCellMar>
        </w:tblPrEx>
        <w:trPr>
          <w:trHeight w:val="385" w:hRule="atLeast"/>
          <w:jc w:val="center"/>
        </w:trPr>
        <w:tc>
          <w:tcPr>
            <w:tcW w:w="9687"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bidi="ar"/>
              </w:rPr>
            </w:pP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629"/>
        <w:gridCol w:w="1020"/>
        <w:gridCol w:w="1032"/>
        <w:gridCol w:w="1161"/>
        <w:gridCol w:w="1161"/>
        <w:gridCol w:w="978"/>
        <w:gridCol w:w="1594"/>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2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3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7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594"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2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3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73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02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03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97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5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2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02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03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97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5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2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2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3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7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5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2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2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3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7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5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7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0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0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9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59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7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1362.58</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733.78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628.80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kern w:val="2"/>
                <w:sz w:val="22"/>
                <w:szCs w:val="24"/>
                <w:lang w:val="en-US" w:eastAsia="zh-CN" w:bidi="ar-SA"/>
              </w:rPr>
            </w:pPr>
            <w:r>
              <w:rPr>
                <w:rFonts w:hint="eastAsia" w:ascii="宋体" w:hAnsi="宋体" w:eastAsia="宋体" w:cs="宋体"/>
                <w:color w:val="000000"/>
                <w:sz w:val="22"/>
              </w:rPr>
              <w:t>201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一般公共服务支出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636.33</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579.33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636.33</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579.33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255.86</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255.86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2010302</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26.00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2010305</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专项业务活动</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2010308</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2010350</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323.47</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323.47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205</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教育支出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20509</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2050901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农村中小学校舍建设</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文化和旅游</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2070109</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100.30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100.30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100.30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100.30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3.60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2080502</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37.47</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2080505</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52.71</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52.71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2080506</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6.52</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30.74</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21004</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公共卫生</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2100409</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20.74</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10.65</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2101102</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10.10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节能环保支出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21104</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自然生态保护</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2110402</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农林水支出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528.12</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525.07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农业农村</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207.10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207.10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2130122</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207.10</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207.10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21307</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农村综合改革</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321.01</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317.96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2130701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67.46</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67.46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2130705</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253.55</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250.50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2210201</w:t>
            </w:r>
          </w:p>
        </w:tc>
        <w:tc>
          <w:tcPr>
            <w:tcW w:w="16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9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5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p>
        </w:tc>
      </w:tr>
    </w:tbl>
    <w:p>
      <w:r>
        <w:br w:type="page"/>
      </w:r>
    </w:p>
    <w:tbl>
      <w:tblPr>
        <w:tblStyle w:val="5"/>
        <w:tblW w:w="9584" w:type="dxa"/>
        <w:jc w:val="center"/>
        <w:tblLayout w:type="fixed"/>
        <w:tblCellMar>
          <w:top w:w="0" w:type="dxa"/>
          <w:left w:w="0" w:type="dxa"/>
          <w:bottom w:w="0" w:type="dxa"/>
          <w:right w:w="0" w:type="dxa"/>
        </w:tblCellMar>
      </w:tblPr>
      <w:tblGrid>
        <w:gridCol w:w="9584"/>
      </w:tblGrid>
      <w:tr>
        <w:tblPrEx>
          <w:tblCellMar>
            <w:top w:w="0" w:type="dxa"/>
            <w:left w:w="0" w:type="dxa"/>
            <w:bottom w:w="0" w:type="dxa"/>
            <w:right w:w="0" w:type="dxa"/>
          </w:tblCellMar>
        </w:tblPrEx>
        <w:trPr>
          <w:trHeight w:val="385" w:hRule="atLeast"/>
          <w:jc w:val="center"/>
        </w:trPr>
        <w:tc>
          <w:tcPr>
            <w:tcW w:w="9584" w:type="dxa"/>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584" w:type="dxa"/>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lang w:bidi="ar"/>
              </w:rPr>
            </w:pPr>
          </w:p>
        </w:tc>
      </w:tr>
    </w:tbl>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224"/>
              <w:gridCol w:w="456"/>
              <w:gridCol w:w="804"/>
              <w:gridCol w:w="767"/>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2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0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70"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2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0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22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0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6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22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0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6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1362.58</w:t>
                  </w: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636.33</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636.33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3.73</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3.73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18.00</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18.00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100.30</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100.30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30.47</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30.47</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15.00</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15.00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528.12</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528.12</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30.36</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30.36</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1362.58</w:t>
                  </w: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1362.58</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lang w:val="en-US" w:eastAsia="zh-CN"/>
                    </w:rPr>
                    <w:t>1362.58</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1362.58</w:t>
                  </w:r>
                </w:p>
              </w:tc>
              <w:tc>
                <w:tcPr>
                  <w:tcW w:w="222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0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1362.58</w:t>
                  </w:r>
                </w:p>
              </w:tc>
              <w:tc>
                <w:tcPr>
                  <w:tcW w:w="7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1362.58</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1362.58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733.78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628.80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kern w:val="2"/>
                <w:sz w:val="22"/>
                <w:szCs w:val="24"/>
                <w:lang w:val="en-US" w:eastAsia="zh-CN" w:bidi="ar-SA"/>
              </w:rPr>
            </w:pPr>
            <w:r>
              <w:rPr>
                <w:rFonts w:hint="eastAsia" w:ascii="宋体" w:hAnsi="宋体" w:eastAsia="宋体" w:cs="宋体"/>
                <w:color w:val="000000"/>
                <w:sz w:val="22"/>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636.33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579.33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57.00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636.33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579.33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57.00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255.86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255.86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26.00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26.00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专项业务活动</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2010350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323.47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323.47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教育支出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3.73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20509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3.73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2050901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农村中小学校舍建设</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3.73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文化和旅游</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2070109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100.30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100.30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100.30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100.30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3.60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3.60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37.47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37.47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52.71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52.71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6.52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6.52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20.74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公共卫生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2100409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20.74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10.10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10.10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节能环保支出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21104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自然生态保护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2110402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15.00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农林水支出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528.12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3.05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525.07</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农业农村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207.10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207.10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2130122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207.10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207.10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农村综合改革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321.01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3.05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317.96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67.46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67.46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2130705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253.55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3.05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250.50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30.36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30.36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30.36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30.36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18"/>
                <w:szCs w:val="18"/>
                <w:lang w:val="en-US" w:eastAsia="zh-CN" w:bidi="ar-SA"/>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619.44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45.02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226.75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2.80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54.04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72.83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54.38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9.80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11.68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23.27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1.98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30.36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132.32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69.32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40.87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4.34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0.87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5.89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15.03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13.78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688.76</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45.02</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5.89</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5.89</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sz w:val="20"/>
          <w:szCs w:val="22"/>
          <w:lang w:eastAsia="zh-CN"/>
        </w:rPr>
        <w:t>我单位无政府性基金预算财政拨款</w:t>
      </w:r>
      <w:r>
        <w:rPr>
          <w:rFonts w:hint="eastAsia" w:ascii="宋体" w:hAnsi="宋体" w:eastAsia="宋体" w:cs="宋体"/>
          <w:sz w:val="20"/>
          <w:szCs w:val="22"/>
        </w:rPr>
        <w:t>收支，则空表列示）</w:t>
      </w:r>
      <w:r>
        <w:rPr>
          <w:rFonts w:hint="eastAsia" w:ascii="宋体" w:hAnsi="宋体" w:eastAsia="宋体" w:cs="宋体"/>
          <w:sz w:val="20"/>
          <w:szCs w:val="22"/>
        </w:rPr>
        <w:tab/>
      </w:r>
      <w:r>
        <w:rPr>
          <w:rFonts w:hint="eastAsia" w:ascii="宋体" w:hAnsi="宋体" w:eastAsia="宋体" w:cs="宋体"/>
          <w:sz w:val="20"/>
          <w:szCs w:val="22"/>
        </w:rPr>
        <w:tab/>
      </w:r>
      <w:r>
        <w:rPr>
          <w:rFonts w:hint="eastAsia" w:ascii="宋体" w:hAnsi="宋体" w:eastAsia="宋体" w:cs="宋体"/>
          <w:sz w:val="20"/>
          <w:szCs w:val="22"/>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宋体" w:hAnsi="宋体" w:eastAsia="宋体" w:cs="宋体"/>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lang w:eastAsia="zh-CN"/>
        </w:rPr>
        <w:t>我单位</w:t>
      </w:r>
      <w:r>
        <w:rPr>
          <w:rFonts w:hint="eastAsia" w:ascii="宋体" w:hAnsi="宋体" w:eastAsia="宋体" w:cs="宋体"/>
        </w:rPr>
        <w:t>无国有资本经营收支，则空表列示）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3417A6B"/>
    <w:rsid w:val="03C6175E"/>
    <w:rsid w:val="058B71E0"/>
    <w:rsid w:val="059B4C57"/>
    <w:rsid w:val="06B87E6D"/>
    <w:rsid w:val="0C8547B1"/>
    <w:rsid w:val="0D4A4C61"/>
    <w:rsid w:val="0D6D0450"/>
    <w:rsid w:val="0E0571F4"/>
    <w:rsid w:val="0E29713F"/>
    <w:rsid w:val="0EA325C9"/>
    <w:rsid w:val="11BC544F"/>
    <w:rsid w:val="122C57AA"/>
    <w:rsid w:val="12E01996"/>
    <w:rsid w:val="135777A1"/>
    <w:rsid w:val="14066064"/>
    <w:rsid w:val="14307D2D"/>
    <w:rsid w:val="14ED6DF0"/>
    <w:rsid w:val="15F74CC9"/>
    <w:rsid w:val="18283C1D"/>
    <w:rsid w:val="1A251586"/>
    <w:rsid w:val="1B0700E5"/>
    <w:rsid w:val="1B3A3F27"/>
    <w:rsid w:val="1D737E3A"/>
    <w:rsid w:val="1E74009A"/>
    <w:rsid w:val="1E871D2E"/>
    <w:rsid w:val="21520AE9"/>
    <w:rsid w:val="21B90F88"/>
    <w:rsid w:val="21F86CF2"/>
    <w:rsid w:val="22355D1E"/>
    <w:rsid w:val="24021EBE"/>
    <w:rsid w:val="243F653B"/>
    <w:rsid w:val="2536015B"/>
    <w:rsid w:val="259E36EC"/>
    <w:rsid w:val="25A53D80"/>
    <w:rsid w:val="279A6B3C"/>
    <w:rsid w:val="27C3754E"/>
    <w:rsid w:val="2A845C60"/>
    <w:rsid w:val="2B990904"/>
    <w:rsid w:val="2D043616"/>
    <w:rsid w:val="2D173CD7"/>
    <w:rsid w:val="2DB812FC"/>
    <w:rsid w:val="2E267EF8"/>
    <w:rsid w:val="2FB96948"/>
    <w:rsid w:val="30CD74DC"/>
    <w:rsid w:val="31681170"/>
    <w:rsid w:val="323B4803"/>
    <w:rsid w:val="3327616A"/>
    <w:rsid w:val="34514EDC"/>
    <w:rsid w:val="34C45458"/>
    <w:rsid w:val="35C83C42"/>
    <w:rsid w:val="36214918"/>
    <w:rsid w:val="3703035C"/>
    <w:rsid w:val="37AC39D6"/>
    <w:rsid w:val="37FA030A"/>
    <w:rsid w:val="3897364C"/>
    <w:rsid w:val="3B076A2D"/>
    <w:rsid w:val="3CB202C7"/>
    <w:rsid w:val="3CB7360E"/>
    <w:rsid w:val="3D2445C6"/>
    <w:rsid w:val="3FB06EC5"/>
    <w:rsid w:val="3FFA33C5"/>
    <w:rsid w:val="44430540"/>
    <w:rsid w:val="44602F3B"/>
    <w:rsid w:val="44752220"/>
    <w:rsid w:val="47C058B7"/>
    <w:rsid w:val="49C6007E"/>
    <w:rsid w:val="4B26221F"/>
    <w:rsid w:val="4B264A46"/>
    <w:rsid w:val="4B587D70"/>
    <w:rsid w:val="4BD13F93"/>
    <w:rsid w:val="4CF228BB"/>
    <w:rsid w:val="4D3A55F0"/>
    <w:rsid w:val="4E6A2C4C"/>
    <w:rsid w:val="4FA31F43"/>
    <w:rsid w:val="500723B1"/>
    <w:rsid w:val="50155D5F"/>
    <w:rsid w:val="507117C4"/>
    <w:rsid w:val="51A3649B"/>
    <w:rsid w:val="51D45182"/>
    <w:rsid w:val="52C61F1D"/>
    <w:rsid w:val="55141265"/>
    <w:rsid w:val="59396A2F"/>
    <w:rsid w:val="5C21717C"/>
    <w:rsid w:val="5D0C63C4"/>
    <w:rsid w:val="5FA24D11"/>
    <w:rsid w:val="635F72EC"/>
    <w:rsid w:val="63F82767"/>
    <w:rsid w:val="664B45B3"/>
    <w:rsid w:val="67ED0BA2"/>
    <w:rsid w:val="682350F3"/>
    <w:rsid w:val="684A418D"/>
    <w:rsid w:val="690D23D0"/>
    <w:rsid w:val="69AB48DF"/>
    <w:rsid w:val="6A2D765E"/>
    <w:rsid w:val="6DE92F74"/>
    <w:rsid w:val="70631DF0"/>
    <w:rsid w:val="714105F5"/>
    <w:rsid w:val="71970D2D"/>
    <w:rsid w:val="71FB1A80"/>
    <w:rsid w:val="726C6871"/>
    <w:rsid w:val="73D824BD"/>
    <w:rsid w:val="74135D9C"/>
    <w:rsid w:val="748A0B05"/>
    <w:rsid w:val="74B97EFA"/>
    <w:rsid w:val="75DD36A5"/>
    <w:rsid w:val="75FF2ED3"/>
    <w:rsid w:val="76B2307E"/>
    <w:rsid w:val="76DC72B0"/>
    <w:rsid w:val="770D53D0"/>
    <w:rsid w:val="78F62CC1"/>
    <w:rsid w:val="7A4A4459"/>
    <w:rsid w:val="7A844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3</TotalTime>
  <ScaleCrop>false</ScaleCrop>
  <LinksUpToDate>false</LinksUpToDate>
  <CharactersWithSpaces>11585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爱吃草莓的圆滚滚</cp:lastModifiedBy>
  <dcterms:modified xsi:type="dcterms:W3CDTF">2021-10-09T01:34:50Z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65FA352BAB5146309CB066C800874C19</vt:lpwstr>
  </property>
</Properties>
</file>