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9264" behindDoc="1" locked="0" layoutInCell="1" allowOverlap="1">
            <wp:simplePos x="0" y="0"/>
            <wp:positionH relativeFrom="column">
              <wp:posOffset>-973455</wp:posOffset>
            </wp:positionH>
            <wp:positionV relativeFrom="page">
              <wp:posOffset>-3175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3" cstate="print"/>
                    <a:srcRect/>
                    <a:stretch>
                      <a:fillRect/>
                    </a:stretch>
                  </pic:blipFill>
                  <pic:spPr>
                    <a:xfrm>
                      <a:off x="0" y="0"/>
                      <a:ext cx="7559675" cy="10689590"/>
                    </a:xfrm>
                    <a:prstGeom prst="rect">
                      <a:avLst/>
                    </a:prstGeom>
                  </pic:spPr>
                </pic:pic>
              </a:graphicData>
            </a:graphic>
          </wp:anchor>
        </w:drawing>
      </w:r>
      <w:r>
        <w:br w:type="page"/>
      </w:r>
    </w:p>
    <w:p>
      <w:pPr>
        <w:rPr>
          <w:rFonts w:ascii="黑体" w:hAnsi="黑体" w:eastAsia="黑体" w:cs="黑体"/>
          <w:sz w:val="72"/>
          <w:szCs w:val="96"/>
        </w:rPr>
      </w:pP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kern w:val="0"/>
          <w:sz w:val="44"/>
          <w:szCs w:val="44"/>
        </w:rPr>
      </w:pPr>
      <w:r>
        <w:rPr>
          <w:rFonts w:hint="eastAsia" w:ascii="楷体_GB2312" w:hAnsi="楷体_GB2312" w:eastAsia="楷体_GB2312" w:cs="楷体_GB2312"/>
          <w:color w:val="000000"/>
          <w:kern w:val="0"/>
          <w:sz w:val="44"/>
          <w:szCs w:val="44"/>
        </w:rPr>
        <w:t>中共保定市满城区委老干部局</w:t>
      </w:r>
    </w:p>
    <w:p>
      <w:pPr>
        <w:snapToGrid w:val="0"/>
        <w:jc w:val="center"/>
        <w:rPr>
          <w:rFonts w:ascii="楷体_GB2312" w:hAnsi="楷体_GB2312" w:eastAsia="楷体_GB2312" w:cs="楷体_GB2312"/>
          <w:color w:val="000000" w:themeColor="text1"/>
          <w:kern w:val="0"/>
          <w:sz w:val="44"/>
          <w:szCs w:val="44"/>
          <w:highlight w:val="yellow"/>
        </w:rPr>
      </w:pPr>
    </w:p>
    <w:p>
      <w:pPr>
        <w:snapToGrid w:val="0"/>
        <w:jc w:val="center"/>
        <w:rPr>
          <w:rFonts w:ascii="楷体_GB2312" w:hAnsi="楷体_GB2312" w:eastAsia="楷体_GB2312" w:cs="楷体_GB2312"/>
          <w:color w:val="000000" w:themeColor="text1"/>
          <w:kern w:val="0"/>
          <w:sz w:val="40"/>
          <w:szCs w:val="40"/>
        </w:rPr>
      </w:pPr>
      <w:r>
        <w:rPr>
          <w:rFonts w:hint="eastAsia" w:ascii="楷体_GB2312" w:hAnsi="楷体_GB2312" w:eastAsia="楷体_GB2312" w:cs="楷体_GB2312"/>
          <w:color w:val="000000" w:themeColor="text1"/>
          <w:kern w:val="0"/>
          <w:sz w:val="40"/>
          <w:szCs w:val="40"/>
        </w:rPr>
        <w:t>二〇二一年九月</w:t>
      </w:r>
    </w:p>
    <w:p>
      <w:pPr>
        <w:snapToGrid w:val="0"/>
        <w:jc w:val="center"/>
        <w:rPr>
          <w:rFonts w:ascii="楷体_GB2312" w:hAnsi="楷体_GB2312" w:eastAsia="楷体_GB2312" w:cs="楷体_GB2312"/>
          <w:color w:val="000000" w:themeColor="text1"/>
          <w:kern w:val="0"/>
          <w:sz w:val="40"/>
          <w:szCs w:val="40"/>
        </w:rPr>
      </w:pPr>
    </w:p>
    <w:p>
      <w:pPr>
        <w:jc w:val="center"/>
        <w:rPr>
          <w:rFonts w:ascii="黑体" w:hAnsi="黑体" w:eastAsia="黑体" w:cs="黑体"/>
          <w:sz w:val="72"/>
          <w:szCs w:val="96"/>
          <w:highlight w:val="yellow"/>
        </w:rPr>
      </w:pPr>
      <w:r>
        <w:rPr>
          <w:rFonts w:hint="eastAsia" w:ascii="黑体" w:hAnsi="黑体" w:eastAsia="黑体" w:cs="黑体"/>
          <w:sz w:val="72"/>
          <w:szCs w:val="96"/>
        </w:rPr>
        <w:t>中共保定市满城区委老干部局</w:t>
      </w: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rPr>
      </w:pPr>
    </w:p>
    <w:p>
      <w:pPr>
        <w:snapToGrid w:val="0"/>
        <w:jc w:val="center"/>
        <w:rPr>
          <w:rFonts w:ascii="楷体_GB2312" w:hAnsi="楷体_GB2312" w:eastAsia="楷体_GB2312" w:cs="楷体_GB2312"/>
          <w:color w:val="000000" w:themeColor="text1"/>
          <w:kern w:val="0"/>
          <w:sz w:val="40"/>
          <w:szCs w:val="40"/>
        </w:rPr>
      </w:pPr>
    </w:p>
    <w:p>
      <w:pPr>
        <w:snapToGrid w:val="0"/>
        <w:jc w:val="center"/>
        <w:rPr>
          <w:rFonts w:ascii="楷体_GB2312" w:hAnsi="楷体_GB2312" w:eastAsia="楷体_GB2312" w:cs="楷体_GB2312"/>
          <w:color w:val="000000" w:themeColor="text1"/>
          <w:kern w:val="0"/>
          <w:sz w:val="40"/>
          <w:szCs w:val="40"/>
        </w:rPr>
      </w:pPr>
    </w:p>
    <w:p>
      <w:pPr>
        <w:snapToGrid w:val="0"/>
        <w:jc w:val="center"/>
        <w:rPr>
          <w:rFonts w:ascii="楷体_GB2312" w:hAnsi="楷体_GB2312" w:eastAsia="楷体_GB2312" w:cs="楷体_GB2312"/>
          <w:color w:val="000000" w:themeColor="text1"/>
          <w:kern w:val="0"/>
          <w:sz w:val="40"/>
          <w:szCs w:val="40"/>
        </w:rPr>
        <w:sectPr>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rPr>
        <w:t>二〇二一年九月</w:t>
      </w:r>
    </w:p>
    <w:p>
      <w:pPr>
        <w:snapToGrid w:val="0"/>
        <w:jc w:val="center"/>
        <w:rPr>
          <w:rFonts w:ascii="楷体_GB2312" w:hAnsi="楷体_GB2312" w:eastAsia="楷体_GB2312" w:cs="楷体_GB2312"/>
          <w:color w:val="000000" w:themeColor="text1"/>
          <w:kern w:val="0"/>
          <w:sz w:val="40"/>
          <w:szCs w:val="40"/>
        </w:rPr>
        <w:sectPr>
          <w:headerReference r:id="rId4" w:type="first"/>
          <w:footerReference r:id="rId5" w:type="first"/>
          <w:headerReference r:id="rId3" w:type="default"/>
          <w:pgSz w:w="11906" w:h="16838"/>
          <w:pgMar w:top="2098" w:right="1531" w:bottom="1984" w:left="1531" w:header="851" w:footer="992" w:gutter="0"/>
          <w:cols w:space="0" w:num="1"/>
          <w:titlePg/>
          <w:docGrid w:type="lines" w:linePitch="312" w:charSpace="0"/>
        </w:sectPr>
      </w:pP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line="64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line="6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line="64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widowControl/>
        <w:spacing w:line="64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7" w:type="first"/>
          <w:footerReference r:id="rId9" w:type="first"/>
          <w:headerReference r:id="rId6" w:type="default"/>
          <w:footerReference r:id="rId8"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61312"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12700" cap="flat" cmpd="sng">
                          <a:solidFill>
                            <a:srgbClr val="A6A6A6"/>
                          </a:solidFill>
                          <a:prstDash val="solid"/>
                          <a:round/>
                          <a:headEnd type="none" w="med" len="med"/>
                          <a:tailEnd type="none" w="med" len="med"/>
                        </a:ln>
                      </wps:spPr>
                      <wps:txbx>
                        <w:txbxContent>
                          <w:p>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第一部分  部门概况</w:t>
                            </w:r>
                          </w:p>
                        </w:txbxContent>
                      </wps:txbx>
                      <wps:bodyPr anchor="ctr" anchorCtr="0" upright="1"/>
                    </wps:wsp>
                  </a:graphicData>
                </a:graphic>
              </wp:anchor>
            </w:drawing>
          </mc:Choice>
          <mc:Fallback>
            <w:pict>
              <v:shape id="文本框 2" o:spid="_x0000_s1026" o:spt="202" type="#_x0000_t202" style="position:absolute;left:0pt;margin-left:-85.7pt;margin-top:80.7pt;height:263.1pt;width:613.65pt;z-index:251661312;v-text-anchor:middle;mso-width-relative:page;mso-height-relative:page;" fillcolor="#7F7F7F"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fill type="pattern" on="t" color2="#FFFFFF" o:title="5%" focussize="0,0" r:id="rId14"/>
                <v:stroke weight="1pt" color="#A6A6A6" joinstyle="round"/>
                <v:imagedata o:title=""/>
                <o:lock v:ext="edit" aspectratio="f"/>
                <v:textbox>
                  <w:txbxContent>
                    <w:p>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第一部分  部门概况</w:t>
                      </w:r>
                    </w:p>
                  </w:txbxContent>
                </v:textbox>
              </v:shape>
            </w:pict>
          </mc:Fallback>
        </mc:AlternateConten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spacing w:line="560" w:lineRule="exact"/>
        <w:ind w:firstLine="640" w:firstLineChars="200"/>
        <w:jc w:val="left"/>
        <w:outlineLvl w:val="0"/>
        <w:rPr>
          <w:rFonts w:ascii="仿宋_GB2312" w:hAnsi="Calibri" w:eastAsia="仿宋_GB2312" w:cs="Arial Black"/>
          <w:kern w:val="0"/>
          <w:sz w:val="32"/>
          <w:szCs w:val="32"/>
        </w:rPr>
      </w:pPr>
      <w:r>
        <w:rPr>
          <w:rFonts w:hint="eastAsia" w:ascii="仿宋_GB2312" w:hAnsi="Calibri" w:eastAsia="仿宋_GB2312" w:cs="Arial Black"/>
          <w:kern w:val="0"/>
          <w:sz w:val="32"/>
          <w:szCs w:val="32"/>
        </w:rPr>
        <w:t>根据《中共保定市满城区委老干部局职能配置、内设机构和人员编制方案》规定，中共保定市满城区委老干部局的主要职责是：</w:t>
      </w:r>
      <w:r>
        <w:rPr>
          <w:rFonts w:ascii="仿宋_GB2312" w:hAnsi="Calibri" w:eastAsia="仿宋_GB2312" w:cs="Arial Black"/>
          <w:kern w:val="0"/>
          <w:sz w:val="32"/>
          <w:szCs w:val="32"/>
        </w:rPr>
        <w:t xml:space="preserve"> </w:t>
      </w:r>
    </w:p>
    <w:p>
      <w:pPr>
        <w:spacing w:line="560" w:lineRule="exact"/>
        <w:ind w:firstLine="640" w:firstLineChars="200"/>
        <w:jc w:val="left"/>
        <w:outlineLvl w:val="0"/>
        <w:rPr>
          <w:rFonts w:ascii="仿宋_GB2312" w:hAnsi="Calibri" w:eastAsia="仿宋_GB2312" w:cs="Arial Black"/>
          <w:kern w:val="0"/>
          <w:sz w:val="32"/>
          <w:szCs w:val="32"/>
        </w:rPr>
      </w:pPr>
      <w:r>
        <w:rPr>
          <w:rFonts w:hint="eastAsia" w:ascii="仿宋_GB2312" w:hAnsi="Calibri" w:eastAsia="仿宋_GB2312" w:cs="Arial Black"/>
          <w:kern w:val="0"/>
          <w:sz w:val="32"/>
          <w:szCs w:val="32"/>
        </w:rPr>
        <w:t>（一）负责贯彻落实中央、省、市、区党委政府关于离退休干部（以下简称：老干部）工作的方针政策；拟定或参与拟定全区老干部工作有关的具体规定和办法。</w:t>
      </w:r>
    </w:p>
    <w:p>
      <w:pPr>
        <w:spacing w:line="560" w:lineRule="exact"/>
        <w:ind w:firstLine="640" w:firstLineChars="200"/>
        <w:jc w:val="left"/>
        <w:outlineLvl w:val="0"/>
        <w:rPr>
          <w:rFonts w:ascii="仿宋_GB2312" w:hAnsi="Calibri" w:eastAsia="仿宋_GB2312" w:cs="Arial Black"/>
          <w:kern w:val="0"/>
          <w:sz w:val="32"/>
          <w:szCs w:val="32"/>
        </w:rPr>
      </w:pPr>
      <w:r>
        <w:rPr>
          <w:rFonts w:hint="eastAsia" w:ascii="仿宋_GB2312" w:hAnsi="Calibri" w:eastAsia="仿宋_GB2312" w:cs="Arial Black"/>
          <w:kern w:val="0"/>
          <w:sz w:val="32"/>
          <w:szCs w:val="32"/>
        </w:rPr>
        <w:t>（二）指导、督促、检查各乡镇、区直各部门老干部工作；组织和协调有关部门做好老干部工作。</w:t>
      </w:r>
    </w:p>
    <w:p>
      <w:pPr>
        <w:spacing w:line="560" w:lineRule="exact"/>
        <w:ind w:firstLine="640" w:firstLineChars="200"/>
        <w:jc w:val="left"/>
        <w:outlineLvl w:val="0"/>
        <w:rPr>
          <w:rFonts w:ascii="仿宋_GB2312" w:hAnsi="Calibri" w:eastAsia="仿宋_GB2312" w:cs="Arial Black"/>
          <w:kern w:val="0"/>
          <w:sz w:val="32"/>
          <w:szCs w:val="32"/>
        </w:rPr>
      </w:pPr>
      <w:r>
        <w:rPr>
          <w:rFonts w:hint="eastAsia" w:ascii="仿宋_GB2312" w:hAnsi="Calibri" w:eastAsia="仿宋_GB2312" w:cs="Arial Black"/>
          <w:kern w:val="0"/>
          <w:sz w:val="32"/>
          <w:szCs w:val="32"/>
        </w:rPr>
        <w:t>（三）指导各单位老干部安置工作；负责审批进出区离休干部易地安置手续。</w:t>
      </w:r>
    </w:p>
    <w:p>
      <w:pPr>
        <w:spacing w:line="560" w:lineRule="exact"/>
        <w:ind w:firstLine="640" w:firstLineChars="200"/>
        <w:jc w:val="left"/>
        <w:outlineLvl w:val="0"/>
        <w:rPr>
          <w:rFonts w:ascii="仿宋_GB2312" w:hAnsi="Calibri" w:eastAsia="仿宋_GB2312" w:cs="Arial Black"/>
          <w:kern w:val="0"/>
          <w:sz w:val="32"/>
          <w:szCs w:val="32"/>
        </w:rPr>
      </w:pPr>
      <w:r>
        <w:rPr>
          <w:rFonts w:hint="eastAsia" w:ascii="仿宋_GB2312" w:hAnsi="Calibri" w:eastAsia="仿宋_GB2312" w:cs="Arial Black"/>
          <w:kern w:val="0"/>
          <w:sz w:val="32"/>
          <w:szCs w:val="32"/>
        </w:rPr>
        <w:t>（四）督促、指导各部门落实老干部的政治、生活待遇，抓好离休干部离休费、医疗费（以下简称：“两费”）的落实；调查研究老干部政治待遇和生活待遇中的问题，协调有关部门提出解决办法。</w:t>
      </w:r>
    </w:p>
    <w:p>
      <w:pPr>
        <w:spacing w:line="560" w:lineRule="exact"/>
        <w:ind w:firstLine="640" w:firstLineChars="200"/>
        <w:jc w:val="left"/>
        <w:outlineLvl w:val="0"/>
        <w:rPr>
          <w:rFonts w:ascii="仿宋_GB2312" w:hAnsi="Calibri" w:eastAsia="仿宋_GB2312" w:cs="Arial Black"/>
          <w:kern w:val="0"/>
          <w:sz w:val="32"/>
          <w:szCs w:val="32"/>
        </w:rPr>
      </w:pPr>
      <w:r>
        <w:rPr>
          <w:rFonts w:hint="eastAsia" w:ascii="仿宋_GB2312" w:hAnsi="Calibri" w:eastAsia="仿宋_GB2312" w:cs="Arial Black"/>
          <w:kern w:val="0"/>
          <w:sz w:val="32"/>
          <w:szCs w:val="32"/>
        </w:rPr>
        <w:t>（五）协助组织部门抓好老干部党支部建设，加强和改进新形势下老干部的思想政治工作。</w:t>
      </w:r>
    </w:p>
    <w:p>
      <w:pPr>
        <w:spacing w:line="560" w:lineRule="exact"/>
        <w:ind w:firstLine="640" w:firstLineChars="200"/>
        <w:jc w:val="left"/>
        <w:outlineLvl w:val="0"/>
        <w:rPr>
          <w:rFonts w:ascii="仿宋_GB2312" w:hAnsi="Calibri" w:eastAsia="仿宋_GB2312" w:cs="Arial Black"/>
          <w:kern w:val="0"/>
          <w:sz w:val="32"/>
          <w:szCs w:val="32"/>
        </w:rPr>
      </w:pPr>
      <w:r>
        <w:rPr>
          <w:rFonts w:hint="eastAsia" w:ascii="仿宋_GB2312" w:hAnsi="Calibri" w:eastAsia="仿宋_GB2312" w:cs="Arial Black"/>
          <w:kern w:val="0"/>
          <w:sz w:val="32"/>
          <w:szCs w:val="32"/>
        </w:rPr>
        <w:t>（六）指导各乡镇、区直各部门老干部活动中心（室、站）和老干部门诊部的建设和管理；了解反映老干部队医疗保健方面的意见和要求；组织和指导老干部开展健康科学的文化健身、保健讲座、健康疗养、参观学习等活动。</w:t>
      </w:r>
    </w:p>
    <w:p>
      <w:pPr>
        <w:spacing w:line="560" w:lineRule="exact"/>
        <w:ind w:firstLine="640" w:firstLineChars="200"/>
        <w:jc w:val="left"/>
        <w:outlineLvl w:val="0"/>
        <w:rPr>
          <w:rFonts w:ascii="仿宋_GB2312" w:hAnsi="Calibri" w:eastAsia="仿宋_GB2312" w:cs="Arial Black"/>
          <w:kern w:val="0"/>
          <w:sz w:val="32"/>
          <w:szCs w:val="32"/>
        </w:rPr>
      </w:pPr>
      <w:r>
        <w:rPr>
          <w:rFonts w:hint="eastAsia" w:ascii="仿宋_GB2312" w:hAnsi="Calibri" w:eastAsia="仿宋_GB2312" w:cs="Arial Black"/>
          <w:kern w:val="0"/>
          <w:sz w:val="32"/>
          <w:szCs w:val="32"/>
        </w:rPr>
        <w:t>（七）指导各单位组织老干部继续在政治、经济、文化等领域发挥作用。</w:t>
      </w:r>
    </w:p>
    <w:p>
      <w:pPr>
        <w:spacing w:line="560" w:lineRule="exact"/>
        <w:ind w:firstLine="640" w:firstLineChars="200"/>
        <w:jc w:val="left"/>
        <w:outlineLvl w:val="0"/>
        <w:rPr>
          <w:rFonts w:ascii="仿宋_GB2312" w:hAnsi="Calibri" w:eastAsia="仿宋_GB2312" w:cs="Arial Black"/>
          <w:kern w:val="0"/>
          <w:sz w:val="32"/>
          <w:szCs w:val="32"/>
        </w:rPr>
      </w:pPr>
      <w:r>
        <w:rPr>
          <w:rFonts w:hint="eastAsia" w:ascii="仿宋_GB2312" w:hAnsi="Calibri" w:eastAsia="仿宋_GB2312" w:cs="Arial Black"/>
          <w:kern w:val="0"/>
          <w:sz w:val="32"/>
          <w:szCs w:val="32"/>
        </w:rPr>
        <w:t>（八）教育和引导青少年勤奋学习，树立正确的世界观、人生观、价值观，勤于实践、提高服务社会、报效祖国的本领，使广大青少年茁壮成长，做好关心下一代工作，指导各级各部门关心下一代工作委员会的工作。</w:t>
      </w:r>
    </w:p>
    <w:p>
      <w:pPr>
        <w:spacing w:line="560" w:lineRule="exact"/>
        <w:ind w:firstLine="640" w:firstLineChars="200"/>
        <w:jc w:val="left"/>
        <w:outlineLvl w:val="0"/>
        <w:rPr>
          <w:rFonts w:ascii="仿宋_GB2312" w:hAnsi="Calibri" w:eastAsia="仿宋_GB2312" w:cs="Arial Black"/>
          <w:kern w:val="0"/>
          <w:sz w:val="32"/>
          <w:szCs w:val="32"/>
        </w:rPr>
      </w:pPr>
      <w:r>
        <w:rPr>
          <w:rFonts w:hint="eastAsia" w:ascii="仿宋_GB2312" w:hAnsi="Calibri" w:eastAsia="仿宋_GB2312" w:cs="Arial Black"/>
          <w:kern w:val="0"/>
          <w:sz w:val="32"/>
          <w:szCs w:val="32"/>
        </w:rPr>
        <w:t>（九）指导全区老年教育工作；督促检查各级老年大学（分校）的建设和管理；负责管理区老干部活动中心、老年大学；做好有关老干部工作的接待工作。</w:t>
      </w:r>
    </w:p>
    <w:p>
      <w:pPr>
        <w:spacing w:line="560" w:lineRule="exact"/>
        <w:ind w:firstLine="640" w:firstLineChars="200"/>
        <w:jc w:val="left"/>
        <w:outlineLvl w:val="0"/>
        <w:rPr>
          <w:rFonts w:ascii="仿宋_GB2312" w:hAnsi="Calibri" w:eastAsia="仿宋_GB2312" w:cs="Arial Black"/>
          <w:kern w:val="0"/>
          <w:sz w:val="32"/>
          <w:szCs w:val="32"/>
        </w:rPr>
      </w:pPr>
      <w:r>
        <w:rPr>
          <w:rFonts w:hint="eastAsia" w:ascii="仿宋_GB2312" w:hAnsi="Calibri" w:eastAsia="仿宋_GB2312" w:cs="Arial Black"/>
          <w:kern w:val="0"/>
          <w:sz w:val="32"/>
          <w:szCs w:val="32"/>
        </w:rPr>
        <w:t>（十）负责指导逝世离休干部的善后工作，协助承办区委交办的丧葬事宜，会同有关部门制定治丧办法。</w:t>
      </w:r>
    </w:p>
    <w:p>
      <w:pPr>
        <w:spacing w:line="560" w:lineRule="exact"/>
        <w:ind w:firstLine="640" w:firstLineChars="200"/>
        <w:jc w:val="left"/>
        <w:outlineLvl w:val="0"/>
        <w:rPr>
          <w:rFonts w:ascii="仿宋_GB2312" w:hAnsi="Calibri" w:eastAsia="仿宋_GB2312" w:cs="Arial Black"/>
          <w:kern w:val="0"/>
          <w:sz w:val="32"/>
          <w:szCs w:val="32"/>
        </w:rPr>
      </w:pPr>
      <w:r>
        <w:rPr>
          <w:rFonts w:hint="eastAsia" w:ascii="仿宋_GB2312" w:hAnsi="Calibri" w:eastAsia="仿宋_GB2312" w:cs="Arial Black"/>
          <w:kern w:val="0"/>
          <w:sz w:val="32"/>
          <w:szCs w:val="32"/>
        </w:rPr>
        <w:t>（十一）承担区委老干部工作领导小组办公室的日常工作。</w:t>
      </w:r>
    </w:p>
    <w:p>
      <w:pPr>
        <w:spacing w:line="560" w:lineRule="exact"/>
        <w:ind w:firstLine="640" w:firstLineChars="200"/>
        <w:jc w:val="left"/>
        <w:outlineLvl w:val="0"/>
        <w:rPr>
          <w:rFonts w:ascii="仿宋_GB2312" w:hAnsi="Calibri" w:eastAsia="仿宋_GB2312" w:cs="Arial Black"/>
          <w:kern w:val="0"/>
          <w:sz w:val="32"/>
          <w:szCs w:val="32"/>
        </w:rPr>
      </w:pPr>
      <w:r>
        <w:rPr>
          <w:rFonts w:hint="eastAsia" w:ascii="仿宋_GB2312" w:hAnsi="Calibri" w:eastAsia="仿宋_GB2312" w:cs="Arial Black"/>
          <w:kern w:val="0"/>
          <w:sz w:val="32"/>
          <w:szCs w:val="32"/>
        </w:rPr>
        <w:t>（十二）承办区委、区政府交办的其他事项。</w:t>
      </w:r>
    </w:p>
    <w:p>
      <w:pPr>
        <w:spacing w:line="560" w:lineRule="exact"/>
        <w:ind w:firstLine="640" w:firstLineChars="200"/>
        <w:jc w:val="left"/>
        <w:outlineLvl w:val="0"/>
        <w:rPr>
          <w:rFonts w:ascii="仿宋_GB2312" w:hAnsi="Calibri" w:eastAsia="仿宋_GB2312" w:cs="Arial Black"/>
          <w:kern w:val="0"/>
          <w:sz w:val="32"/>
          <w:szCs w:val="32"/>
        </w:rPr>
      </w:pPr>
      <w:r>
        <w:rPr>
          <w:rFonts w:hint="eastAsia" w:ascii="仿宋_GB2312" w:hAnsi="Calibri" w:eastAsia="仿宋_GB2312" w:cs="Arial Black"/>
          <w:kern w:val="0"/>
          <w:sz w:val="32"/>
          <w:szCs w:val="32"/>
        </w:rPr>
        <w:t>老干部局由办公室及综合服务科构成，下属涉老组织有关工委、老年协会、老促会、老体协、老年大学、夕阳红艺术团。</w:t>
      </w: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rPr>
        <w:t>年度本部门决算汇编范围的独立核算单位（以下简称“单位”）共 1 个，具体情况如下：</w:t>
      </w:r>
    </w:p>
    <w:tbl>
      <w:tblPr>
        <w:tblStyle w:val="7"/>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426"/>
        <w:gridCol w:w="2404"/>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68"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3426"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404"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2622"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1</w:t>
            </w:r>
          </w:p>
        </w:tc>
        <w:tc>
          <w:tcPr>
            <w:tcW w:w="3426" w:type="dxa"/>
          </w:tcPr>
          <w:p>
            <w:pPr>
              <w:spacing w:line="560" w:lineRule="exact"/>
              <w:rPr>
                <w:rFonts w:ascii="仿宋_GB2312" w:hAnsi="Calibri" w:eastAsia="仿宋_GB2312" w:cs="Arial Black"/>
                <w:kern w:val="0"/>
                <w:sz w:val="28"/>
                <w:szCs w:val="28"/>
              </w:rPr>
            </w:pPr>
            <w:r>
              <w:rPr>
                <w:rFonts w:hint="eastAsia" w:ascii="仿宋_GB2312" w:hAnsi="Calibri" w:eastAsia="仿宋_GB2312" w:cs="Arial Black"/>
                <w:kern w:val="0"/>
                <w:sz w:val="28"/>
                <w:szCs w:val="28"/>
              </w:rPr>
              <w:t>中共保定市满城区委老干部局(本级)</w:t>
            </w:r>
          </w:p>
        </w:tc>
        <w:tc>
          <w:tcPr>
            <w:tcW w:w="2404"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行政单位</w:t>
            </w:r>
          </w:p>
        </w:tc>
        <w:tc>
          <w:tcPr>
            <w:tcW w:w="2622"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财政拨款</w:t>
            </w:r>
          </w:p>
        </w:tc>
      </w:tr>
    </w:tbl>
    <w:p>
      <w:pPr>
        <w:widowControl/>
        <w:spacing w:after="160" w:line="580" w:lineRule="exact"/>
        <w:rPr>
          <w:rFonts w:ascii="Times New Roman" w:hAnsi="Times New Roman" w:eastAsia="黑体" w:cs="Times New Roman"/>
          <w:sz w:val="32"/>
          <w:szCs w:val="32"/>
        </w:rPr>
        <w:sectPr>
          <w:headerReference r:id="rId10" w:type="default"/>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3360"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a:effectLst/>
                      </wps:spPr>
                      <wps:txbx>
                        <w:txbxContent>
                          <w:p>
                            <w:pPr>
                              <w:widowControl/>
                              <w:jc w:val="center"/>
                              <w:rPr>
                                <w:rFonts w:ascii="黑体" w:hAnsi="黑体" w:eastAsia="黑体" w:cs="黑体"/>
                                <w:color w:val="000000" w:themeColor="text1"/>
                                <w:sz w:val="96"/>
                                <w:szCs w:val="96"/>
                              </w:rPr>
                            </w:pPr>
                          </w:p>
                          <w:p>
                            <w:pPr>
                              <w:widowControl/>
                              <w:jc w:val="center"/>
                              <w:rPr>
                                <w:rFonts w:ascii="黑体" w:hAnsi="黑体" w:eastAsia="黑体" w:cs="黑体"/>
                                <w:color w:val="000000" w:themeColor="text1"/>
                                <w:sz w:val="96"/>
                                <w:szCs w:val="9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3360;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uuj5PeAAAADQEAAA8AAAAAAAAA&#10;AQAgAAAAIgAAAGRycy9kb3ducmV2LnhtbFBLAQIUABQAAAAIAIdO4kCR71RIRAIAAHkEAAAOAAAA&#10;AAAAAAEAIAAAAC0BAABkcnMvZTJvRG9jLnhtbFBLBQYAAAAABgAGAFkBAADj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rPr>
                      </w:pPr>
                    </w:p>
                    <w:p>
                      <w:pPr>
                        <w:widowControl/>
                        <w:jc w:val="center"/>
                        <w:rPr>
                          <w:rFonts w:ascii="黑体" w:hAnsi="黑体" w:eastAsia="黑体" w:cs="黑体"/>
                          <w:color w:val="000000" w:themeColor="text1"/>
                          <w:sz w:val="96"/>
                          <w:szCs w:val="96"/>
                        </w:rPr>
                      </w:pPr>
                    </w:p>
                  </w:txbxContent>
                </v:textbox>
              </v:shape>
            </w:pict>
          </mc:Fallback>
        </mc:AlternateConten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4384"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3" name="文本框 15"/>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12700" cap="flat" cmpd="sng">
                          <a:solidFill>
                            <a:srgbClr val="A6A6A6"/>
                          </a:solidFill>
                          <a:prstDash val="solid"/>
                          <a:round/>
                          <a:headEnd type="none" w="med" len="med"/>
                          <a:tailEnd type="none" w="med" len="med"/>
                        </a:ln>
                      </wps:spPr>
                      <wps:txb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第二部分 </w:t>
                            </w:r>
                          </w:p>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2020年部门决算情况说明</w:t>
                            </w:r>
                          </w:p>
                          <w:p>
                            <w:pPr>
                              <w:widowControl/>
                              <w:jc w:val="center"/>
                            </w:pPr>
                          </w:p>
                          <w:p/>
                        </w:txbxContent>
                      </wps:txbx>
                      <wps:bodyPr anchor="ctr" anchorCtr="0" upright="1"/>
                    </wps:wsp>
                  </a:graphicData>
                </a:graphic>
              </wp:anchor>
            </w:drawing>
          </mc:Choice>
          <mc:Fallback>
            <w:pict>
              <v:shape id="文本框 15" o:spid="_x0000_s1026" o:spt="202" type="#_x0000_t202" style="position:absolute;left:0pt;margin-left:-80.95pt;margin-top:-207.65pt;height:263.1pt;width:613.65pt;z-index:251664384;v-text-anchor:middle;mso-width-relative:page;mso-height-relative:page;" fillcolor="#7F7F7F"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fill type="pattern" on="t" color2="#FFFFFF" o:title="5%" focussize="0,0" r:id="rId14"/>
                <v:stroke weight="1pt" color="#A6A6A6" joinstyle="round"/>
                <v:imagedata o:title=""/>
                <o:lock v:ext="edit" aspectratio="f"/>
                <v:textbo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第二部分 </w:t>
                      </w:r>
                    </w:p>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2020年部门决算情况说明</w:t>
                      </w:r>
                    </w:p>
                    <w:p>
                      <w:pPr>
                        <w:widowControl/>
                        <w:jc w:val="center"/>
                      </w:pPr>
                    </w:p>
                    <w:p/>
                  </w:txbxContent>
                </v:textbox>
              </v:shape>
            </w:pict>
          </mc:Fallback>
        </mc:AlternateConten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spacing w:line="560" w:lineRule="exact"/>
        <w:ind w:firstLine="640" w:firstLineChars="200"/>
        <w:jc w:val="left"/>
        <w:outlineLvl w:val="0"/>
        <w:rPr>
          <w:rFonts w:ascii="仿宋_GB2312" w:hAnsi="Times New Roman" w:eastAsia="仿宋_GB2312" w:cs="DengXian-Regular"/>
          <w:sz w:val="32"/>
          <w:szCs w:val="32"/>
        </w:rPr>
      </w:pPr>
      <w:r>
        <w:rPr>
          <w:rFonts w:hint="eastAsia" w:ascii="仿宋_GB2312" w:hAnsi="Times New Roman" w:eastAsia="仿宋_GB2312" w:cs="Wingdings"/>
          <w:sz w:val="32"/>
          <w:szCs w:val="32"/>
        </w:rPr>
        <w:t>本部门2020年度收入总计（含结转和结余）908.98万元，支出总计（含结转和结余）908.98万元。与2019年度决算相比，收支分别各减少333.70万元，下降26.85%，主要原因是</w:t>
      </w:r>
      <w:r>
        <w:rPr>
          <w:rFonts w:hint="eastAsia" w:ascii="仿宋_GB2312" w:hAnsi="Times New Roman" w:eastAsia="仿宋_GB2312" w:cs="DengXian-Regular"/>
          <w:sz w:val="32"/>
          <w:szCs w:val="32"/>
        </w:rPr>
        <w:t>离休老干部因去世等原因自然减员减少了工资支出，且单位积极响应厉行节约的号召尽量缩减不必要的经费开支。</w:t>
      </w:r>
    </w:p>
    <w:p>
      <w:pPr>
        <w:adjustRightInd w:val="0"/>
        <w:snapToGrid w:val="0"/>
        <w:spacing w:line="600" w:lineRule="exact"/>
        <w:rPr>
          <w:rFonts w:ascii="仿宋_GB2312" w:hAnsi="Times New Roman" w:eastAsia="仿宋_GB2312" w:cs="Wingdings"/>
          <w:sz w:val="32"/>
          <w:szCs w:val="32"/>
        </w:rPr>
      </w:pPr>
      <w:r>
        <w:rPr>
          <w:rFonts w:hint="eastAsia" w:ascii="仿宋_GB2312" w:hAnsi="Times New Roman" w:eastAsia="仿宋_GB2312" w:cs="Wingdings"/>
          <w:sz w:val="32"/>
          <w:szCs w:val="32"/>
        </w:rPr>
        <w:drawing>
          <wp:anchor distT="0" distB="0" distL="114300" distR="114300" simplePos="0" relativeHeight="251660288" behindDoc="1" locked="0" layoutInCell="1" allowOverlap="1">
            <wp:simplePos x="0" y="0"/>
            <wp:positionH relativeFrom="column">
              <wp:posOffset>599440</wp:posOffset>
            </wp:positionH>
            <wp:positionV relativeFrom="paragraph">
              <wp:posOffset>4445</wp:posOffset>
            </wp:positionV>
            <wp:extent cx="4159885" cy="2273300"/>
            <wp:effectExtent l="0" t="0" r="0" b="0"/>
            <wp:wrapNone/>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pPr>
        <w:adjustRightInd w:val="0"/>
        <w:snapToGrid w:val="0"/>
        <w:spacing w:line="600" w:lineRule="exact"/>
        <w:ind w:firstLine="640" w:firstLineChars="200"/>
        <w:rPr>
          <w:rFonts w:ascii="仿宋_GB2312" w:hAnsi="Times New Roman" w:eastAsia="仿宋_GB2312" w:cs="Wingdings"/>
          <w:sz w:val="32"/>
          <w:szCs w:val="32"/>
        </w:rPr>
      </w:pPr>
    </w:p>
    <w:p>
      <w:pPr>
        <w:tabs>
          <w:tab w:val="left" w:pos="5800"/>
        </w:tabs>
        <w:adjustRightInd w:val="0"/>
        <w:snapToGrid w:val="0"/>
        <w:spacing w:line="600" w:lineRule="exact"/>
        <w:ind w:firstLine="640" w:firstLineChars="200"/>
        <w:rPr>
          <w:rFonts w:ascii="仿宋_GB2312" w:hAnsi="Times New Roman" w:eastAsia="仿宋_GB2312" w:cs="Wingdings"/>
          <w:sz w:val="18"/>
          <w:szCs w:val="18"/>
        </w:rPr>
      </w:pPr>
      <w:r>
        <w:rPr>
          <w:rFonts w:ascii="仿宋_GB2312" w:hAnsi="Times New Roman" w:eastAsia="仿宋_GB2312" w:cs="Wingdings"/>
          <w:sz w:val="32"/>
          <w:szCs w:val="32"/>
        </w:rPr>
        <w:tab/>
      </w:r>
    </w:p>
    <w:p>
      <w:pPr>
        <w:adjustRightInd w:val="0"/>
        <w:snapToGrid w:val="0"/>
        <w:spacing w:line="600" w:lineRule="exact"/>
        <w:ind w:firstLine="640" w:firstLineChars="200"/>
        <w:rPr>
          <w:rFonts w:ascii="仿宋_GB2312" w:hAnsi="Times New Roman" w:eastAsia="仿宋_GB2312" w:cs="Wingdings"/>
          <w:sz w:val="32"/>
          <w:szCs w:val="32"/>
        </w:rPr>
      </w:pPr>
    </w:p>
    <w:p>
      <w:pPr>
        <w:tabs>
          <w:tab w:val="left" w:pos="2820"/>
        </w:tabs>
        <w:adjustRightInd w:val="0"/>
        <w:snapToGrid w:val="0"/>
        <w:spacing w:line="600" w:lineRule="exact"/>
        <w:ind w:firstLine="640" w:firstLineChars="200"/>
        <w:rPr>
          <w:rFonts w:ascii="仿宋_GB2312" w:hAnsi="Times New Roman" w:eastAsia="仿宋_GB2312" w:cs="Wingdings"/>
          <w:sz w:val="20"/>
          <w:szCs w:val="20"/>
        </w:rPr>
      </w:pPr>
      <w:r>
        <w:rPr>
          <w:rFonts w:ascii="仿宋_GB2312" w:hAnsi="Times New Roman" w:eastAsia="仿宋_GB2312" w:cs="Wingdings"/>
          <w:sz w:val="32"/>
          <w:szCs w:val="32"/>
        </w:rPr>
        <w:tab/>
      </w:r>
    </w:p>
    <w:p>
      <w:pPr>
        <w:keepNext/>
        <w:keepLines/>
        <w:snapToGrid w:val="0"/>
        <w:spacing w:line="600" w:lineRule="exact"/>
        <w:ind w:firstLine="640" w:firstLineChars="200"/>
        <w:outlineLvl w:val="1"/>
        <w:rPr>
          <w:rFonts w:ascii="黑体" w:hAnsi="Calibri" w:eastAsia="黑体" w:cs="Times New Roman"/>
          <w:sz w:val="32"/>
          <w:szCs w:val="32"/>
        </w:rPr>
      </w:pP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adjustRightInd w:val="0"/>
        <w:snapToGrid w:val="0"/>
        <w:spacing w:line="600" w:lineRule="exact"/>
        <w:ind w:firstLine="640" w:firstLineChars="200"/>
        <w:rPr>
          <w:rFonts w:ascii="仿宋_GB2312" w:hAnsi="Times New Roman" w:eastAsia="仿宋_GB2312" w:cs="Wingdings"/>
          <w:sz w:val="32"/>
          <w:szCs w:val="32"/>
          <w:highlight w:val="yellow"/>
        </w:rPr>
      </w:pPr>
      <w:r>
        <w:rPr>
          <w:rFonts w:hint="eastAsia" w:ascii="仿宋_GB2312" w:hAnsi="Times New Roman" w:eastAsia="仿宋_GB2312" w:cs="Wingdings"/>
          <w:sz w:val="32"/>
          <w:szCs w:val="32"/>
        </w:rPr>
        <w:t>本部门2020年度本年收入合计908.98万元，其中：财政拨款收入908.98万元，占总收入100%；事业收入0万元，占0%；经营收入0万元，占0%；其他收入0万元，占0%。</w:t>
      </w:r>
    </w:p>
    <w:p>
      <w:pPr>
        <w:snapToGrid w:val="0"/>
        <w:spacing w:line="600" w:lineRule="exact"/>
        <w:outlineLvl w:val="1"/>
        <w:rPr>
          <w:rFonts w:ascii="黑体" w:hAnsi="Calibri" w:eastAsia="黑体" w:cs="Times New Roman"/>
          <w:sz w:val="32"/>
          <w:szCs w:val="32"/>
        </w:rPr>
      </w:pPr>
    </w:p>
    <w:p>
      <w:pPr>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本部门2020年度本年支出合计908.98万元，其中：基本支出577.13万元，占63.49%；项目支出331.85万元，占36.51%；经营支出0万元，占0%。</w:t>
      </w:r>
    </w:p>
    <w:p>
      <w:pPr>
        <w:adjustRightInd w:val="0"/>
        <w:snapToGrid w:val="0"/>
        <w:spacing w:line="600" w:lineRule="exact"/>
        <w:ind w:firstLine="640" w:firstLineChars="200"/>
        <w:rPr>
          <w:rFonts w:ascii="仿宋_GB2312" w:hAnsi="Times New Roman" w:eastAsia="仿宋_GB2312" w:cs="Wingdings"/>
          <w:sz w:val="32"/>
          <w:szCs w:val="32"/>
        </w:rPr>
      </w:pP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spacing w:line="560" w:lineRule="exact"/>
        <w:ind w:firstLine="640" w:firstLineChars="200"/>
        <w:jc w:val="left"/>
        <w:outlineLvl w:val="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本部门2020年度形成的财政拨款收支均为一般公共预算财政拨款，其中本年收入</w:t>
      </w:r>
      <w:r>
        <w:rPr>
          <w:rFonts w:hint="eastAsia" w:ascii="仿宋_GB2312" w:hAnsi="Times New Roman" w:eastAsia="仿宋_GB2312" w:cs="Wingdings"/>
          <w:sz w:val="32"/>
          <w:szCs w:val="32"/>
        </w:rPr>
        <w:t>908.98</w:t>
      </w:r>
      <w:r>
        <w:rPr>
          <w:rFonts w:hint="eastAsia" w:ascii="仿宋_GB2312" w:hAnsi="Times New Roman" w:eastAsia="仿宋_GB2312" w:cs="DengXian-Regular"/>
          <w:sz w:val="32"/>
          <w:szCs w:val="32"/>
        </w:rPr>
        <w:t>万元</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比</w:t>
      </w:r>
      <w:r>
        <w:rPr>
          <w:rFonts w:ascii="仿宋_GB2312" w:hAnsi="Times New Roman" w:eastAsia="仿宋_GB2312" w:cs="DengXian-Regular"/>
          <w:sz w:val="32"/>
          <w:szCs w:val="32"/>
        </w:rPr>
        <w:t>201</w:t>
      </w:r>
      <w:r>
        <w:rPr>
          <w:rFonts w:hint="eastAsia" w:ascii="仿宋_GB2312" w:hAnsi="Times New Roman" w:eastAsia="仿宋_GB2312" w:cs="DengXian-Regular"/>
          <w:sz w:val="32"/>
          <w:szCs w:val="32"/>
        </w:rPr>
        <w:t>9年度减少了333.70万元，降低36.71</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，主要是离休老干部因去世等原因自然减员减少了工资支出，且单位积极响应厉行节约的号召尽量缩减不必要的经费开支；其中本年支出</w:t>
      </w:r>
      <w:r>
        <w:rPr>
          <w:rFonts w:hint="eastAsia" w:ascii="仿宋_GB2312" w:hAnsi="Times New Roman" w:eastAsia="仿宋_GB2312" w:cs="Wingdings"/>
          <w:sz w:val="32"/>
          <w:szCs w:val="32"/>
        </w:rPr>
        <w:t>908.98</w:t>
      </w:r>
      <w:r>
        <w:rPr>
          <w:rFonts w:hint="eastAsia" w:ascii="仿宋_GB2312" w:hAnsi="Times New Roman" w:eastAsia="仿宋_GB2312" w:cs="DengXian-Regular"/>
          <w:sz w:val="32"/>
          <w:szCs w:val="32"/>
        </w:rPr>
        <w:t>万元</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比</w:t>
      </w:r>
      <w:r>
        <w:rPr>
          <w:rFonts w:ascii="仿宋_GB2312" w:hAnsi="Times New Roman" w:eastAsia="仿宋_GB2312" w:cs="DengXian-Regular"/>
          <w:sz w:val="32"/>
          <w:szCs w:val="32"/>
        </w:rPr>
        <w:t>201</w:t>
      </w:r>
      <w:r>
        <w:rPr>
          <w:rFonts w:hint="eastAsia" w:ascii="仿宋_GB2312" w:hAnsi="Times New Roman" w:eastAsia="仿宋_GB2312" w:cs="DengXian-Regular"/>
          <w:sz w:val="32"/>
          <w:szCs w:val="32"/>
        </w:rPr>
        <w:t>9年度减少了333.70万元，降低36.71</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，主要是离休老干部因去世等原因自然减员减少了工资支出，且单位积极响应厉行节约的号召尽量缩减不必要的经费开支。</w:t>
      </w:r>
    </w:p>
    <w:p>
      <w:pPr>
        <w:snapToGrid w:val="0"/>
        <w:spacing w:line="600" w:lineRule="exact"/>
        <w:ind w:firstLine="161" w:firstLineChars="5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本部门2020年度一般公共预算财政拨款收入908.98万元，完成年初预算的86.01%,比年初预算减少147.81万元，决算数小于预算数主要原因是</w:t>
      </w:r>
      <w:r>
        <w:rPr>
          <w:rFonts w:hint="eastAsia" w:ascii="仿宋_GB2312" w:hAnsi="Times New Roman" w:eastAsia="仿宋_GB2312" w:cs="DengXian-Regular"/>
          <w:sz w:val="32"/>
          <w:szCs w:val="32"/>
        </w:rPr>
        <w:t>离休老干部因去世等原因自然减员减少了工资支出以及医药费支出，且单位积极响应厉行节约的号召尽量缩减不必要的经费开支</w:t>
      </w:r>
      <w:r>
        <w:rPr>
          <w:rFonts w:hint="eastAsia" w:ascii="仿宋_GB2312" w:hAnsi="Times New Roman" w:eastAsia="仿宋_GB2312" w:cs="Wingdings"/>
          <w:sz w:val="32"/>
          <w:szCs w:val="32"/>
        </w:rPr>
        <w:t>；本年支出908.98万元，完成年初预算的86.01%,比年初预算减少147.81万元，决算数小于预算数主要原因是主要是</w:t>
      </w:r>
      <w:r>
        <w:rPr>
          <w:rFonts w:hint="eastAsia" w:ascii="仿宋_GB2312" w:hAnsi="Times New Roman" w:eastAsia="仿宋_GB2312" w:cs="DengXian-Regular"/>
          <w:sz w:val="32"/>
          <w:szCs w:val="32"/>
        </w:rPr>
        <w:t>离休老干部因去世等原因自然减员减少了工资支出以及医药费支出，且单位积极响应厉行节约的号召尽量缩减不必要的经费开支</w:t>
      </w:r>
      <w:r>
        <w:rPr>
          <w:rFonts w:hint="eastAsia" w:ascii="仿宋_GB2312" w:hAnsi="Times New Roman" w:eastAsia="仿宋_GB2312" w:cs="Wingdings"/>
          <w:sz w:val="32"/>
          <w:szCs w:val="32"/>
        </w:rPr>
        <w:t>。</w:t>
      </w:r>
    </w:p>
    <w:p>
      <w:pPr>
        <w:numPr>
          <w:ilvl w:val="0"/>
          <w:numId w:val="1"/>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spacing w:line="560" w:lineRule="exact"/>
        <w:ind w:firstLine="640" w:firstLineChars="200"/>
        <w:jc w:val="left"/>
        <w:outlineLvl w:val="0"/>
        <w:rPr>
          <w:rFonts w:ascii="仿宋_GB2312" w:hAnsi="Times New Roman" w:eastAsia="仿宋_GB2312" w:cs="DengXian-Regular"/>
          <w:sz w:val="32"/>
          <w:szCs w:val="32"/>
        </w:rPr>
      </w:pPr>
      <w:r>
        <w:rPr>
          <w:rFonts w:hint="eastAsia" w:ascii="仿宋_GB2312" w:hAnsi="Times New Roman" w:eastAsia="仿宋_GB2312" w:cs="Wingdings"/>
          <w:sz w:val="32"/>
          <w:szCs w:val="32"/>
        </w:rPr>
        <w:t>2020 年度财政拨款支出908.98万元，主要用于以下方面：一般公共服务支出</w:t>
      </w:r>
      <w:r>
        <w:rPr>
          <w:rFonts w:ascii="仿宋_GB2312" w:hAnsi="Times New Roman" w:eastAsia="仿宋_GB2312" w:cs="Wingdings"/>
          <w:sz w:val="32"/>
          <w:szCs w:val="32"/>
        </w:rPr>
        <w:t>196.66</w:t>
      </w:r>
      <w:r>
        <w:rPr>
          <w:rFonts w:hint="eastAsia" w:ascii="仿宋_GB2312" w:hAnsi="Times New Roman" w:eastAsia="仿宋_GB2312" w:cs="Wingdings"/>
          <w:sz w:val="32"/>
          <w:szCs w:val="32"/>
        </w:rPr>
        <w:t>万元，占21.64%，；</w:t>
      </w:r>
      <w:r>
        <w:rPr>
          <w:rFonts w:hint="eastAsia" w:ascii="仿宋_GB2312" w:hAnsi="Times New Roman" w:eastAsia="仿宋_GB2312" w:cs="DengXian-Regular"/>
          <w:sz w:val="32"/>
          <w:szCs w:val="32"/>
        </w:rPr>
        <w:t>社会保障和就业支出</w:t>
      </w:r>
      <w:r>
        <w:rPr>
          <w:rFonts w:ascii="仿宋_GB2312" w:hAnsi="Times New Roman" w:eastAsia="仿宋_GB2312" w:cs="DengXian-Regular"/>
          <w:sz w:val="32"/>
          <w:szCs w:val="32"/>
        </w:rPr>
        <w:t>703.58</w:t>
      </w:r>
      <w:r>
        <w:rPr>
          <w:rFonts w:hint="eastAsia" w:ascii="仿宋_GB2312" w:hAnsi="Times New Roman" w:eastAsia="仿宋_GB2312" w:cs="DengXian-Regular"/>
          <w:sz w:val="32"/>
          <w:szCs w:val="32"/>
        </w:rPr>
        <w:t>万元，占77.40%；卫生健康支出</w:t>
      </w:r>
      <w:r>
        <w:rPr>
          <w:rFonts w:ascii="仿宋_GB2312" w:hAnsi="Times New Roman" w:eastAsia="仿宋_GB2312" w:cs="DengXian-Regular"/>
          <w:sz w:val="32"/>
          <w:szCs w:val="32"/>
        </w:rPr>
        <w:t>3.79</w:t>
      </w:r>
      <w:r>
        <w:rPr>
          <w:rFonts w:hint="eastAsia" w:ascii="仿宋_GB2312" w:hAnsi="Times New Roman" w:eastAsia="仿宋_GB2312" w:cs="DengXian-Regular"/>
          <w:sz w:val="32"/>
          <w:szCs w:val="32"/>
        </w:rPr>
        <w:t>万元，占0.42%，住房和保障支出</w:t>
      </w:r>
      <w:r>
        <w:rPr>
          <w:rFonts w:ascii="仿宋_GB2312" w:hAnsi="Times New Roman" w:eastAsia="仿宋_GB2312" w:cs="DengXian-Regular"/>
          <w:sz w:val="32"/>
          <w:szCs w:val="32"/>
        </w:rPr>
        <w:t>4.96</w:t>
      </w:r>
      <w:r>
        <w:rPr>
          <w:rFonts w:hint="eastAsia" w:ascii="仿宋_GB2312" w:hAnsi="Times New Roman" w:eastAsia="仿宋_GB2312" w:cs="DengXian-Regular"/>
          <w:sz w:val="32"/>
          <w:szCs w:val="32"/>
        </w:rPr>
        <w:t>万元，占0.55%。</w:t>
      </w:r>
      <w:r>
        <w:rPr>
          <w:rFonts w:ascii="Times New Roman" w:hAnsi="Times New Roman" w:eastAsia="宋体" w:cs="Times New Roman"/>
        </w:rPr>
        <mc:AlternateContent>
          <mc:Choice Requires="wpg">
            <w:drawing>
              <wp:anchor distT="0" distB="0" distL="114300" distR="114300" simplePos="0" relativeHeight="251662336" behindDoc="1" locked="0" layoutInCell="1" allowOverlap="1">
                <wp:simplePos x="0" y="0"/>
                <wp:positionH relativeFrom="column">
                  <wp:posOffset>981075</wp:posOffset>
                </wp:positionH>
                <wp:positionV relativeFrom="paragraph">
                  <wp:posOffset>210820</wp:posOffset>
                </wp:positionV>
                <wp:extent cx="3576320" cy="2209165"/>
                <wp:effectExtent l="0" t="0" r="5080" b="635"/>
                <wp:wrapNone/>
                <wp:docPr id="162" name="组合 6"/>
                <wp:cNvGraphicFramePr/>
                <a:graphic xmlns:a="http://schemas.openxmlformats.org/drawingml/2006/main">
                  <a:graphicData uri="http://schemas.microsoft.com/office/word/2010/wordprocessingGroup">
                    <wpg:wgp>
                      <wpg:cNvGrpSpPr/>
                      <wpg:grpSpPr>
                        <a:xfrm>
                          <a:off x="0" y="0"/>
                          <a:ext cx="3576320" cy="2209165"/>
                          <a:chOff x="6921" y="180284"/>
                          <a:chExt cx="5065" cy="3465"/>
                        </a:xfrm>
                        <a:effectLst/>
                      </wpg:grpSpPr>
                      <pic:pic xmlns:pic="http://schemas.openxmlformats.org/drawingml/2006/picture">
                        <pic:nvPicPr>
                          <pic:cNvPr id="163" name="图片 1"/>
                          <pic:cNvPicPr>
                            <a:picLocks noChangeAspect="1"/>
                          </pic:cNvPicPr>
                        </pic:nvPicPr>
                        <pic:blipFill>
                          <a:blip r:embed="rId16"/>
                          <a:srcRect l="3251" t="2274" r="1858" b="7961"/>
                          <a:stretch>
                            <a:fillRect/>
                          </a:stretch>
                        </pic:blipFill>
                        <pic:spPr>
                          <a:xfrm>
                            <a:off x="7157" y="180284"/>
                            <a:ext cx="4586" cy="2988"/>
                          </a:xfrm>
                          <a:prstGeom prst="rect">
                            <a:avLst/>
                          </a:prstGeom>
                          <a:noFill/>
                          <a:ln>
                            <a:noFill/>
                          </a:ln>
                          <a:effectLst/>
                        </pic:spPr>
                      </pic:pic>
                      <wps:wsp>
                        <wps:cNvPr id="164" name="文本框 32"/>
                        <wps:cNvSpPr txBox="1"/>
                        <wps:spPr>
                          <a:xfrm>
                            <a:off x="6921" y="183134"/>
                            <a:ext cx="5065" cy="615"/>
                          </a:xfrm>
                          <a:prstGeom prst="rect">
                            <a:avLst/>
                          </a:prstGeom>
                          <a:solidFill>
                            <a:srgbClr val="FFFFFF"/>
                          </a:solidFill>
                          <a:ln w="6350">
                            <a:noFill/>
                          </a:ln>
                          <a:effectLst/>
                        </wps:spPr>
                        <wps:txbx>
                          <w:txbxContent>
                            <w:p>
                              <w:pPr>
                                <w:adjustRightInd w:val="0"/>
                                <w:snapToGrid w:val="0"/>
                                <w:spacing w:after="160" w:line="560" w:lineRule="exact"/>
                                <w:jc w:val="center"/>
                                <w:rPr>
                                  <w:rFonts w:ascii="仿宋_GB2312" w:hAnsi="Times New Roman" w:eastAsia="仿宋_GB2312" w:cs="Wingdings"/>
                                  <w:sz w:val="28"/>
                                  <w:szCs w:val="28"/>
                                </w:rPr>
                              </w:pPr>
                              <w:r>
                                <w:rPr>
                                  <w:rFonts w:hint="eastAsia" w:ascii="仿宋_GB2312" w:hAnsi="Times New Roman" w:eastAsia="仿宋_GB2312" w:cs="Wingdings"/>
                                  <w:sz w:val="28"/>
                                  <w:szCs w:val="28"/>
                                </w:rPr>
                                <w:t>图X：财政拨款支出决算结构（按功能分类）</w:t>
                              </w:r>
                            </w:p>
                            <w:p>
                              <w:pPr>
                                <w:spacing w:after="160" w:line="480" w:lineRule="auto"/>
                                <w:rPr>
                                  <w:rFonts w:ascii="Times New Roman" w:hAnsi="Times New Roman" w:eastAsia="宋体" w:cs="Times New Roman"/>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6" o:spid="_x0000_s1026" o:spt="203" style="position:absolute;left:0pt;margin-left:77.25pt;margin-top:16.6pt;height:173.95pt;width:281.6pt;z-index:-251654144;mso-width-relative:page;mso-height-relative:page;" coordorigin="6921,180284" coordsize="5065,3465" o:gfxdata="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">
                <o:lock v:ext="edit" aspectratio="f"/>
                <v:shape id="图片 1" o:spid="_x0000_s1026" o:spt="75" alt="" type="#_x0000_t75" style="position:absolute;left:7157;top:180284;height:2988;width:4586;" filled="f" o:preferrelative="t" stroked="f" coordsize="21600,21600" o:gfxdata="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w03S22AAAA3AAAAA8A&#10;AAAAAAAAAQAgAAAAIgAAAGRycy9kb3ducmV2LnhtbFBLAQIUABQAAAAIAIdO4kAzLwWeOwAAADkA&#10;AAAQAAAAAAAAAAEAIAAAAAUBAABkcnMvc2hhcGV4bWwueG1sUEsFBgAAAAAGAAYAWwEAAK8DAAAA&#10;AA==&#10;">
                  <v:fill on="f" focussize="0,0"/>
                  <v:stroke on="f"/>
                  <v:imagedata r:id="rId16" cropleft="2131f" croptop="1490f" cropright="1218f" cropbottom="5217f" o:title=""/>
                  <o:lock v:ext="edit" aspectratio="t"/>
                </v:shape>
                <v:shape id="文本框 32" o:spid="_x0000_s1026" o:spt="202" type="#_x0000_t202" style="position:absolute;left:6921;top:183134;height:615;width:5065;" fillcolor="#FFFFFF" filled="t" stroked="f" coordsize="21600,21600" o:gfxdata="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X655rUAAADc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adjustRightInd w:val="0"/>
                          <w:snapToGrid w:val="0"/>
                          <w:spacing w:after="160" w:line="560" w:lineRule="exact"/>
                          <w:jc w:val="center"/>
                          <w:rPr>
                            <w:rFonts w:ascii="仿宋_GB2312" w:hAnsi="Times New Roman" w:eastAsia="仿宋_GB2312" w:cs="Wingdings"/>
                            <w:sz w:val="28"/>
                            <w:szCs w:val="28"/>
                          </w:rPr>
                        </w:pPr>
                        <w:r>
                          <w:rPr>
                            <w:rFonts w:hint="eastAsia" w:ascii="仿宋_GB2312" w:hAnsi="Times New Roman" w:eastAsia="仿宋_GB2312" w:cs="Wingdings"/>
                            <w:sz w:val="28"/>
                            <w:szCs w:val="28"/>
                          </w:rPr>
                          <w:t>图X：财政拨款支出决算结构（按功能分类）</w:t>
                        </w:r>
                      </w:p>
                      <w:p>
                        <w:pPr>
                          <w:spacing w:after="160" w:line="480" w:lineRule="auto"/>
                          <w:rPr>
                            <w:rFonts w:ascii="Times New Roman" w:hAnsi="Times New Roman" w:eastAsia="宋体" w:cs="Times New Roman"/>
                            <w:sz w:val="20"/>
                          </w:rPr>
                        </w:pPr>
                      </w:p>
                    </w:txbxContent>
                  </v:textbox>
                </v:shape>
              </v:group>
            </w:pict>
          </mc:Fallback>
        </mc:AlternateContent>
      </w: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年度财政拨款基本支出577.14万元，其中：人员经费</w:t>
      </w:r>
      <w:r>
        <w:rPr>
          <w:rFonts w:ascii="仿宋_GB2312" w:hAnsi="Times New Roman" w:eastAsia="仿宋_GB2312" w:cs="Wingdings"/>
          <w:sz w:val="32"/>
          <w:szCs w:val="32"/>
        </w:rPr>
        <w:t>568.19</w:t>
      </w:r>
      <w:r>
        <w:rPr>
          <w:rFonts w:hint="eastAsia" w:ascii="仿宋_GB2312" w:hAnsi="Times New Roman" w:eastAsia="仿宋_GB2312" w:cs="Wingdings"/>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8.95万元，主要包括办公费、印刷费、咨询费、手续费、水费、电费、邮电费、取暖费、租赁费、会议费、培训费、公务接待费、专用材料费、劳务费、委托业务费、工会经费、福利费、公务用车运行维护费、其他交通费用、其他商品和服务支出、办公设备购置。</w:t>
      </w:r>
    </w:p>
    <w:p>
      <w:pPr>
        <w:adjustRightInd w:val="0"/>
        <w:snapToGrid w:val="0"/>
        <w:spacing w:line="600" w:lineRule="exact"/>
        <w:ind w:firstLine="640" w:firstLineChars="200"/>
        <w:rPr>
          <w:rFonts w:ascii="仿宋_GB2312" w:hAnsi="Times New Roman" w:eastAsia="仿宋_GB2312" w:cs="Wingdings"/>
          <w:sz w:val="32"/>
          <w:szCs w:val="32"/>
        </w:rPr>
      </w:pP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本部门2020年度“三公”经费财政拨款支出预算为5.40万元，支出决算为2.01元，完成预算的37.22%,较预算减少3.39万元，降低62.78%，主要是</w:t>
      </w:r>
      <w:r>
        <w:rPr>
          <w:rFonts w:hint="eastAsia" w:ascii="仿宋_GB2312" w:hAnsi="Times New Roman" w:eastAsia="仿宋_GB2312" w:cs="DengXian-Regular"/>
          <w:sz w:val="32"/>
          <w:szCs w:val="32"/>
        </w:rPr>
        <w:t>厉行节约，压缩三公经费支出</w:t>
      </w:r>
      <w:r>
        <w:rPr>
          <w:rFonts w:hint="eastAsia" w:ascii="仿宋_GB2312" w:hAnsi="Times New Roman" w:eastAsia="仿宋_GB2312" w:cs="Wingdings"/>
          <w:sz w:val="32"/>
          <w:szCs w:val="32"/>
        </w:rPr>
        <w:t>；与2019年度持平，主要是</w:t>
      </w:r>
      <w:r>
        <w:rPr>
          <w:rFonts w:hint="eastAsia" w:ascii="仿宋_GB2312" w:hAnsi="Times New Roman" w:eastAsia="仿宋_GB2312" w:cs="DengXian-Regular"/>
          <w:sz w:val="32"/>
          <w:szCs w:val="32"/>
        </w:rPr>
        <w:t>厉行节约，压缩三公经费支出</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仿宋_GB2312" w:hAnsi="仿宋_GB2312" w:eastAsia="仿宋_GB2312" w:cs="仿宋_GB2312"/>
          <w:sz w:val="32"/>
          <w:szCs w:val="32"/>
        </w:rPr>
        <w:t>本部门2020年因公出国（境）费支出0万元。</w:t>
      </w:r>
      <w:r>
        <w:rPr>
          <w:rFonts w:hint="eastAsia" w:ascii="仿宋_GB2312" w:hAnsi="Times New Roman" w:eastAsia="仿宋_GB2312" w:cs="Wingdings"/>
          <w:sz w:val="32"/>
          <w:szCs w:val="32"/>
        </w:rPr>
        <w:t>因公出国（境）团组0个、共0人、参加其他单位组织的因公出国（境）团组0个、共0人/无本单位组织的出国（境）团组。因公出国（境）费支出较预算增加0万元，增长0%,</w:t>
      </w:r>
      <w:r>
        <w:rPr>
          <w:rFonts w:hint="eastAsia" w:ascii="仿宋_GB2312" w:hAnsi="Times New Roman" w:eastAsia="仿宋_GB2312" w:cs="DengXian-Regular"/>
          <w:color w:val="000000"/>
          <w:sz w:val="32"/>
          <w:szCs w:val="32"/>
        </w:rPr>
        <w:t>与年初预算持平，</w:t>
      </w:r>
      <w:r>
        <w:rPr>
          <w:rFonts w:hint="eastAsia" w:ascii="仿宋_GB2312" w:hAnsi="Times New Roman" w:eastAsia="仿宋_GB2312" w:cs="DengXian-Regular"/>
          <w:sz w:val="32"/>
          <w:szCs w:val="32"/>
        </w:rPr>
        <w:t>主要是厉行节约，压缩三公经费支出，减少不必要开支</w:t>
      </w:r>
      <w:r>
        <w:rPr>
          <w:rFonts w:hint="eastAsia" w:ascii="仿宋_GB2312" w:hAnsi="Times New Roman" w:eastAsia="仿宋_GB2312" w:cs="Wingdings"/>
          <w:sz w:val="32"/>
          <w:szCs w:val="32"/>
        </w:rPr>
        <w:t>；较上年增加0万元，增长0%,</w:t>
      </w:r>
      <w:r>
        <w:rPr>
          <w:rFonts w:ascii="仿宋_GB2312" w:hAnsi="Times New Roman" w:eastAsia="仿宋_GB2312" w:cs="DengXian-Regular"/>
          <w:color w:val="000000"/>
          <w:sz w:val="32"/>
          <w:szCs w:val="32"/>
        </w:rPr>
        <w:t>201</w:t>
      </w:r>
      <w:r>
        <w:rPr>
          <w:rFonts w:hint="eastAsia" w:ascii="仿宋_GB2312" w:hAnsi="Times New Roman" w:eastAsia="仿宋_GB2312" w:cs="DengXian-Regular"/>
          <w:color w:val="000000"/>
          <w:sz w:val="32"/>
          <w:szCs w:val="32"/>
        </w:rPr>
        <w:t>9年度决算支出持平，</w:t>
      </w:r>
      <w:r>
        <w:rPr>
          <w:rFonts w:hint="eastAsia" w:ascii="仿宋_GB2312" w:hAnsi="Times New Roman" w:eastAsia="仿宋_GB2312" w:cs="Wingdings"/>
          <w:sz w:val="32"/>
          <w:szCs w:val="32"/>
        </w:rPr>
        <w:t>主要是</w:t>
      </w:r>
      <w:r>
        <w:rPr>
          <w:rFonts w:hint="eastAsia" w:ascii="仿宋_GB2312" w:hAnsi="Times New Roman" w:eastAsia="仿宋_GB2312" w:cs="DengXian-Regular"/>
          <w:sz w:val="32"/>
          <w:szCs w:val="32"/>
        </w:rPr>
        <w:t>厉行节约，压缩三公经费支出，减少不必要开支</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2.公务用车购置及运行维护费。</w:t>
      </w:r>
      <w:r>
        <w:rPr>
          <w:rFonts w:hint="eastAsia" w:ascii="仿宋_GB2312" w:hAnsi="仿宋_GB2312" w:eastAsia="仿宋_GB2312" w:cs="仿宋_GB2312"/>
          <w:sz w:val="32"/>
          <w:szCs w:val="32"/>
        </w:rPr>
        <w:t>本部门2020年公务用车购置及运行维护费支出2.01万元，完成预算的40.20%，</w:t>
      </w:r>
      <w:r>
        <w:rPr>
          <w:rFonts w:hint="eastAsia" w:ascii="仿宋_GB2312" w:hAnsi="Times New Roman" w:eastAsia="仿宋_GB2312" w:cs="Wingdings"/>
          <w:sz w:val="32"/>
          <w:szCs w:val="32"/>
        </w:rPr>
        <w:t>较预算减少2.99万元，降低59.80%,主要是</w:t>
      </w:r>
      <w:r>
        <w:rPr>
          <w:rFonts w:hint="eastAsia" w:ascii="仿宋_GB2312" w:hAnsi="Times New Roman" w:eastAsia="仿宋_GB2312" w:cs="DengXian-Regular"/>
          <w:sz w:val="32"/>
          <w:szCs w:val="32"/>
        </w:rPr>
        <w:t>厉行节约，压缩三公经费支出，减少不必要开支，数据</w:t>
      </w:r>
      <w:r>
        <w:rPr>
          <w:rFonts w:hint="eastAsia" w:ascii="仿宋_GB2312" w:hAnsi="Times New Roman" w:eastAsia="仿宋_GB2312" w:cs="Wingdings"/>
          <w:sz w:val="32"/>
          <w:szCs w:val="32"/>
        </w:rPr>
        <w:t>与上年持平，主要是无特殊增加费用。</w:t>
      </w: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rPr>
        <w:t>20年度公务用车购置量0辆，</w:t>
      </w:r>
      <w:r>
        <w:rPr>
          <w:rFonts w:hint="eastAsia" w:ascii="仿宋_GB2312" w:hAnsi="Times New Roman" w:eastAsia="仿宋_GB2312" w:cs="DengXian-Regular"/>
          <w:color w:val="000000"/>
          <w:sz w:val="32"/>
          <w:szCs w:val="32"/>
        </w:rPr>
        <w:t>未发生“公务用车购置”经费支出，与年初预算持平，与</w:t>
      </w:r>
      <w:r>
        <w:rPr>
          <w:rFonts w:ascii="仿宋_GB2312" w:hAnsi="Times New Roman" w:eastAsia="仿宋_GB2312" w:cs="DengXian-Regular"/>
          <w:color w:val="000000"/>
          <w:sz w:val="32"/>
          <w:szCs w:val="32"/>
        </w:rPr>
        <w:t>201</w:t>
      </w:r>
      <w:r>
        <w:rPr>
          <w:rFonts w:hint="eastAsia" w:ascii="仿宋_GB2312" w:hAnsi="Times New Roman" w:eastAsia="仿宋_GB2312" w:cs="DengXian-Regular"/>
          <w:color w:val="000000"/>
          <w:sz w:val="32"/>
          <w:szCs w:val="32"/>
        </w:rPr>
        <w:t>9年度决算支出持平</w:t>
      </w:r>
      <w:r>
        <w:rPr>
          <w:rFonts w:hint="eastAsia" w:ascii="仿宋_GB2312" w:hAnsi="Times New Roman" w:eastAsia="仿宋_GB2312" w:cs="DengXian-Regular"/>
          <w:sz w:val="32"/>
          <w:szCs w:val="32"/>
        </w:rPr>
        <w:t>，主要是无购车需求。</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本部门2020年度单位公务用车保有量2辆,发生运行维护费支出2.01万元。公车运行维护费支出较预算减少2.99万元，降低59.80%,主要是</w:t>
      </w:r>
      <w:r>
        <w:rPr>
          <w:rFonts w:hint="eastAsia" w:ascii="仿宋_GB2312" w:hAnsi="Times New Roman" w:eastAsia="仿宋_GB2312" w:cs="DengXian-Regular"/>
          <w:sz w:val="32"/>
          <w:szCs w:val="32"/>
        </w:rPr>
        <w:t>厉行节约，压缩三公经费支出，减少不必要开支</w:t>
      </w:r>
      <w:r>
        <w:rPr>
          <w:rFonts w:hint="eastAsia" w:ascii="仿宋_GB2312" w:hAnsi="Times New Roman" w:eastAsia="仿宋_GB2312" w:cs="Wingdings"/>
          <w:sz w:val="32"/>
          <w:szCs w:val="32"/>
        </w:rPr>
        <w:t>；</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Mongolian Baiti"/>
          <w:b/>
          <w:bCs/>
          <w:sz w:val="32"/>
          <w:szCs w:val="32"/>
        </w:rPr>
        <w:t xml:space="preserve"> 3.公务接待费。</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rPr>
        <w:t>20年度</w:t>
      </w:r>
      <w:r>
        <w:rPr>
          <w:rFonts w:hint="eastAsia" w:ascii="仿宋_GB2312" w:hAnsi="Times New Roman" w:eastAsia="仿宋_GB2312" w:cs="DengXian-Regular"/>
          <w:color w:val="000000"/>
          <w:sz w:val="32"/>
          <w:szCs w:val="32"/>
        </w:rPr>
        <w:t>发生“</w:t>
      </w:r>
      <w:r>
        <w:rPr>
          <w:rFonts w:hint="eastAsia" w:ascii="仿宋_GB2312" w:hAnsi="Times New Roman" w:eastAsia="仿宋_GB2312" w:cs="DengXian-Regular"/>
          <w:sz w:val="32"/>
          <w:szCs w:val="32"/>
        </w:rPr>
        <w:t>公务接待</w:t>
      </w:r>
      <w:r>
        <w:rPr>
          <w:rFonts w:hint="eastAsia" w:ascii="仿宋_GB2312" w:hAnsi="Times New Roman" w:eastAsia="仿宋_GB2312" w:cs="DengXian-Regular"/>
          <w:color w:val="000000"/>
          <w:sz w:val="32"/>
          <w:szCs w:val="32"/>
        </w:rPr>
        <w:t>”经费支出</w:t>
      </w:r>
      <w:r>
        <w:rPr>
          <w:rFonts w:hint="eastAsia" w:ascii="仿宋_GB2312" w:hAnsi="Times New Roman" w:eastAsia="仿宋_GB2312" w:cs="DengXian-Regular"/>
          <w:sz w:val="32"/>
          <w:szCs w:val="32"/>
        </w:rPr>
        <w:t>0万元，</w:t>
      </w:r>
      <w:r>
        <w:rPr>
          <w:rFonts w:hint="eastAsia" w:ascii="仿宋_GB2312" w:hAnsi="仿宋_GB2312" w:eastAsia="仿宋_GB2312" w:cs="仿宋_GB2312"/>
          <w:b w:val="0"/>
          <w:bCs w:val="0"/>
          <w:sz w:val="32"/>
          <w:szCs w:val="32"/>
          <w:lang w:val="en-US" w:eastAsia="zh-CN"/>
        </w:rPr>
        <w:t>发生</w:t>
      </w:r>
      <w:r>
        <w:rPr>
          <w:rFonts w:hint="eastAsia" w:ascii="仿宋_GB2312" w:hAnsi="Times New Roman" w:eastAsia="仿宋_GB2312" w:cs="Wingdings"/>
          <w:sz w:val="32"/>
          <w:szCs w:val="32"/>
        </w:rPr>
        <w:t>公务接待共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批次、</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人次。</w:t>
      </w:r>
      <w:r>
        <w:rPr>
          <w:rFonts w:hint="eastAsia" w:ascii="仿宋_GB2312" w:hAnsi="Times New Roman" w:eastAsia="仿宋_GB2312" w:cs="DengXian-Regular"/>
          <w:color w:val="000000"/>
          <w:sz w:val="32"/>
          <w:szCs w:val="32"/>
        </w:rPr>
        <w:t>与年初预算持平，与</w:t>
      </w:r>
      <w:r>
        <w:rPr>
          <w:rFonts w:ascii="仿宋_GB2312" w:hAnsi="Times New Roman" w:eastAsia="仿宋_GB2312" w:cs="DengXian-Regular"/>
          <w:color w:val="000000"/>
          <w:sz w:val="32"/>
          <w:szCs w:val="32"/>
        </w:rPr>
        <w:t>20</w:t>
      </w:r>
      <w:r>
        <w:rPr>
          <w:rFonts w:hint="eastAsia" w:ascii="仿宋_GB2312" w:hAnsi="Times New Roman" w:eastAsia="仿宋_GB2312" w:cs="DengXian-Regular"/>
          <w:color w:val="000000"/>
          <w:sz w:val="32"/>
          <w:szCs w:val="32"/>
        </w:rPr>
        <w:t>19年度决算支出相持平</w:t>
      </w:r>
      <w:r>
        <w:rPr>
          <w:rFonts w:hint="eastAsia" w:ascii="仿宋_GB2312" w:hAnsi="Times New Roman" w:eastAsia="仿宋_GB2312" w:cs="DengXian-Regular"/>
          <w:sz w:val="32"/>
          <w:szCs w:val="32"/>
        </w:rPr>
        <w:t>，主要是厉行节约，压缩三公经费支出，减少不必要开支。</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w:t>
      </w:r>
      <w:r>
        <w:rPr>
          <w:rFonts w:ascii="仿宋_GB2312" w:hAnsi="仿宋_GB2312" w:eastAsia="仿宋_GB2312" w:cs="仿宋_GB2312"/>
          <w:sz w:val="32"/>
          <w:szCs w:val="32"/>
        </w:rPr>
        <w:t>20</w:t>
      </w:r>
      <w:r>
        <w:rPr>
          <w:rFonts w:hint="eastAsia" w:ascii="仿宋_GB2312" w:hAnsi="仿宋_GB2312" w:eastAsia="仿宋_GB2312" w:cs="仿宋_GB2312"/>
          <w:sz w:val="32"/>
          <w:szCs w:val="32"/>
        </w:rPr>
        <w:t>20年度一般公共预算项目支出全面开展绩效自评，其中，一级项目2个，共涉及资金331.85万元，占一般公共预算项目支出总额的100%。我区根据预算部门和预算单位的实际情况和工作需要，确定各部门预算项目和预算额度，清晰描述预算项目开展服务和内容，确定预算项目的绩效目标。在预算执行过程中，按时间和进度的绩效管理目标要求，合理安排资金的使用，保证了各项工作的顺利进行，较好的实现了预算项目绩效目标。</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w:t>
      </w:r>
      <w:r>
        <w:rPr>
          <w:rFonts w:ascii="仿宋_GB2312" w:hAnsi="仿宋_GB2312" w:eastAsia="仿宋_GB2312" w:cs="仿宋_GB2312"/>
          <w:sz w:val="32"/>
          <w:szCs w:val="32"/>
        </w:rPr>
        <w:t>20</w:t>
      </w:r>
      <w:r>
        <w:rPr>
          <w:rFonts w:hint="eastAsia" w:ascii="仿宋_GB2312" w:hAnsi="仿宋_GB2312" w:eastAsia="仿宋_GB2312" w:cs="仿宋_GB2312"/>
          <w:sz w:val="32"/>
          <w:szCs w:val="32"/>
        </w:rPr>
        <w:t>20</w:t>
      </w:r>
      <w:r>
        <w:rPr>
          <w:rFonts w:ascii="仿宋_GB2312" w:hAnsi="仿宋_GB2312" w:eastAsia="仿宋_GB2312" w:cs="仿宋_GB2312"/>
          <w:sz w:val="32"/>
          <w:szCs w:val="32"/>
        </w:rPr>
        <w:t>年离休老干部医药费</w:t>
      </w:r>
      <w:r>
        <w:rPr>
          <w:rFonts w:hint="eastAsia" w:ascii="仿宋_GB2312" w:hAnsi="仿宋_GB2312" w:eastAsia="仿宋_GB2312" w:cs="仿宋_GB2312"/>
          <w:sz w:val="32"/>
          <w:szCs w:val="32"/>
        </w:rPr>
        <w:t>项目及离退休人员管理机构项目等2个项目绩效自评结果。</w:t>
      </w:r>
    </w:p>
    <w:p>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20</w:t>
      </w:r>
      <w:r>
        <w:rPr>
          <w:rFonts w:hint="eastAsia" w:ascii="仿宋_GB2312" w:hAnsi="仿宋_GB2312" w:eastAsia="仿宋_GB2312" w:cs="仿宋_GB2312"/>
          <w:sz w:val="32"/>
          <w:szCs w:val="32"/>
        </w:rPr>
        <w:t>20</w:t>
      </w:r>
      <w:r>
        <w:rPr>
          <w:rFonts w:ascii="仿宋_GB2312" w:hAnsi="仿宋_GB2312" w:eastAsia="仿宋_GB2312" w:cs="仿宋_GB2312"/>
          <w:sz w:val="32"/>
          <w:szCs w:val="32"/>
        </w:rPr>
        <w:t>年离休老干部医药费</w:t>
      </w:r>
      <w:r>
        <w:rPr>
          <w:rFonts w:hint="eastAsia" w:ascii="仿宋_GB2312" w:hAnsi="仿宋_GB2312" w:eastAsia="仿宋_GB2312" w:cs="仿宋_GB2312"/>
          <w:sz w:val="32"/>
          <w:szCs w:val="32"/>
        </w:rPr>
        <w:t>项目项目自评综述：根据年初设定的绩效目标，</w:t>
      </w:r>
      <w:r>
        <w:rPr>
          <w:rFonts w:ascii="仿宋_GB2312" w:hAnsi="仿宋_GB2312" w:eastAsia="仿宋_GB2312" w:cs="仿宋_GB2312"/>
          <w:sz w:val="32"/>
          <w:szCs w:val="32"/>
        </w:rPr>
        <w:t>20</w:t>
      </w:r>
      <w:r>
        <w:rPr>
          <w:rFonts w:hint="eastAsia" w:ascii="仿宋_GB2312" w:hAnsi="仿宋_GB2312" w:eastAsia="仿宋_GB2312" w:cs="仿宋_GB2312"/>
          <w:sz w:val="32"/>
          <w:szCs w:val="32"/>
        </w:rPr>
        <w:t>20</w:t>
      </w:r>
      <w:r>
        <w:rPr>
          <w:rFonts w:ascii="仿宋_GB2312" w:hAnsi="仿宋_GB2312" w:eastAsia="仿宋_GB2312" w:cs="仿宋_GB2312"/>
          <w:sz w:val="32"/>
          <w:szCs w:val="32"/>
        </w:rPr>
        <w:t>年离休老干部医药费</w:t>
      </w:r>
      <w:r>
        <w:rPr>
          <w:rFonts w:hint="eastAsia" w:ascii="仿宋_GB2312" w:hAnsi="仿宋_GB2312" w:eastAsia="仿宋_GB2312" w:cs="仿宋_GB2312"/>
          <w:sz w:val="32"/>
          <w:szCs w:val="32"/>
        </w:rPr>
        <w:t>项目绩效自评得分为100分。全年预算数为500万元，执行数为313.95万元，完成预算的62.79%。离休干部药费报销工作根据离休干部住院、用药实际情况报销，实际发生比预算发生额度要少。项目绩效目标完成情况：一是及时足额发放离休干部药费；二是离休干部及家属满意。暂未发现明显问题。</w:t>
      </w:r>
    </w:p>
    <w:p>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离退休人员管理机构项目绩效自评综述：离退休人员管理机构项目自评综述：根据年初设定的绩效目标，离退休人员管理机构项目绩效自评得分为98分。全年预算数为10万元，执行数为8.94万元，完成预算的89.40%。项目绩效目标完成情况：一是建设、管理、使用好老年活动阵地，完善、更新老年教育设施，并指导全区阵地建设；二是离休干部及家属满意。资金未完全利用，其他无明显问题。改进：做好计划，尽量将资金全额高效运用。</w:t>
      </w:r>
    </w:p>
    <w:p>
      <w:pPr>
        <w:adjustRightInd w:val="0"/>
        <w:snapToGrid w:val="0"/>
        <w:spacing w:line="600" w:lineRule="exact"/>
        <w:rPr>
          <w:rFonts w:ascii="仿宋_GB2312" w:hAnsi="仿宋_GB2312" w:eastAsia="仿宋_GB2312" w:cs="仿宋_GB2312"/>
          <w:sz w:val="32"/>
          <w:szCs w:val="32"/>
        </w:rPr>
      </w:pP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（三）财政评价项目绩效评价结果</w:t>
      </w:r>
    </w:p>
    <w:p>
      <w:pPr>
        <w:keepNext/>
        <w:keepLines/>
        <w:snapToGrid w:val="0"/>
        <w:spacing w:line="580" w:lineRule="exact"/>
        <w:ind w:firstLine="640" w:firstLineChars="200"/>
        <w:jc w:val="left"/>
        <w:outlineLvl w:val="1"/>
        <w:rPr>
          <w:rFonts w:ascii="仿宋_GB2312" w:hAnsi="仿宋_GB2312" w:eastAsia="仿宋_GB2312" w:cs="仿宋_GB2312"/>
          <w:b/>
          <w:bCs/>
          <w:sz w:val="32"/>
          <w:szCs w:val="32"/>
        </w:rPr>
      </w:pPr>
      <w:r>
        <w:rPr>
          <w:rFonts w:hint="eastAsia" w:ascii="仿宋_GB2312" w:hAnsi="仿宋_GB2312" w:eastAsia="仿宋_GB2312" w:cs="仿宋_GB2312"/>
          <w:sz w:val="32"/>
          <w:szCs w:val="32"/>
        </w:rPr>
        <w:t>暂无财政评价项目绩效报告，无项目绩效评价结果与绩效评价表</w:t>
      </w:r>
      <w:r>
        <w:rPr>
          <w:rFonts w:hint="eastAsia" w:ascii="仿宋_GB2312" w:hAnsi="仿宋_GB2312" w:eastAsia="仿宋_GB2312" w:cs="仿宋_GB2312"/>
          <w:b/>
          <w:bCs/>
          <w:sz w:val="32"/>
          <w:szCs w:val="32"/>
        </w:rPr>
        <w:t>。</w:t>
      </w: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本部门2020年度机关运行经费支出8.95万元，比2019年度增加2.56万元，增长28.60%。主要原因是老干部门诊人员部分经费由原来项目转入本机关运行经费导致费用增加。</w:t>
      </w:r>
    </w:p>
    <w:p>
      <w:pPr>
        <w:keepNext/>
        <w:keepLines/>
        <w:snapToGrid w:val="0"/>
        <w:spacing w:line="600" w:lineRule="exact"/>
        <w:ind w:firstLine="640" w:firstLineChars="200"/>
        <w:outlineLvl w:val="1"/>
        <w:rPr>
          <w:rFonts w:ascii="黑体" w:hAnsi="黑体" w:eastAsia="黑体" w:cs="黑体"/>
          <w:sz w:val="32"/>
          <w:szCs w:val="32"/>
        </w:rPr>
      </w:pPr>
      <w:r>
        <w:rPr>
          <w:rFonts w:hint="eastAsia" w:ascii="黑体" w:hAnsi="黑体" w:eastAsia="黑体" w:cs="黑体"/>
          <w:sz w:val="32"/>
          <w:szCs w:val="32"/>
        </w:rPr>
        <w:t>八、政府采购情况</w:t>
      </w:r>
    </w:p>
    <w:p>
      <w:pPr>
        <w:snapToGrid w:val="0"/>
        <w:spacing w:line="580" w:lineRule="exact"/>
        <w:ind w:firstLine="640" w:firstLineChars="200"/>
        <w:jc w:val="left"/>
        <w:rPr>
          <w:rFonts w:ascii="仿宋_GB2312" w:hAnsi="Times New Roman" w:eastAsia="仿宋_GB2312" w:cs="DengXian-Regular"/>
          <w:sz w:val="32"/>
          <w:szCs w:val="32"/>
        </w:rPr>
      </w:pPr>
      <w:r>
        <w:rPr>
          <w:rFonts w:hint="eastAsia" w:ascii="仿宋_GB2312" w:hAnsi="仿宋_GB2312" w:eastAsia="仿宋_GB2312" w:cs="仿宋_GB2312"/>
          <w:sz w:val="32"/>
          <w:szCs w:val="32"/>
        </w:rPr>
        <w:t>本部门2020年度政府采购支出总额0万元，从采购类型来看，</w:t>
      </w:r>
      <w:r>
        <w:rPr>
          <w:rFonts w:hint="eastAsia" w:ascii="仿宋_GB2312" w:hAnsi="仿宋_GB2312" w:eastAsia="仿宋_GB2312" w:cs="仿宋_GB2312"/>
          <w:color w:val="000000"/>
          <w:kern w:val="0"/>
          <w:sz w:val="32"/>
          <w:szCs w:val="32"/>
        </w:rPr>
        <w:t>政府采购货物支出0万元、政府采购工程支出0万元、政府采购服务支出 0万元。授予中小企业合同金0万元，占政府采购支出总额的0%，其中授予小微企业合同金额0万元，占政府采购支出总额的 0%。</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截至2020年12月31日，本部门共有车辆2辆，</w:t>
      </w:r>
      <w:r>
        <w:rPr>
          <w:rFonts w:hint="eastAsia" w:ascii="仿宋_GB2312" w:hAnsi="Times New Roman" w:eastAsia="仿宋_GB2312" w:cs="DengXian-Regular"/>
          <w:sz w:val="32"/>
          <w:szCs w:val="32"/>
        </w:rPr>
        <w:t>较去年无变化</w:t>
      </w:r>
      <w:r>
        <w:rPr>
          <w:rFonts w:hint="eastAsia" w:ascii="仿宋_GB2312" w:hAnsi="仿宋_GB2312" w:eastAsia="仿宋_GB2312" w:cs="仿宋_GB2312"/>
          <w:sz w:val="32"/>
          <w:szCs w:val="32"/>
        </w:rPr>
        <w:t>。其中，离退休干部用车1辆，其他用车1辆，其他用车主要是下乡慰问及办公外出用车。</w:t>
      </w:r>
    </w:p>
    <w:p>
      <w:pPr>
        <w:adjustRightInd w:val="0"/>
        <w:snapToGrid w:val="0"/>
        <w:spacing w:line="60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单位价值50万元以上通用设备0套，比上年增加0套，单位价值100万元以上专用设备0套，比上年增加0套。</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仿宋_GB2312" w:eastAsia="仿宋_GB2312" w:cs="仿宋_GB2312"/>
          <w:sz w:val="32"/>
          <w:szCs w:val="32"/>
        </w:rPr>
        <w:t>1. 本部门2020年度</w:t>
      </w:r>
      <w:r>
        <w:rPr>
          <w:rFonts w:hint="eastAsia" w:ascii="仿宋_GB2312" w:eastAsia="仿宋_GB2312" w:cs="DengXian-Regular"/>
          <w:sz w:val="32"/>
          <w:szCs w:val="32"/>
        </w:rPr>
        <w:t>无收支及结转结余情况、无政府性基金预算财政拨款收支、无国有资本经营预算财政拨款支出，故政府性基金预算财政拨款收入支出决算表、国有资本经营预算财政拨款支出决算表以空表列示。</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bookmarkStart w:id="0" w:name="_GoBack"/>
      <w:bookmarkEnd w:id="0"/>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2336" behindDoc="0" locked="0" layoutInCell="1" allowOverlap="1">
                <wp:simplePos x="0" y="0"/>
                <wp:positionH relativeFrom="column">
                  <wp:posOffset>-1022350</wp:posOffset>
                </wp:positionH>
                <wp:positionV relativeFrom="paragraph">
                  <wp:posOffset>201930</wp:posOffset>
                </wp:positionV>
                <wp:extent cx="7793355" cy="3341370"/>
                <wp:effectExtent l="4445" t="4445" r="5080" b="6985"/>
                <wp:wrapNone/>
                <wp:docPr id="2" name="文本框 5"/>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6350" cap="flat" cmpd="sng">
                          <a:solidFill>
                            <a:srgbClr val="7F7F7F"/>
                          </a:solidFill>
                          <a:prstDash val="solid"/>
                          <a:round/>
                          <a:headEnd type="none" w="med" len="med"/>
                          <a:tailEnd type="none" w="med" len="med"/>
                        </a:ln>
                      </wps:spPr>
                      <wps:txbx>
                        <w:txbxContent>
                          <w:p>
                            <w:pPr>
                              <w:widowControl/>
                              <w:jc w:val="center"/>
                            </w:pPr>
                            <w:r>
                              <w:rPr>
                                <w:rFonts w:hint="eastAsia" w:ascii="黑体" w:hAnsi="黑体" w:eastAsia="黑体" w:cs="黑体"/>
                                <w:color w:val="000000" w:themeColor="text1"/>
                                <w:sz w:val="90"/>
                                <w:szCs w:val="90"/>
                              </w:rPr>
                              <w:t>第三部分 相关名词解释</w:t>
                            </w:r>
                          </w:p>
                        </w:txbxContent>
                      </wps:txbx>
                      <wps:bodyPr anchor="ctr" anchorCtr="0" upright="1"/>
                    </wps:wsp>
                  </a:graphicData>
                </a:graphic>
              </wp:anchor>
            </w:drawing>
          </mc:Choice>
          <mc:Fallback>
            <w:pict>
              <v:shape id="文本框 5" o:spid="_x0000_s1026" o:spt="202" type="#_x0000_t202" style="position:absolute;left:0pt;margin-left:-80.5pt;margin-top:15.9pt;height:263.1pt;width:613.65pt;z-index:251662336;v-text-anchor:middle;mso-width-relative:page;mso-height-relative:page;" fillcolor="#7F7F7F" filled="t" stroked="t" coordsize="21600,21600"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0jT7ZAAAADAEAAA8A&#10;AAAAAAAAAQAgAAAAIgAAAGRycy9kb3ducmV2LnhtbFBLAQIUABQAAAAIAIdO4kDBnZ8JiAIAAEwF&#10;AAAOAAAAAAAAAAEAIAAAACgBAABkcnMvZTJvRG9jLnhtbFBLBQYAAAAABgAGAFkBAAAiBgAAAAA=&#10;">
                <v:fill type="pattern" on="t" color2="#FFFFFF" o:title="5%" focussize="0,0" r:id="rId14"/>
                <v:stroke weight="0.5pt" color="#7F7F7F" joinstyle="round"/>
                <v:imagedata o:title=""/>
                <o:lock v:ext="edit" aspectratio="f"/>
                <v:textbox>
                  <w:txbxContent>
                    <w:p>
                      <w:pPr>
                        <w:widowControl/>
                        <w:jc w:val="center"/>
                      </w:pPr>
                      <w:r>
                        <w:rPr>
                          <w:rFonts w:hint="eastAsia" w:ascii="黑体" w:hAnsi="黑体" w:eastAsia="黑体" w:cs="黑体"/>
                          <w:color w:val="000000" w:themeColor="text1"/>
                          <w:sz w:val="90"/>
                          <w:szCs w:val="90"/>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11"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6432"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6" name="文本框 4"/>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12700" cap="flat" cmpd="sng">
                          <a:solidFill>
                            <a:srgbClr val="A6A6A6"/>
                          </a:solidFill>
                          <a:prstDash val="solid"/>
                          <a:round/>
                          <a:headEnd type="none" w="med" len="med"/>
                          <a:tailEnd type="none" w="med" len="med"/>
                        </a:ln>
                      </wps:spPr>
                      <wps:txb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第四部分 </w:t>
                            </w:r>
                          </w:p>
                          <w:p>
                            <w:pPr>
                              <w:widowControl/>
                              <w:jc w:val="center"/>
                            </w:pPr>
                            <w:r>
                              <w:rPr>
                                <w:rFonts w:hint="eastAsia" w:ascii="黑体" w:hAnsi="黑体" w:eastAsia="黑体" w:cs="黑体"/>
                                <w:color w:val="000000" w:themeColor="text1"/>
                                <w:sz w:val="90"/>
                                <w:szCs w:val="90"/>
                              </w:rPr>
                              <w:t>2020年度部门决算报表</w:t>
                            </w:r>
                          </w:p>
                          <w:p/>
                        </w:txbxContent>
                      </wps:txbx>
                      <wps:bodyPr anchor="ctr" anchorCtr="0" upright="1"/>
                    </wps:wsp>
                  </a:graphicData>
                </a:graphic>
              </wp:anchor>
            </w:drawing>
          </mc:Choice>
          <mc:Fallback>
            <w:pict>
              <v:shape id="文本框 4" o:spid="_x0000_s1026" o:spt="202" type="#_x0000_t202" style="position:absolute;left:0pt;margin-left:-80.9pt;margin-top:90.65pt;height:263.1pt;width:613.65pt;z-index:251666432;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fill type="pattern" on="t" color2="#FFFFFF" o:title="5%" focussize="0,0" r:id="rId14"/>
                <v:stroke weight="1pt" color="#A6A6A6" joinstyle="round"/>
                <v:imagedata o:title=""/>
                <o:lock v:ext="edit" aspectratio="f"/>
                <v:textbo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第四部分 </w:t>
                      </w:r>
                    </w:p>
                    <w:p>
                      <w:pPr>
                        <w:widowControl/>
                        <w:jc w:val="center"/>
                      </w:pPr>
                      <w:r>
                        <w:rPr>
                          <w:rFonts w:hint="eastAsia" w:ascii="黑体" w:hAnsi="黑体" w:eastAsia="黑体" w:cs="黑体"/>
                          <w:color w:val="000000" w:themeColor="text1"/>
                          <w:sz w:val="90"/>
                          <w:szCs w:val="90"/>
                        </w:rPr>
                        <w:t>2020年度部门决算报表</w:t>
                      </w:r>
                    </w:p>
                    <w:p/>
                  </w:txbxContent>
                </v:textbox>
              </v:shape>
            </w:pict>
          </mc:Fallback>
        </mc:AlternateContent>
      </w:r>
    </w:p>
    <w:tbl>
      <w:tblPr>
        <w:tblStyle w:val="6"/>
        <w:tblpPr w:leftFromText="180" w:rightFromText="180" w:vertAnchor="text" w:horzAnchor="page" w:tblpXSpec="center" w:tblpY="31"/>
        <w:tblOverlap w:val="never"/>
        <w:tblW w:w="9434" w:type="dxa"/>
        <w:jc w:val="center"/>
        <w:tblLayout w:type="fixed"/>
        <w:tblCellMar>
          <w:top w:w="0" w:type="dxa"/>
          <w:left w:w="0" w:type="dxa"/>
          <w:bottom w:w="0" w:type="dxa"/>
          <w:right w:w="0" w:type="dxa"/>
        </w:tblCellMar>
      </w:tblPr>
      <w:tblGrid>
        <w:gridCol w:w="3207"/>
        <w:gridCol w:w="724"/>
        <w:gridCol w:w="686"/>
        <w:gridCol w:w="3443"/>
        <w:gridCol w:w="536"/>
        <w:gridCol w:w="838"/>
      </w:tblGrid>
      <w:tr>
        <w:tblPrEx>
          <w:tblCellMar>
            <w:top w:w="0" w:type="dxa"/>
            <w:left w:w="0" w:type="dxa"/>
            <w:bottom w:w="0" w:type="dxa"/>
            <w:right w:w="0" w:type="dxa"/>
          </w:tblCellMar>
        </w:tblPrEx>
        <w:trPr>
          <w:trHeight w:val="499"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bottom"/>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rPr>
              <w:t>收入支出决算总表</w:t>
            </w:r>
          </w:p>
        </w:tc>
      </w:tr>
      <w:tr>
        <w:tblPrEx>
          <w:tblCellMar>
            <w:top w:w="0" w:type="dxa"/>
            <w:left w:w="0" w:type="dxa"/>
            <w:bottom w:w="0" w:type="dxa"/>
            <w:right w:w="0" w:type="dxa"/>
          </w:tblCellMar>
        </w:tblPrEx>
        <w:trPr>
          <w:trHeight w:val="209"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6"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公开01表</w:t>
            </w:r>
          </w:p>
        </w:tc>
      </w:tr>
      <w:tr>
        <w:tblPrEx>
          <w:tblCellMar>
            <w:top w:w="0" w:type="dxa"/>
            <w:left w:w="0" w:type="dxa"/>
            <w:bottom w:w="0" w:type="dxa"/>
            <w:right w:w="0" w:type="dxa"/>
          </w:tblCellMar>
        </w:tblPrEx>
        <w:trPr>
          <w:trHeight w:val="430"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6"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290" w:hRule="atLeast"/>
          <w:jc w:val="center"/>
        </w:trPr>
        <w:tc>
          <w:tcPr>
            <w:tcW w:w="461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收入</w:t>
            </w:r>
          </w:p>
        </w:tc>
        <w:tc>
          <w:tcPr>
            <w:tcW w:w="4816"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支出</w:t>
            </w:r>
          </w:p>
        </w:tc>
      </w:tr>
      <w:tr>
        <w:tblPrEx>
          <w:tblCellMar>
            <w:top w:w="0" w:type="dxa"/>
            <w:left w:w="0" w:type="dxa"/>
            <w:bottom w:w="0" w:type="dxa"/>
            <w:right w:w="0" w:type="dxa"/>
          </w:tblCellMar>
        </w:tblPrEx>
        <w:trPr>
          <w:trHeight w:val="37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行次</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金额</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行次</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金额</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一、一般公共预算财政拨款收入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908.98</w:t>
            </w: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一、一般公共服务支出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196.66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二、政府性基金预算财政拨款收入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二、外交支出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185"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三、上级补助收入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三、国防支出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四、事业收入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四、公共安全支出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五、经营收入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五、教育支出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六、附属单位上缴收入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六、科学技术支出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七、其他收入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七、文化旅游体育与传媒支出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八、社会保障和就业支出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703.58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9</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九、卫生健康支出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37</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3.79</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十、节能环保支出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38</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十一、城乡社区支出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十二、农林水支出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十三、交通运输支出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十四、资源勘探信息等支出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十五、商业服务业等支出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十六、金融支出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十七、援助其他地区支出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十八、自然资源海洋气象等支出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19</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十九、住房保障支出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47</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4.96</w:t>
            </w: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二十、粮油物资储备支出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48</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二十一、灾害防治及应急管理支出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二十二、其他支出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二十四、债务付息支出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本年收入合计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908.98</w:t>
            </w: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本年支出合计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908.98</w:t>
            </w: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用事业基金弥补收支差额</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结余分配</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年初结转和结余</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年末结转和结余</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总计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908.98</w:t>
            </w: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总计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908.98</w:t>
            </w: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kern w:val="0"/>
                <w:sz w:val="18"/>
                <w:szCs w:val="18"/>
              </w:rPr>
            </w:pPr>
            <w:r>
              <w:rPr>
                <w:rFonts w:hint="eastAsia" w:ascii="宋体" w:hAnsi="宋体" w:eastAsia="宋体" w:cs="宋体"/>
                <w:color w:val="000000"/>
                <w:kern w:val="0"/>
                <w:sz w:val="18"/>
                <w:szCs w:val="18"/>
              </w:rPr>
              <w:t>注：本表反映部门本年度的总收支和年末结转结余情况。</w:t>
            </w:r>
          </w:p>
          <w:p>
            <w:pPr>
              <w:widowControl/>
              <w:jc w:val="left"/>
              <w:textAlignment w:val="center"/>
              <w:rPr>
                <w:rFonts w:ascii="宋体" w:hAnsi="宋体" w:eastAsia="宋体" w:cs="宋体"/>
                <w:color w:val="000000"/>
                <w:kern w:val="0"/>
                <w:sz w:val="18"/>
                <w:szCs w:val="18"/>
              </w:rPr>
            </w:pPr>
          </w:p>
        </w:tc>
      </w:tr>
    </w:tbl>
    <w:tbl>
      <w:tblPr>
        <w:tblStyle w:val="6"/>
        <w:tblW w:w="9680" w:type="dxa"/>
        <w:jc w:val="center"/>
        <w:tblLayout w:type="autofit"/>
        <w:tblCellMar>
          <w:top w:w="0" w:type="dxa"/>
          <w:left w:w="0" w:type="dxa"/>
          <w:bottom w:w="0" w:type="dxa"/>
          <w:right w:w="0" w:type="dxa"/>
        </w:tblCellMar>
      </w:tblPr>
      <w:tblGrid>
        <w:gridCol w:w="760"/>
        <w:gridCol w:w="43"/>
        <w:gridCol w:w="43"/>
        <w:gridCol w:w="3894"/>
        <w:gridCol w:w="1022"/>
        <w:gridCol w:w="975"/>
        <w:gridCol w:w="651"/>
        <w:gridCol w:w="615"/>
        <w:gridCol w:w="584"/>
        <w:gridCol w:w="557"/>
        <w:gridCol w:w="536"/>
      </w:tblGrid>
      <w:tr>
        <w:tblPrEx>
          <w:tblCellMar>
            <w:top w:w="0" w:type="dxa"/>
            <w:left w:w="0" w:type="dxa"/>
            <w:bottom w:w="0" w:type="dxa"/>
            <w:right w:w="0" w:type="dxa"/>
          </w:tblCellMar>
        </w:tblPrEx>
        <w:trPr>
          <w:trHeight w:val="670" w:hRule="atLeast"/>
          <w:jc w:val="center"/>
        </w:trPr>
        <w:tc>
          <w:tcPr>
            <w:tcW w:w="9680" w:type="dxa"/>
            <w:gridSpan w:val="11"/>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rPr>
              <w:t>收入决算表</w:t>
            </w:r>
          </w:p>
        </w:tc>
      </w:tr>
      <w:tr>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公开02表</w:t>
            </w:r>
          </w:p>
        </w:tc>
      </w:tr>
      <w:tr>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85"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本年收入合计</w:t>
            </w:r>
          </w:p>
        </w:tc>
        <w:tc>
          <w:tcPr>
            <w:tcW w:w="92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财政拨款收入</w:t>
            </w:r>
          </w:p>
        </w:tc>
        <w:tc>
          <w:tcPr>
            <w:tcW w:w="8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上级补助收入</w:t>
            </w:r>
          </w:p>
        </w:tc>
        <w:tc>
          <w:tcPr>
            <w:tcW w:w="79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事业收入</w:t>
            </w:r>
          </w:p>
        </w:tc>
        <w:tc>
          <w:tcPr>
            <w:tcW w:w="73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经营收入</w:t>
            </w:r>
          </w:p>
        </w:tc>
        <w:tc>
          <w:tcPr>
            <w:tcW w:w="69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附属单位上缴收入</w:t>
            </w:r>
          </w:p>
        </w:tc>
        <w:tc>
          <w:tcPr>
            <w:tcW w:w="657"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其他收入</w:t>
            </w:r>
          </w:p>
        </w:tc>
      </w:tr>
      <w:tr>
        <w:tblPrEx>
          <w:tblCellMar>
            <w:top w:w="0" w:type="dxa"/>
            <w:left w:w="0" w:type="dxa"/>
            <w:bottom w:w="0" w:type="dxa"/>
            <w:right w:w="0" w:type="dxa"/>
          </w:tblCellMar>
        </w:tblPrEx>
        <w:trPr>
          <w:trHeight w:val="380" w:hRule="atLeast"/>
          <w:jc w:val="center"/>
        </w:trPr>
        <w:tc>
          <w:tcPr>
            <w:tcW w:w="801"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2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79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73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69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65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r>
      <w:tr>
        <w:tblPrEx>
          <w:tblCellMar>
            <w:top w:w="0" w:type="dxa"/>
            <w:left w:w="0" w:type="dxa"/>
            <w:bottom w:w="0" w:type="dxa"/>
            <w:right w:w="0" w:type="dxa"/>
          </w:tblCellMar>
        </w:tblPrEx>
        <w:trPr>
          <w:trHeight w:val="380" w:hRule="atLeast"/>
          <w:jc w:val="center"/>
        </w:trPr>
        <w:tc>
          <w:tcPr>
            <w:tcW w:w="801"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2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9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3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9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5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801"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2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9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3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9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5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92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7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73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69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c>
          <w:tcPr>
            <w:tcW w:w="6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r>
      <w:tr>
        <w:tblPrEx>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r>
              <w:rPr>
                <w:rFonts w:hint="eastAsia" w:ascii="宋体" w:hAnsi="宋体" w:eastAsia="宋体" w:cs="宋体"/>
                <w:b/>
                <w:color w:val="000000"/>
                <w:sz w:val="22"/>
              </w:rPr>
              <w:t>908.98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r>
              <w:rPr>
                <w:rFonts w:hint="eastAsia" w:ascii="宋体" w:hAnsi="宋体" w:eastAsia="宋体" w:cs="宋体"/>
                <w:b/>
                <w:color w:val="000000"/>
                <w:sz w:val="22"/>
              </w:rPr>
              <w:t>908.98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一般公共服务支出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196.66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196.66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20131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党委办公厅（室）及相关机构事务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196.66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196.66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2013101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行政运行</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196.66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196.66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社会保障和就业支出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703.58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703.58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行政事业单位离退休</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703.58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703.58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归口管理的行政单位离退休</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678.55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678.55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离退休人员管理机构</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8.94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8.94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机关事业单位基本养老保险缴费支出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9.69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9.69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机关事业单位职业年金缴费支出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6.39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6.39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210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卫生健康支出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3.79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3.79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21011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行政事业单位医疗</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3.79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3.79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2101101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行政单位医疗</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3.79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3.79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住房保障支出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4.96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4.96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22102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住房改革支出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4.96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4.96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2210201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住房公积金</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4.96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4.96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注：本表反映部门本年度取得的各项收入情况。</w:t>
            </w:r>
          </w:p>
        </w:tc>
      </w:tr>
    </w:tbl>
    <w:p>
      <w:pPr>
        <w:jc w:val="left"/>
      </w:pPr>
    </w:p>
    <w:p>
      <w:r>
        <w:br w:type="page"/>
      </w:r>
    </w:p>
    <w:tbl>
      <w:tblPr>
        <w:tblStyle w:val="6"/>
        <w:tblW w:w="9680" w:type="dxa"/>
        <w:jc w:val="center"/>
        <w:tblLayout w:type="fixed"/>
        <w:tblCellMar>
          <w:top w:w="0" w:type="dxa"/>
          <w:left w:w="0" w:type="dxa"/>
          <w:bottom w:w="0" w:type="dxa"/>
          <w:right w:w="0" w:type="dxa"/>
        </w:tblCellMar>
      </w:tblPr>
      <w:tblGrid>
        <w:gridCol w:w="941"/>
        <w:gridCol w:w="53"/>
        <w:gridCol w:w="111"/>
        <w:gridCol w:w="1865"/>
        <w:gridCol w:w="655"/>
        <w:gridCol w:w="1161"/>
        <w:gridCol w:w="1161"/>
        <w:gridCol w:w="1161"/>
        <w:gridCol w:w="1161"/>
        <w:gridCol w:w="1411"/>
      </w:tblGrid>
      <w:tr>
        <w:tblPrEx>
          <w:tblCellMar>
            <w:top w:w="0" w:type="dxa"/>
            <w:left w:w="0" w:type="dxa"/>
            <w:bottom w:w="0" w:type="dxa"/>
            <w:right w:w="0" w:type="dxa"/>
          </w:tblCellMar>
        </w:tblPrEx>
        <w:trPr>
          <w:trHeight w:val="612"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支出决算表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86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5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411" w:type="dxa"/>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公开03表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86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5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572"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23" w:hRule="atLeast"/>
          <w:jc w:val="center"/>
        </w:trPr>
        <w:tc>
          <w:tcPr>
            <w:tcW w:w="297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w:t>
            </w:r>
          </w:p>
        </w:tc>
        <w:tc>
          <w:tcPr>
            <w:tcW w:w="65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本年支出合计</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基本支出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上缴上级支出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经营支出</w:t>
            </w:r>
          </w:p>
        </w:tc>
        <w:tc>
          <w:tcPr>
            <w:tcW w:w="141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对附属单位补助支出</w:t>
            </w:r>
          </w:p>
        </w:tc>
      </w:tr>
      <w:tr>
        <w:tblPrEx>
          <w:tblCellMar>
            <w:top w:w="0" w:type="dxa"/>
            <w:left w:w="0" w:type="dxa"/>
            <w:bottom w:w="0" w:type="dxa"/>
            <w:right w:w="0" w:type="dxa"/>
          </w:tblCellMar>
        </w:tblPrEx>
        <w:trPr>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功能分类科目编码</w:t>
            </w:r>
          </w:p>
        </w:tc>
        <w:tc>
          <w:tcPr>
            <w:tcW w:w="1865"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科目名称</w:t>
            </w:r>
          </w:p>
        </w:tc>
        <w:tc>
          <w:tcPr>
            <w:tcW w:w="65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r>
      <w:tr>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86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65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86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65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297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6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w:t>
            </w:r>
          </w:p>
        </w:tc>
      </w:tr>
      <w:tr>
        <w:tblPrEx>
          <w:tblCellMar>
            <w:top w:w="0" w:type="dxa"/>
            <w:left w:w="0" w:type="dxa"/>
            <w:bottom w:w="0" w:type="dxa"/>
            <w:right w:w="0" w:type="dxa"/>
          </w:tblCellMar>
        </w:tblPrEx>
        <w:trPr>
          <w:trHeight w:val="323" w:hRule="atLeast"/>
          <w:jc w:val="center"/>
        </w:trPr>
        <w:tc>
          <w:tcPr>
            <w:tcW w:w="297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合计</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908.98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577.13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331.85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w:t>
            </w:r>
          </w:p>
        </w:tc>
        <w:tc>
          <w:tcPr>
            <w:tcW w:w="18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一般公共服务支出</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196.66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196.66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20131</w:t>
            </w:r>
          </w:p>
        </w:tc>
        <w:tc>
          <w:tcPr>
            <w:tcW w:w="18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党委办公厅（室）及相关机构事务</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196.66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196.66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2013101</w:t>
            </w:r>
          </w:p>
        </w:tc>
        <w:tc>
          <w:tcPr>
            <w:tcW w:w="18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行政运行</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196.66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196.66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w:t>
            </w:r>
          </w:p>
        </w:tc>
        <w:tc>
          <w:tcPr>
            <w:tcW w:w="18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社会保障和就业支出</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703.58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371.73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331.85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w:t>
            </w:r>
          </w:p>
        </w:tc>
        <w:tc>
          <w:tcPr>
            <w:tcW w:w="18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行政事业单位离退休</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703.58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371.73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331.85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2080501</w:t>
            </w:r>
          </w:p>
        </w:tc>
        <w:tc>
          <w:tcPr>
            <w:tcW w:w="18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归口管理的行政单位离退休</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678.55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355.65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322.91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2080503</w:t>
            </w:r>
          </w:p>
        </w:tc>
        <w:tc>
          <w:tcPr>
            <w:tcW w:w="18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离退休人员管理机构</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8.94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8.94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2080505</w:t>
            </w:r>
          </w:p>
        </w:tc>
        <w:tc>
          <w:tcPr>
            <w:tcW w:w="18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机关事业单位基本养老保险缴费支出</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9.69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9.69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2080506</w:t>
            </w:r>
          </w:p>
        </w:tc>
        <w:tc>
          <w:tcPr>
            <w:tcW w:w="18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机关事业单位职业年金缴费支出</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6.39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6.39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210</w:t>
            </w:r>
          </w:p>
        </w:tc>
        <w:tc>
          <w:tcPr>
            <w:tcW w:w="18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卫生健康支出</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3.79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3.79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21011</w:t>
            </w:r>
          </w:p>
        </w:tc>
        <w:tc>
          <w:tcPr>
            <w:tcW w:w="18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行政事业单位医疗</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3.79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3.79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2101101</w:t>
            </w:r>
          </w:p>
        </w:tc>
        <w:tc>
          <w:tcPr>
            <w:tcW w:w="18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行政单位医疗</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3.79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3.79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w:t>
            </w:r>
          </w:p>
        </w:tc>
        <w:tc>
          <w:tcPr>
            <w:tcW w:w="18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住房保障支出</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4.96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4.96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22102</w:t>
            </w:r>
          </w:p>
        </w:tc>
        <w:tc>
          <w:tcPr>
            <w:tcW w:w="18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住房改革支出</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4.96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4.96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2210201</w:t>
            </w:r>
          </w:p>
        </w:tc>
        <w:tc>
          <w:tcPr>
            <w:tcW w:w="18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住房公积金</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4.96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4.96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注：本表反映部门本年度各项支出情况。</w:t>
            </w:r>
          </w:p>
        </w:tc>
      </w:tr>
    </w:tbl>
    <w:p>
      <w:r>
        <w:br w:type="page"/>
      </w:r>
    </w:p>
    <w:tbl>
      <w:tblPr>
        <w:tblStyle w:val="6"/>
        <w:tblW w:w="9990" w:type="dxa"/>
        <w:jc w:val="center"/>
        <w:tblLayout w:type="fixed"/>
        <w:tblCellMar>
          <w:top w:w="0" w:type="dxa"/>
          <w:left w:w="0" w:type="dxa"/>
          <w:bottom w:w="0" w:type="dxa"/>
          <w:right w:w="0" w:type="dxa"/>
        </w:tblCellMar>
      </w:tblPr>
      <w:tblGrid>
        <w:gridCol w:w="1174"/>
        <w:gridCol w:w="67"/>
        <w:gridCol w:w="67"/>
        <w:gridCol w:w="1695"/>
        <w:gridCol w:w="2329"/>
        <w:gridCol w:w="2329"/>
        <w:gridCol w:w="1859"/>
        <w:gridCol w:w="470"/>
      </w:tblGrid>
      <w:tr>
        <w:tblPrEx>
          <w:tblCellMar>
            <w:top w:w="0" w:type="dxa"/>
            <w:left w:w="0" w:type="dxa"/>
            <w:bottom w:w="0" w:type="dxa"/>
            <w:right w:w="0" w:type="dxa"/>
          </w:tblCellMar>
        </w:tblPrEx>
        <w:trPr>
          <w:gridAfter w:val="1"/>
          <w:wAfter w:w="470" w:type="dxa"/>
          <w:trHeight w:val="406" w:hRule="atLeast"/>
          <w:jc w:val="center"/>
        </w:trPr>
        <w:tc>
          <w:tcPr>
            <w:tcW w:w="9520" w:type="dxa"/>
            <w:gridSpan w:val="7"/>
            <w:tcBorders>
              <w:top w:val="nil"/>
              <w:left w:val="nil"/>
              <w:bottom w:val="nil"/>
              <w:right w:val="nil"/>
            </w:tcBorders>
            <w:shd w:val="clear" w:color="auto" w:fill="auto"/>
            <w:noWrap/>
            <w:tcMar>
              <w:top w:w="15" w:type="dxa"/>
              <w:left w:w="15" w:type="dxa"/>
              <w:right w:w="15" w:type="dxa"/>
            </w:tcMar>
            <w:vAlign w:val="bottom"/>
          </w:tcPr>
          <w:p>
            <w:pPr>
              <w:spacing w:line="320" w:lineRule="exact"/>
              <w:jc w:val="center"/>
              <w:rPr>
                <w:rFonts w:ascii="黑体" w:hAnsi="宋体" w:eastAsia="黑体" w:cs="黑体"/>
                <w:color w:val="000000"/>
                <w:sz w:val="32"/>
                <w:szCs w:val="32"/>
              </w:rPr>
            </w:pPr>
            <w:r>
              <w:rPr>
                <w:rFonts w:hint="eastAsia" w:ascii="黑体" w:hAnsi="宋体" w:eastAsia="黑体" w:cs="黑体"/>
                <w:color w:val="000000"/>
                <w:kern w:val="0"/>
                <w:sz w:val="32"/>
                <w:szCs w:val="32"/>
              </w:rPr>
              <w:t>财政拨款收入支出决算总表</w:t>
            </w:r>
          </w:p>
        </w:tc>
      </w:tr>
      <w:tr>
        <w:tblPrEx>
          <w:tblCellMar>
            <w:top w:w="0" w:type="dxa"/>
            <w:left w:w="0" w:type="dxa"/>
            <w:bottom w:w="0" w:type="dxa"/>
            <w:right w:w="0" w:type="dxa"/>
          </w:tblCellMar>
        </w:tblPrEx>
        <w:trPr>
          <w:trHeight w:val="600" w:hRule="atLeast"/>
          <w:jc w:val="center"/>
        </w:trPr>
        <w:tc>
          <w:tcPr>
            <w:tcW w:w="9990" w:type="dxa"/>
            <w:gridSpan w:val="8"/>
            <w:tcBorders>
              <w:top w:val="nil"/>
              <w:left w:val="nil"/>
              <w:bottom w:val="nil"/>
              <w:right w:val="nil"/>
            </w:tcBorders>
            <w:shd w:val="clear" w:color="auto" w:fill="auto"/>
            <w:noWrap/>
            <w:tcMar>
              <w:top w:w="15" w:type="dxa"/>
              <w:left w:w="15" w:type="dxa"/>
              <w:right w:w="15" w:type="dxa"/>
            </w:tcMar>
            <w:vAlign w:val="center"/>
          </w:tcPr>
          <w:tbl>
            <w:tblPr>
              <w:tblStyle w:val="6"/>
              <w:tblW w:w="9736" w:type="dxa"/>
              <w:tblInd w:w="0" w:type="dxa"/>
              <w:tblLayout w:type="fixed"/>
              <w:tblCellMar>
                <w:top w:w="0" w:type="dxa"/>
                <w:left w:w="108" w:type="dxa"/>
                <w:bottom w:w="0" w:type="dxa"/>
                <w:right w:w="108" w:type="dxa"/>
              </w:tblCellMar>
            </w:tblPr>
            <w:tblGrid>
              <w:gridCol w:w="2317"/>
              <w:gridCol w:w="465"/>
              <w:gridCol w:w="748"/>
              <w:gridCol w:w="2456"/>
              <w:gridCol w:w="446"/>
              <w:gridCol w:w="498"/>
              <w:gridCol w:w="291"/>
              <w:gridCol w:w="560"/>
              <w:gridCol w:w="148"/>
              <w:gridCol w:w="702"/>
              <w:gridCol w:w="853"/>
              <w:gridCol w:w="252"/>
            </w:tblGrid>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ascii="宋体" w:hAnsi="宋体" w:eastAsia="宋体" w:cs="宋体"/>
                      <w:kern w:val="0"/>
                      <w:sz w:val="15"/>
                      <w:szCs w:val="15"/>
                    </w:rPr>
                  </w:pPr>
                </w:p>
              </w:tc>
              <w:tc>
                <w:tcPr>
                  <w:tcW w:w="46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9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554" w:type="dxa"/>
                  <w:gridSpan w:val="5"/>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公开04表</w:t>
                  </w:r>
                </w:p>
              </w:tc>
            </w:tr>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部门：</w:t>
                  </w:r>
                </w:p>
              </w:tc>
              <w:tc>
                <w:tcPr>
                  <w:tcW w:w="465" w:type="dxa"/>
                  <w:tcBorders>
                    <w:top w:val="nil"/>
                    <w:left w:val="nil"/>
                    <w:bottom w:val="nil"/>
                    <w:right w:val="nil"/>
                  </w:tcBorders>
                  <w:shd w:val="clear" w:color="auto" w:fill="auto"/>
                  <w:vAlign w:val="bottom"/>
                </w:tcPr>
                <w:p>
                  <w:pPr>
                    <w:widowControl/>
                    <w:spacing w:line="240" w:lineRule="exact"/>
                    <w:jc w:val="left"/>
                    <w:rPr>
                      <w:rFonts w:ascii="宋体" w:hAnsi="宋体" w:eastAsia="宋体" w:cs="Arial"/>
                      <w:color w:val="000000"/>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9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51" w:type="dxa"/>
                  <w:gridSpan w:val="2"/>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703" w:type="dxa"/>
                  <w:gridSpan w:val="3"/>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金额单位：万元</w:t>
                  </w:r>
                </w:p>
              </w:tc>
            </w:tr>
            <w:tr>
              <w:tblPrEx>
                <w:tblCellMar>
                  <w:top w:w="0" w:type="dxa"/>
                  <w:left w:w="108" w:type="dxa"/>
                  <w:bottom w:w="0" w:type="dxa"/>
                  <w:right w:w="108" w:type="dxa"/>
                </w:tblCellMar>
              </w:tblPrEx>
              <w:trPr>
                <w:gridAfter w:val="1"/>
                <w:wAfter w:w="252" w:type="dxa"/>
                <w:trHeight w:val="90" w:hRule="atLeast"/>
              </w:trPr>
              <w:tc>
                <w:tcPr>
                  <w:tcW w:w="35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5954" w:type="dxa"/>
                  <w:gridSpan w:val="8"/>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gridAfter w:val="1"/>
                <w:wAfter w:w="252" w:type="dxa"/>
                <w:trHeight w:val="312" w:hRule="atLeast"/>
              </w:trPr>
              <w:tc>
                <w:tcPr>
                  <w:tcW w:w="2317"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65"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48"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2456"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46"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89" w:type="dxa"/>
                  <w:gridSpan w:val="2"/>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708" w:type="dxa"/>
                  <w:gridSpan w:val="2"/>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702"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853"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trHeight w:val="90" w:hRule="atLeast"/>
              </w:trPr>
              <w:tc>
                <w:tcPr>
                  <w:tcW w:w="2317"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465"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48"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2456"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446"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89" w:type="dxa"/>
                  <w:gridSpan w:val="2"/>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08" w:type="dxa"/>
                  <w:gridSpan w:val="2"/>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02"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853"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252" w:type="dxa"/>
                  <w:tcBorders>
                    <w:top w:val="nil"/>
                    <w:left w:val="nil"/>
                    <w:bottom w:val="nil"/>
                    <w:right w:val="nil"/>
                  </w:tcBorders>
                  <w:shd w:val="clear" w:color="auto" w:fill="auto"/>
                  <w:noWrap/>
                  <w:vAlign w:val="bottom"/>
                </w:tcPr>
                <w:p>
                  <w:pPr>
                    <w:widowControl/>
                    <w:jc w:val="center"/>
                    <w:rPr>
                      <w:rFonts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908.98</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一、一般公共服务支出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33</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196.66</w:t>
                  </w: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196.66</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二、外交支出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34</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三、国有资本经营财政拨款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三、国防支出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35</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四、公共安全支出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36</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五、教育支出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37</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六、科学技术支出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38</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7</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七、文化旅游体育与传媒支出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39</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8</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八、社会保障和就业支出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40</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703.58</w:t>
                  </w: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703.58</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9</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九、卫生健康支出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41</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3.79</w:t>
                  </w: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cs="Times New Roman"/>
                      <w:kern w:val="0"/>
                      <w:sz w:val="15"/>
                      <w:szCs w:val="15"/>
                    </w:rPr>
                  </w:pPr>
                  <w:r>
                    <w:rPr>
                      <w:rFonts w:hint="eastAsia" w:ascii="Times New Roman" w:hAnsi="Times New Roman" w:cs="Times New Roman"/>
                      <w:kern w:val="0"/>
                      <w:sz w:val="15"/>
                      <w:szCs w:val="15"/>
                    </w:rPr>
                    <w:t>3.79</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10</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十、节能环保支出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42</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十一、城乡社区支出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43</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十二、农林水支出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44</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13</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十三、交通运输支出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45</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14</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十四、资源勘探工业信息等支出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46</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15</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十五、商业服务业等支出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47</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16</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十六、金融支出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48</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17</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十七、援助其他地区支出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49</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18</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十八、自然资源海洋气象等支出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50</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19</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十九、住房保障支出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51</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4.96</w:t>
                  </w: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cs="Times New Roman"/>
                      <w:kern w:val="0"/>
                      <w:sz w:val="15"/>
                      <w:szCs w:val="15"/>
                    </w:rPr>
                  </w:pPr>
                  <w:r>
                    <w:rPr>
                      <w:rFonts w:hint="eastAsia" w:ascii="Times New Roman" w:hAnsi="Times New Roman" w:cs="Times New Roman"/>
                      <w:kern w:val="0"/>
                      <w:sz w:val="15"/>
                      <w:szCs w:val="15"/>
                    </w:rPr>
                    <w:t>4.96</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20</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二十、粮油物资储备支出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52</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二十一、国有资本经营预算支出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53</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3"/>
                      <w:szCs w:val="13"/>
                    </w:rPr>
                    <w:t>二十二、灾害防治及应急管理支出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54</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23</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二十三、其他支出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55</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25</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二十五、债务付息支出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57</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26</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二十六、抗疫特别国债安排的支出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58</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本年收入合计</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27</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908.98</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本年支出合计</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59</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908.98</w:t>
                  </w: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cs="Times New Roman"/>
                      <w:kern w:val="0"/>
                      <w:sz w:val="15"/>
                      <w:szCs w:val="15"/>
                    </w:rPr>
                  </w:pPr>
                  <w:r>
                    <w:rPr>
                      <w:rFonts w:hint="eastAsia" w:ascii="Times New Roman" w:hAnsi="Times New Roman" w:cs="Times New Roman"/>
                      <w:kern w:val="0"/>
                      <w:sz w:val="15"/>
                      <w:szCs w:val="15"/>
                    </w:rPr>
                    <w:t>908.98</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年初财政拨款结转和结余</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28</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年末财政拨款结转和结余</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60</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29</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61</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30</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62</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国有资本经营预算财政拨款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63</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总计</w:t>
                  </w:r>
                </w:p>
              </w:tc>
              <w:tc>
                <w:tcPr>
                  <w:tcW w:w="465" w:type="dxa"/>
                  <w:tcBorders>
                    <w:top w:val="nil"/>
                    <w:left w:val="nil"/>
                    <w:bottom w:val="single" w:color="000000" w:sz="8"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908.98</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总计</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64</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908.98</w:t>
                  </w: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cs="Times New Roman"/>
                      <w:kern w:val="0"/>
                      <w:sz w:val="15"/>
                      <w:szCs w:val="15"/>
                    </w:rPr>
                  </w:pPr>
                  <w:r>
                    <w:rPr>
                      <w:rFonts w:hint="eastAsia" w:ascii="Times New Roman" w:hAnsi="Times New Roman" w:cs="Times New Roman"/>
                      <w:kern w:val="0"/>
                      <w:sz w:val="15"/>
                      <w:szCs w:val="15"/>
                    </w:rPr>
                    <w:t>908.98</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11"/>
                  <w:tcBorders>
                    <w:top w:val="nil"/>
                    <w:left w:val="nil"/>
                    <w:bottom w:val="nil"/>
                    <w:right w:val="single" w:color="000000" w:sz="4" w:space="0"/>
                  </w:tcBorders>
                  <w:shd w:val="clear" w:color="auto" w:fill="auto"/>
                  <w:vAlign w:val="center"/>
                </w:tcPr>
                <w:p>
                  <w:pPr>
                    <w:widowControl/>
                    <w:spacing w:line="200" w:lineRule="exact"/>
                    <w:jc w:val="left"/>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11"/>
                  <w:tcBorders>
                    <w:top w:val="nil"/>
                    <w:left w:val="nil"/>
                    <w:bottom w:val="nil"/>
                    <w:right w:val="nil"/>
                  </w:tcBorders>
                  <w:shd w:val="clear" w:color="auto" w:fill="auto"/>
                  <w:vAlign w:val="center"/>
                </w:tcPr>
                <w:p>
                  <w:pPr>
                    <w:widowControl/>
                    <w:spacing w:line="240" w:lineRule="exact"/>
                    <w:jc w:val="left"/>
                    <w:rPr>
                      <w:rFonts w:ascii="宋体" w:hAnsi="宋体" w:eastAsia="宋体" w:cs="Arial"/>
                      <w:color w:val="000000"/>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一般公共预算财政拨款支出决算表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公开05表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08" w:hRule="atLeast"/>
          <w:jc w:val="center"/>
        </w:trPr>
        <w:tc>
          <w:tcPr>
            <w:tcW w:w="300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w:t>
            </w:r>
          </w:p>
        </w:tc>
        <w:tc>
          <w:tcPr>
            <w:tcW w:w="6987"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本年支出</w:t>
            </w:r>
          </w:p>
        </w:tc>
      </w:tr>
      <w:tr>
        <w:tblPrEx>
          <w:tblCellMar>
            <w:top w:w="0" w:type="dxa"/>
            <w:left w:w="0" w:type="dxa"/>
            <w:bottom w:w="0" w:type="dxa"/>
            <w:right w:w="0" w:type="dxa"/>
          </w:tblCellMar>
        </w:tblPrEx>
        <w:trPr>
          <w:trHeight w:val="312" w:hRule="atLeast"/>
          <w:jc w:val="center"/>
        </w:trPr>
        <w:tc>
          <w:tcPr>
            <w:tcW w:w="130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功能分类科目编码</w:t>
            </w:r>
          </w:p>
        </w:tc>
        <w:tc>
          <w:tcPr>
            <w:tcW w:w="1695"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科目名称</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小计</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基本支出</w:t>
            </w:r>
          </w:p>
        </w:tc>
        <w:tc>
          <w:tcPr>
            <w:tcW w:w="232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项目支出</w:t>
            </w: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300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r>
      <w:tr>
        <w:tblPrEx>
          <w:tblCellMar>
            <w:top w:w="0" w:type="dxa"/>
            <w:left w:w="0" w:type="dxa"/>
            <w:bottom w:w="0" w:type="dxa"/>
            <w:right w:w="0" w:type="dxa"/>
          </w:tblCellMar>
        </w:tblPrEx>
        <w:trPr>
          <w:trHeight w:val="308" w:hRule="atLeast"/>
          <w:jc w:val="center"/>
        </w:trPr>
        <w:tc>
          <w:tcPr>
            <w:tcW w:w="300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合计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908.98</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577.13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331.85</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一般公共服务支出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196.66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196.66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20131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党委办公厅（室）及相关机构事务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196.66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196.66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2013101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行政运行</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196.66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196.66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社会保障和就业支出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703.58</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371.73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331.85</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行政事业单位离退休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703.58</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371.73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331.85</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归口管理的行政单位离退休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678.55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355.65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322.91</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2080503</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离退休人员管理机构</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8.94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8.94</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机关事业单位基本养老保险缴费支出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9.69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9.69</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2080506</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机关事业单位职业年金缴费支出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6.39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6.39</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210</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卫生健康支出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3.79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3.79</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21011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行政事业单位医疗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3.79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3.79</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2101101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行政单位医疗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3.79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3.79</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住房保障支出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4.96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4.96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住房改革支出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4.96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4.96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2210201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cs="Arial" w:asciiTheme="majorEastAsia" w:hAnsiTheme="majorEastAsia" w:eastAsiaTheme="majorEastAsia"/>
                <w:color w:val="000000"/>
                <w:sz w:val="20"/>
                <w:szCs w:val="20"/>
              </w:rPr>
              <w:t>住房公积金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4.96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4.96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r>
    </w:tbl>
    <w:p>
      <w:r>
        <w:br w:type="page"/>
      </w:r>
    </w:p>
    <w:p>
      <w:pPr>
        <w:widowControl/>
        <w:jc w:val="center"/>
        <w:textAlignment w:val="center"/>
        <w:rPr>
          <w:rFonts w:ascii="黑体" w:hAnsi="宋体" w:eastAsia="黑体" w:cs="黑体"/>
          <w:color w:val="000000"/>
          <w:kern w:val="0"/>
          <w:sz w:val="28"/>
          <w:szCs w:val="28"/>
        </w:rPr>
        <w:sectPr>
          <w:pgSz w:w="11906" w:h="16838"/>
          <w:pgMar w:top="2098" w:right="1531" w:bottom="1984" w:left="1531" w:header="851" w:footer="992" w:gutter="0"/>
          <w:cols w:space="425" w:num="1"/>
          <w:docGrid w:type="lines" w:linePitch="312" w:charSpace="0"/>
        </w:sectPr>
      </w:pPr>
    </w:p>
    <w:tbl>
      <w:tblPr>
        <w:tblStyle w:val="6"/>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rPr>
              <w:t>公开06表</w:t>
            </w:r>
          </w:p>
        </w:tc>
      </w:tr>
      <w:tr>
        <w:tblPrEx>
          <w:tblCellMar>
            <w:top w:w="0" w:type="dxa"/>
            <w:left w:w="0" w:type="dxa"/>
            <w:bottom w:w="0" w:type="dxa"/>
            <w:right w:w="0" w:type="dxa"/>
          </w:tblCellMar>
        </w:tblPrEx>
        <w:trPr>
          <w:trHeight w:val="61"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rPr>
              <w:t>部门：</w:t>
            </w: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179.90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8.95</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128.70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0.36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12.54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13.83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9.69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6.39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0.36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3.79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4.96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388.29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244.90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120.46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22.85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0.07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3.29</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5"/>
                <w:szCs w:val="15"/>
              </w:rPr>
              <w:t>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2.01</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2.93</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568.19</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r>
              <w:rPr>
                <w:rFonts w:hint="eastAsia" w:ascii="宋体" w:hAnsi="宋体" w:eastAsia="宋体" w:cs="宋体"/>
                <w:color w:val="000000"/>
                <w:sz w:val="16"/>
                <w:szCs w:val="16"/>
              </w:rPr>
              <w:t>8.95</w:t>
            </w:r>
          </w:p>
        </w:tc>
      </w:tr>
    </w:tbl>
    <w:p>
      <w:pPr>
        <w:widowControl/>
        <w:jc w:val="center"/>
        <w:textAlignment w:val="center"/>
        <w:sectPr>
          <w:pgSz w:w="16838" w:h="11906" w:orient="landscape"/>
          <w:pgMar w:top="1531" w:right="2098" w:bottom="1531" w:left="1984" w:header="851" w:footer="992" w:gutter="0"/>
          <w:cols w:space="425" w:num="1"/>
          <w:docGrid w:type="lines" w:linePitch="312" w:charSpace="0"/>
        </w:sectPr>
      </w:pPr>
    </w:p>
    <w:tbl>
      <w:tblPr>
        <w:tblStyle w:val="6"/>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公开07表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5.40</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5.00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5.00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0.40</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2.01</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2.01</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2.01</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6"/>
        <w:tblW w:w="9510" w:type="dxa"/>
        <w:jc w:val="center"/>
        <w:tblLayout w:type="autofit"/>
        <w:tblCellMar>
          <w:top w:w="0" w:type="dxa"/>
          <w:left w:w="0" w:type="dxa"/>
          <w:bottom w:w="0" w:type="dxa"/>
          <w:right w:w="0" w:type="dxa"/>
        </w:tblCellMar>
      </w:tblPr>
      <w:tblGrid>
        <w:gridCol w:w="967"/>
        <w:gridCol w:w="61"/>
        <w:gridCol w:w="61"/>
        <w:gridCol w:w="1407"/>
        <w:gridCol w:w="1169"/>
        <w:gridCol w:w="1169"/>
        <w:gridCol w:w="1169"/>
        <w:gridCol w:w="1169"/>
        <w:gridCol w:w="1169"/>
        <w:gridCol w:w="1169"/>
      </w:tblGrid>
      <w:tr>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政府性基金预算财政拨款收入支出决算表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公开08表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年初结转和结余</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本年收入</w:t>
            </w:r>
          </w:p>
        </w:tc>
        <w:tc>
          <w:tcPr>
            <w:tcW w:w="345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本年支出</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年末结转和结余</w:t>
            </w:r>
          </w:p>
        </w:tc>
      </w:tr>
      <w:tr>
        <w:tblPrEx>
          <w:tblCellMar>
            <w:top w:w="0" w:type="dxa"/>
            <w:left w:w="0" w:type="dxa"/>
            <w:bottom w:w="0" w:type="dxa"/>
            <w:right w:w="0" w:type="dxa"/>
          </w:tblCellMar>
        </w:tblPrEx>
        <w:trPr>
          <w:trHeight w:val="312" w:hRule="atLeast"/>
          <w:jc w:val="center"/>
        </w:trPr>
        <w:tc>
          <w:tcPr>
            <w:tcW w:w="113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基本支出</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项目支出</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6</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tabs>
          <w:tab w:val="left" w:pos="1329"/>
        </w:tabs>
        <w:rPr>
          <w:rFonts w:ascii="宋体" w:hAnsi="宋体" w:eastAsia="宋体" w:cs="宋体"/>
        </w:rPr>
      </w:pPr>
      <w:r>
        <w:rPr>
          <w:rFonts w:hint="eastAsia" w:ascii="宋体" w:hAnsi="宋体" w:eastAsia="宋体" w:cs="宋体"/>
          <w:sz w:val="20"/>
          <w:szCs w:val="22"/>
        </w:rPr>
        <w:t>注：</w:t>
      </w:r>
      <w:r>
        <w:rPr>
          <w:rFonts w:hint="eastAsia" w:ascii="宋体" w:hAnsi="宋体" w:eastAsia="宋体" w:cs="宋体"/>
        </w:rPr>
        <w:t>本部门本年度无政府性基金预算财政拨款相关收支情况，按要求空表列示。</w:t>
      </w:r>
    </w:p>
    <w:p>
      <w:pPr>
        <w:rPr>
          <w:b/>
          <w:sz w:val="20"/>
          <w:szCs w:val="22"/>
          <w:highlight w:val="yellow"/>
        </w:rPr>
      </w:pPr>
    </w:p>
    <w:tbl>
      <w:tblPr>
        <w:tblStyle w:val="6"/>
        <w:tblW w:w="9064" w:type="dxa"/>
        <w:tblInd w:w="0" w:type="dxa"/>
        <w:tblLayout w:type="autofit"/>
        <w:tblCellMar>
          <w:top w:w="0" w:type="dxa"/>
          <w:left w:w="0" w:type="dxa"/>
          <w:bottom w:w="0" w:type="dxa"/>
          <w:right w:w="0" w:type="dxa"/>
        </w:tblCellMar>
      </w:tblPr>
      <w:tblGrid>
        <w:gridCol w:w="63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国有资本经营预算财政拨款支出决算表</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tabs>
          <w:tab w:val="left" w:pos="1329"/>
        </w:tabs>
        <w:rPr>
          <w:rFonts w:ascii="宋体" w:hAnsi="宋体" w:eastAsia="宋体" w:cs="宋体"/>
        </w:rPr>
      </w:pPr>
      <w:r>
        <w:rPr>
          <w:rFonts w:hint="eastAsia" w:ascii="宋体" w:hAnsi="宋体" w:eastAsia="宋体" w:cs="宋体"/>
        </w:rPr>
        <w:t>注：本部门本年度无国有资本经营预算财政拨款相关收支情况，按要求空表列示。</w:t>
      </w:r>
    </w:p>
    <w:p>
      <w:pPr>
        <w:rPr>
          <w:rFonts w:ascii="黑体" w:hAnsi="黑体" w:eastAsia="黑体" w:cs="黑体"/>
          <w:sz w:val="56"/>
          <w:szCs w:val="72"/>
          <w:highlight w:val="yellow"/>
        </w:rPr>
      </w:pPr>
    </w:p>
    <w:p>
      <w:pPr>
        <w:rPr>
          <w:rFonts w:ascii="黑体" w:hAnsi="黑体" w:eastAsia="黑体" w:cs="黑体"/>
          <w:sz w:val="56"/>
          <w:szCs w:val="72"/>
        </w:rPr>
      </w:pPr>
    </w:p>
    <w:p>
      <w:pPr>
        <w:tabs>
          <w:tab w:val="left" w:pos="235"/>
        </w:tabs>
        <w:spacing w:line="600" w:lineRule="exact"/>
        <w:jc w:val="left"/>
        <w:rPr>
          <w:rFonts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mc:AlternateContent>
          <mc:Choice Requires="wps">
            <w:drawing>
              <wp:anchor distT="0" distB="0" distL="114300" distR="114300" simplePos="0" relativeHeight="251665408" behindDoc="0" locked="0" layoutInCell="1" allowOverlap="1">
                <wp:simplePos x="0" y="0"/>
                <wp:positionH relativeFrom="column">
                  <wp:posOffset>-993140</wp:posOffset>
                </wp:positionH>
                <wp:positionV relativeFrom="paragraph">
                  <wp:posOffset>-1353820</wp:posOffset>
                </wp:positionV>
                <wp:extent cx="7632700" cy="10695940"/>
                <wp:effectExtent l="0" t="0" r="2540" b="2540"/>
                <wp:wrapNone/>
                <wp:docPr id="4"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rgbClr val="BDD7EE">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78.2pt;margin-top:-106.6pt;height:842.2pt;width:601pt;z-index:251665408;v-text-anchor:middle;mso-width-relative:page;mso-height-relative:page;" fillcolor="#E5EFF8" filled="t" stroked="f" coordsize="21600,21600" o:gfxdata="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ZTdAntwAAAAPAQAADwAAAAAAAAABACAAAAAiAAAAZHJzL2Rvd25yZXYueG1sUEsBAhQA&#10;FAAAAAgAh07iQIu5FX6ZAgAAHwUAAA4AAAAAAAAAAQAgAAAAKwEAAGRycy9lMm9Eb2MueG1sUEsF&#10;BgAAAAAGAAYAWQEAADYGAAAAAA==&#10;">
                <v:fill on="t" focussize="0,0"/>
                <v:stroke on="f" weight="1pt" miterlimit="8" joinstyle="miter"/>
                <v:imagedata o:title=""/>
                <o:lock v:ext="edit" aspectratio="f"/>
              </v:rect>
            </w:pict>
          </mc:Fallback>
        </mc:AlternateConten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Cambria">
    <w:panose1 w:val="02040503050406030204"/>
    <w:charset w:val="00"/>
    <w:family w:val="roman"/>
    <w:pitch w:val="default"/>
    <w:sig w:usb0="E00006FF" w:usb1="420024FF" w:usb2="02000000" w:usb3="00000000" w:csb0="2000019F" w:csb1="00000000"/>
  </w:font>
  <w:font w:name="DengXian-Regular">
    <w:altName w:val="宋体"/>
    <w:panose1 w:val="00000000000000000000"/>
    <w:charset w:val="86"/>
    <w:family w:val="auto"/>
    <w:pitch w:val="default"/>
    <w:sig w:usb0="00000000" w:usb1="00000000" w:usb2="00000010" w:usb3="00000000" w:csb0="00040000" w:csb1="00000000"/>
  </w:font>
  <w:font w:name="Mongolian Baiti">
    <w:panose1 w:val="03000500000000000000"/>
    <w:charset w:val="00"/>
    <w:family w:val="script"/>
    <w:pitch w:val="default"/>
    <w:sig w:usb0="80000023" w:usb1="00000000" w:usb2="00020000" w:usb3="00000000" w:csb0="00000001"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5F222FFA"/>
    <w:multiLevelType w:val="singleLevel"/>
    <w:tmpl w:val="5F222FFA"/>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C45458"/>
    <w:rsid w:val="00011060"/>
    <w:rsid w:val="00061A05"/>
    <w:rsid w:val="000C2520"/>
    <w:rsid w:val="000D05E2"/>
    <w:rsid w:val="00133EAA"/>
    <w:rsid w:val="00144EB1"/>
    <w:rsid w:val="001856E1"/>
    <w:rsid w:val="0018668E"/>
    <w:rsid w:val="001B73D2"/>
    <w:rsid w:val="001E62BF"/>
    <w:rsid w:val="002245EC"/>
    <w:rsid w:val="002678F7"/>
    <w:rsid w:val="00271A11"/>
    <w:rsid w:val="00293E7B"/>
    <w:rsid w:val="002D1F4F"/>
    <w:rsid w:val="00366D90"/>
    <w:rsid w:val="003D678E"/>
    <w:rsid w:val="003E4624"/>
    <w:rsid w:val="00423C39"/>
    <w:rsid w:val="005B443F"/>
    <w:rsid w:val="005E7350"/>
    <w:rsid w:val="0063490E"/>
    <w:rsid w:val="00662F47"/>
    <w:rsid w:val="006831DC"/>
    <w:rsid w:val="006C040A"/>
    <w:rsid w:val="006C0A1A"/>
    <w:rsid w:val="006D49E7"/>
    <w:rsid w:val="006F07D0"/>
    <w:rsid w:val="0077379A"/>
    <w:rsid w:val="0077752E"/>
    <w:rsid w:val="007D76AB"/>
    <w:rsid w:val="007F2226"/>
    <w:rsid w:val="00801F66"/>
    <w:rsid w:val="00847C88"/>
    <w:rsid w:val="009168D3"/>
    <w:rsid w:val="00917C02"/>
    <w:rsid w:val="009334BF"/>
    <w:rsid w:val="009C7EAF"/>
    <w:rsid w:val="009D14EE"/>
    <w:rsid w:val="00A02722"/>
    <w:rsid w:val="00A14CCC"/>
    <w:rsid w:val="00A44A50"/>
    <w:rsid w:val="00A46F57"/>
    <w:rsid w:val="00A76A21"/>
    <w:rsid w:val="00B071F9"/>
    <w:rsid w:val="00B423B8"/>
    <w:rsid w:val="00B7169E"/>
    <w:rsid w:val="00B86D65"/>
    <w:rsid w:val="00B943AE"/>
    <w:rsid w:val="00BB4D83"/>
    <w:rsid w:val="00BE04FE"/>
    <w:rsid w:val="00C34BAF"/>
    <w:rsid w:val="00C45278"/>
    <w:rsid w:val="00E23423"/>
    <w:rsid w:val="00E4517B"/>
    <w:rsid w:val="00EB79D2"/>
    <w:rsid w:val="00ED5F0C"/>
    <w:rsid w:val="00F047B3"/>
    <w:rsid w:val="00F623D7"/>
    <w:rsid w:val="00F8515E"/>
    <w:rsid w:val="058B71E0"/>
    <w:rsid w:val="0EA325C9"/>
    <w:rsid w:val="2FB96948"/>
    <w:rsid w:val="3327616A"/>
    <w:rsid w:val="34C45458"/>
    <w:rsid w:val="35C83C42"/>
    <w:rsid w:val="5D0C63C4"/>
    <w:rsid w:val="632F3889"/>
    <w:rsid w:val="73D824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9"/>
    <w:qFormat/>
    <w:uiPriority w:val="0"/>
    <w:rPr>
      <w:sz w:val="18"/>
      <w:szCs w:val="18"/>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7">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9">
    <w:name w:val="批注框文本 Char"/>
    <w:basedOn w:val="8"/>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png"/><Relationship Id="rId15" Type="http://schemas.openxmlformats.org/officeDocument/2006/relationships/chart" Target="charts/chart1.xml"/><Relationship Id="rId14" Type="http://schemas.openxmlformats.org/officeDocument/2006/relationships/image" Target="media/image2.bmp"/><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r>
              <a:rPr lang="en-US" alt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2019-2020</a:t>
            </a:r>
            <a:r>
              <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年收支总计对比情况（图</a:t>
            </a:r>
            <a:r>
              <a:rPr lang="en-US" alt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1</a:t>
            </a:r>
            <a:r>
              <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a:t>
            </a:r>
            <a:endPar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endParaRPr>
          </a:p>
        </c:rich>
      </c:tx>
      <c:layout>
        <c:manualLayout>
          <c:xMode val="edge"/>
          <c:yMode val="edge"/>
          <c:x val="0.209718361608105"/>
          <c:y val="0.846648044692738"/>
        </c:manualLayout>
      </c:layout>
      <c:overlay val="0"/>
      <c:spPr>
        <a:noFill/>
        <a:ln>
          <a:noFill/>
        </a:ln>
        <a:effectLst/>
      </c:spPr>
    </c:title>
    <c:autoTitleDeleted val="0"/>
    <c:plotArea>
      <c:layout>
        <c:manualLayout>
          <c:layoutTarget val="inner"/>
          <c:xMode val="edge"/>
          <c:yMode val="edge"/>
          <c:x val="0.123946243127673"/>
          <c:y val="0.0879888268156425"/>
          <c:w val="0.778772144166158"/>
          <c:h val="0.619106145251397"/>
        </c:manualLayout>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2019年</c:v>
                </c:pt>
                <c:pt idx="1">
                  <c:v>2020年</c:v>
                </c:pt>
              </c:strCache>
            </c:strRef>
          </c:cat>
          <c:val>
            <c:numRef>
              <c:f>Sheet1!$B$2:$B$3</c:f>
              <c:numCache>
                <c:formatCode>General</c:formatCode>
                <c:ptCount val="2"/>
                <c:pt idx="0">
                  <c:v>1242.68</c:v>
                </c:pt>
                <c:pt idx="1">
                  <c:v>908.98</c:v>
                </c:pt>
              </c:numCache>
            </c:numRef>
          </c:val>
        </c:ser>
        <c:dLbls>
          <c:showLegendKey val="0"/>
          <c:showVal val="1"/>
          <c:showCatName val="0"/>
          <c:showSerName val="0"/>
          <c:showPercent val="0"/>
          <c:showBubbleSize val="0"/>
        </c:dLbls>
        <c:gapWidth val="219"/>
        <c:overlap val="-27"/>
        <c:axId val="99272576"/>
        <c:axId val="101381248"/>
      </c:barChart>
      <c:catAx>
        <c:axId val="992725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crossAx val="101381248"/>
        <c:crosses val="autoZero"/>
        <c:auto val="1"/>
        <c:lblAlgn val="ctr"/>
        <c:lblOffset val="100"/>
        <c:noMultiLvlLbl val="0"/>
      </c:catAx>
      <c:valAx>
        <c:axId val="101381248"/>
        <c:scaling>
          <c:orientation val="minMax"/>
        </c:scaling>
        <c:delete val="0"/>
        <c:axPos val="l"/>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crossAx val="9927257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legendEntry>
      <c:layout>
        <c:manualLayout>
          <c:xMode val="edge"/>
          <c:yMode val="edge"/>
          <c:x val="0.830312807730551"/>
          <c:y val="0.363173169828044"/>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legend>
    <c:plotVisOnly val="1"/>
    <c:dispBlanksAs val="gap"/>
    <c:showDLblsOverMax val="0"/>
  </c:chart>
  <c:spPr>
    <a:solidFill>
      <a:schemeClr val="bg1"/>
    </a:solidFill>
    <a:ln w="9525" cap="flat" cmpd="sng" algn="ctr">
      <a:noFill/>
      <a:prstDash val="solid"/>
      <a:round/>
    </a:ln>
    <a:effectLst/>
  </c:spPr>
  <c:txPr>
    <a:bodyPr/>
    <a:lstStyle/>
    <a:p>
      <a:pPr>
        <a:defRPr 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18592C-5985-4BCA-BBE4-6DEE810DB63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28</Pages>
  <Words>1818</Words>
  <Characters>10368</Characters>
  <Lines>86</Lines>
  <Paragraphs>24</Paragraphs>
  <TotalTime>2</TotalTime>
  <ScaleCrop>false</ScaleCrop>
  <LinksUpToDate>false</LinksUpToDate>
  <CharactersWithSpaces>12162</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晁宇</cp:lastModifiedBy>
  <dcterms:modified xsi:type="dcterms:W3CDTF">2021-10-11T07:38:37Z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6E8904479D0B4B81A1BE5854DE87F803</vt:lpwstr>
  </property>
</Properties>
</file>