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260" w:firstLineChars="600"/>
        <w:rPr>
          <w:rFonts w:ascii="黑体" w:hAnsi="黑体" w:eastAsia="黑体" w:cs="黑体"/>
          <w:sz w:val="72"/>
          <w:szCs w:val="96"/>
        </w:rPr>
      </w:pP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2" cstate="print"/>
                    <a:srcRect/>
                    <a:stretch>
                      <a:fillRect/>
                    </a:stretch>
                  </pic:blipFill>
                  <pic:spPr>
                    <a:xfrm>
                      <a:off x="0" y="0"/>
                      <a:ext cx="7559675" cy="10689590"/>
                    </a:xfrm>
                    <a:prstGeom prst="rect">
                      <a:avLst/>
                    </a:prstGeom>
                  </pic:spPr>
                </pic:pic>
              </a:graphicData>
            </a:graphic>
          </wp:anchor>
        </w:drawing>
      </w:r>
      <w:r>
        <w:br w:type="page"/>
      </w:r>
      <w:r>
        <w:rPr>
          <w:rFonts w:hint="eastAsia" w:ascii="黑体" w:hAnsi="黑体" w:eastAsia="黑体" w:cs="黑体"/>
          <w:sz w:val="72"/>
          <w:szCs w:val="96"/>
        </w:rPr>
        <w:t>保定市满城区白龙乡</w:t>
      </w:r>
    </w:p>
    <w:p>
      <w:pPr>
        <w:jc w:val="center"/>
        <w:rPr>
          <w:rFonts w:ascii="黑体" w:hAnsi="黑体" w:eastAsia="黑体" w:cs="黑体"/>
          <w:sz w:val="72"/>
          <w:szCs w:val="96"/>
          <w:highlight w:val="yellow"/>
        </w:rPr>
      </w:pPr>
      <w:r>
        <w:rPr>
          <w:rFonts w:hint="eastAsia" w:ascii="黑体" w:hAnsi="黑体" w:eastAsia="黑体" w:cs="黑体"/>
          <w:sz w:val="72"/>
          <w:szCs w:val="96"/>
        </w:rPr>
        <w:t>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13"/>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（一）宣传贯彻执行党的路线方针政策和党中央、上级党组织及本乡党员代表大会</w:t>
      </w:r>
      <w:r>
        <w:rPr>
          <w:rFonts w:ascii="仿宋_GB2312" w:eastAsia="仿宋_GB2312" w:cs="Arial Black"/>
          <w:kern w:val="0"/>
          <w:sz w:val="32"/>
          <w:szCs w:val="32"/>
        </w:rPr>
        <w:t>(</w:t>
      </w:r>
      <w:r>
        <w:rPr>
          <w:rFonts w:hint="eastAsia" w:ascii="仿宋_GB2312" w:eastAsia="仿宋_GB2312" w:cs="Arial Black"/>
          <w:kern w:val="0"/>
          <w:sz w:val="32"/>
          <w:szCs w:val="32"/>
        </w:rPr>
        <w:t>党员大会</w:t>
      </w:r>
      <w:r>
        <w:rPr>
          <w:rFonts w:ascii="仿宋_GB2312" w:eastAsia="仿宋_GB2312" w:cs="Arial Black"/>
          <w:kern w:val="0"/>
          <w:sz w:val="32"/>
          <w:szCs w:val="32"/>
        </w:rPr>
        <w:t>)</w:t>
      </w:r>
      <w:r>
        <w:rPr>
          <w:rFonts w:hint="eastAsia" w:ascii="仿宋_GB2312" w:eastAsia="仿宋_GB2312" w:cs="Arial Black"/>
          <w:kern w:val="0"/>
          <w:sz w:val="32"/>
          <w:szCs w:val="32"/>
        </w:rPr>
        <w:t>的决议。贯彻执行法律、法规、规章和上级人民代表大会及其常务委员会决议及上级政府的决定、命令，执行本级人民代表大会的决议。</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（三）讨论和决定本乡经济建设、政治建设、文化建设、社会建设、生态文明建设和党的建设以及乡村振兴中的重大问题。</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600" w:lineRule="exact"/>
        <w:ind w:firstLine="640" w:firstLineChars="200"/>
        <w:jc w:val="left"/>
        <w:rPr>
          <w:rFonts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乡便民服务平台标准化建设，实行“一站式服务”“一枚印章管审批（服务）”，提升群众获得感和幸福感。</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（七）乡党委领导乡政权机关、群团组织和其他各类组织</w:t>
      </w:r>
      <w:r>
        <w:rPr>
          <w:rFonts w:ascii="仿宋_GB2312" w:eastAsia="仿宋_GB2312" w:cs="Arial Black"/>
          <w:kern w:val="0"/>
          <w:sz w:val="32"/>
          <w:szCs w:val="32"/>
        </w:rPr>
        <w:t>,</w:t>
      </w:r>
      <w:r>
        <w:rPr>
          <w:rFonts w:hint="eastAsia" w:ascii="仿宋_GB2312" w:eastAsia="仿宋_GB2312" w:cs="Arial Black"/>
          <w:kern w:val="0"/>
          <w:sz w:val="32"/>
          <w:szCs w:val="32"/>
        </w:rPr>
        <w:t>加强指导和规范，支持和保证这些机关和组织依照国家法律法规以及各自章程履行职责。坚持党管武装的根本原则和制度</w:t>
      </w:r>
      <w:r>
        <w:rPr>
          <w:rFonts w:ascii="仿宋_GB2312" w:eastAsia="仿宋_GB2312" w:cs="Arial Black"/>
          <w:kern w:val="0"/>
          <w:sz w:val="32"/>
          <w:szCs w:val="32"/>
        </w:rPr>
        <w:t>,</w:t>
      </w:r>
      <w:r>
        <w:rPr>
          <w:rFonts w:hint="eastAsia" w:ascii="仿宋_GB2312" w:eastAsia="仿宋_GB2312" w:cs="Arial Black"/>
          <w:kern w:val="0"/>
          <w:sz w:val="32"/>
          <w:szCs w:val="32"/>
        </w:rPr>
        <w:t>协调各方力量，对乡人民武装工作实行统一领导。</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（八）加强乡党委自身建设和村党组织建设，以及其他隶属乡党委的党组织建设，抓好发展党员工作，加强党员队伍建设。维护和执行党的纪律，监督党员干部和其他任何工作人员严格遵守国家法律法规。</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（九）按照干部管理权限，负责对干部的教育、培训、选拔、考核和监督工作。协助管理上级有关部门驻乡单位的干部。做好人才服务工作。</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（十）领导本乡的基层治理，加强社会主义民主法治建设和精神文明建设，加强社会治安综合治理</w:t>
      </w:r>
      <w:r>
        <w:rPr>
          <w:rFonts w:ascii="仿宋_GB2312" w:eastAsia="仿宋_GB2312" w:cs="Arial Black"/>
          <w:kern w:val="0"/>
          <w:sz w:val="32"/>
          <w:szCs w:val="32"/>
        </w:rPr>
        <w:t>,推行</w:t>
      </w:r>
      <w:r>
        <w:rPr>
          <w:rFonts w:hint="eastAsia" w:ascii="仿宋_GB2312" w:eastAsia="仿宋_GB2312" w:cs="Arial Black"/>
          <w:kern w:val="0"/>
          <w:sz w:val="32"/>
          <w:szCs w:val="32"/>
        </w:rPr>
        <w:t>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年度本部门决算汇编范围的独立核算单位（以下简称“单位”）共1个，具体情况如下：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保定市满城区白龙乡人民政府(本级)</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3360;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13"/>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pStyle w:val="9"/>
        <w:keepNext/>
        <w:keepLines/>
        <w:numPr>
          <w:ilvl w:val="0"/>
          <w:numId w:val="1"/>
        </w:numPr>
        <w:snapToGrid w:val="0"/>
        <w:spacing w:line="600" w:lineRule="exact"/>
        <w:ind w:firstLineChars="0"/>
        <w:outlineLvl w:val="1"/>
        <w:rPr>
          <w:rFonts w:ascii="黑体" w:hAnsi="Calibri" w:eastAsia="黑体" w:cs="Times New Roman"/>
          <w:sz w:val="32"/>
          <w:szCs w:val="32"/>
        </w:rPr>
      </w:pPr>
      <w:r>
        <w:br w:type="page"/>
      </w:r>
      <w:r>
        <w:rPr>
          <w:rFonts w:hint="eastAsia" w:ascii="黑体" w:hAnsi="Calibri" w:eastAsia="黑体" w:cs="Times New Roman"/>
          <w:sz w:val="32"/>
          <w:szCs w:val="32"/>
        </w:rPr>
        <w:t>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20年度收入总计（含结转和结余）874.80万元。与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9年度决算相比，收入增加92.90万元，增长11.88%，主要原因是增加了</w:t>
      </w:r>
      <w:r>
        <w:rPr>
          <w:rFonts w:hint="eastAsia" w:ascii="仿宋_GB2312" w:hAnsi="Times New Roman" w:eastAsia="仿宋_GB2312" w:cs="DengXian-Regular"/>
          <w:color w:val="000000" w:themeColor="text1"/>
          <w:sz w:val="32"/>
          <w:szCs w:val="32"/>
        </w:rPr>
        <w:t>对农业生产发展项目的收入</w:t>
      </w:r>
      <w:r>
        <w:rPr>
          <w:rFonts w:hint="eastAsia" w:ascii="仿宋_GB2312" w:hAnsi="Times New Roman" w:eastAsia="仿宋_GB2312" w:cs="DengXian-Regular"/>
          <w:sz w:val="32"/>
          <w:szCs w:val="32"/>
        </w:rPr>
        <w:t>。支出总计（含结转和结余）874.80万元。与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9年度决算相比，支出增加92.90万元，增长11.88%，主要原因是增加了对农业生产发展项目的支出。</w:t>
      </w:r>
    </w:p>
    <w:p>
      <w:pPr>
        <w:adjustRightInd w:val="0"/>
        <w:snapToGrid w:val="0"/>
        <w:spacing w:line="600" w:lineRule="exact"/>
        <w:ind w:firstLine="640" w:firstLineChars="200"/>
        <w:rPr>
          <w:rFonts w:ascii="仿宋_GB2312" w:hAnsi="Times New Roman" w:eastAsia="仿宋_GB2312" w:cs="Wingdings"/>
          <w:sz w:val="32"/>
          <w:szCs w:val="32"/>
          <w:highlight w:val="yellow"/>
        </w:rPr>
      </w:pP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本部门2020年度本年收入合计874.80万元，其中：财政拨款收入874.80万元，占100%；事业收入0.00万元，占0 %；经营收入0.00万元，占0 %；其他收入0.00万元，占0 %。</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800" w:firstLineChars="25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本部门2020年度本年支出合计874.00万元，其中：基本支出503.12万元，占57.57%；项目支出370.88万元，占42.43%；经营支出0.00万元，占0 %。如图所示：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874.80万元,比2019年度增加92.90万元，增长11.88%，主要是增加了对农业生产发展的项目收入；本年支出874.00万元，增加92.10万元，增长11.78%，主要是增加了对农业生产发展的项目支出。</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874.80万元，完成年初预算的117.01%,比年初预算增加127.15万元，决算数大于预算数主要原因是追加了项目支出；本年支出874.00万元，完成年初预算的116.90%,比年初预算增加126.35万元，决算数大于预算数主要原因是主要是完成了追加的项目支出。</w:t>
      </w:r>
    </w:p>
    <w:p>
      <w:pPr>
        <w:numPr>
          <w:ilvl w:val="0"/>
          <w:numId w:val="2"/>
        </w:num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874.00万元，主要用于以下方面：一般公共服务（类）支出447.68万元，占51.23%，；文化旅游体育与传媒（类）支出12.00万元，占1.37%；社会保障和就业（类）支出62.67万元，占7.17%；卫生健康（类）支出25.73万元，占2.94%；农林水（类）支出307.23万元，占35.15%；住房保障（类）支出18.70万元，占 2.14%。</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年度财政拨款基本支出503.13万元，其中：人员经费 465.30万元，主要包括基本工资、津贴补贴、奖金、绩效工资、机关事业单位基本养老保险缴费、职业年金缴费、职工基本医疗保险缴费、住房公积金、其他社会保障缴费、退休费、抚恤金、生活补助、奖励金；公用经费 37.83万元，主要包括办公费、邮电费、取暖费、公务用车运行维护费、其他交通费用、其他商品和服务支出。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本部门2020年度“三公”经费财政拨款支出预算为7.20万元，支出决算为7.20元，完成预算的100%,与年初预算持平；较2019年度减少0.82万元，降低10.22%，主要是我单位</w:t>
      </w:r>
      <w:r>
        <w:rPr>
          <w:rFonts w:hint="eastAsia" w:ascii="仿宋_GB2312" w:hAnsi="宋体" w:eastAsia="仿宋_GB2312"/>
          <w:sz w:val="32"/>
          <w:szCs w:val="32"/>
        </w:rPr>
        <w:t>厉行节约，压缩三公经费支出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本部门2020年因公出国（境）费支出0.00万元，完成预算的100%。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与年初预算持平，未发生因公出国（境）费支出；因公出国（境）费支出与2019年度决算支出持平，未发生因公出国（境）费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本部门2020年公务用车购置及运行维护费支出7.20万元，完成预算的100%，与年初预算数持平</w:t>
      </w:r>
      <w:r>
        <w:rPr>
          <w:rFonts w:hint="eastAsia" w:ascii="仿宋_GB2312" w:hAnsi="Times New Roman" w:eastAsia="仿宋_GB2312" w:cs="Wingdings"/>
          <w:sz w:val="32"/>
          <w:szCs w:val="32"/>
        </w:rPr>
        <w:t>；较上年减少0.82万元，降低10.22%,主要是我单位</w:t>
      </w:r>
      <w:r>
        <w:rPr>
          <w:rFonts w:hint="eastAsia" w:ascii="仿宋_GB2312" w:hAnsi="宋体" w:eastAsia="仿宋_GB2312"/>
          <w:sz w:val="32"/>
          <w:szCs w:val="32"/>
        </w:rPr>
        <w:t>厉行节约，压缩三公经费支出</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本部门2020年度公务用车购置量0辆，发生“公务用车购置”经费支出0.00万元。公务用车购置费支出与年初预算持平；与2019年度决算支出持平。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本部门2020年度单位公务用车保有量2辆,发生运行维护费支出7.20万元，。公车运行维护费支出与年初预算持平；较上年减少0.82万元，降低10.22%，主要是我单位</w:t>
      </w:r>
      <w:r>
        <w:rPr>
          <w:rFonts w:hint="eastAsia" w:ascii="仿宋_GB2312" w:hAnsi="宋体" w:eastAsia="仿宋_GB2312"/>
          <w:sz w:val="32"/>
          <w:szCs w:val="32"/>
        </w:rPr>
        <w:t>厉行节约，压缩三公经费支出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本部门2020年公务接待费支出0.00万元，完成预算的100%。发生</w:t>
      </w:r>
      <w:r>
        <w:rPr>
          <w:rFonts w:hint="eastAsia" w:ascii="仿宋_GB2312" w:hAnsi="Times New Roman" w:eastAsia="仿宋_GB2312" w:cs="Wingdings"/>
          <w:sz w:val="32"/>
          <w:szCs w:val="32"/>
        </w:rPr>
        <w:t>公务接待共0批次、0人次。公务接待费支出与年初预算持平；与2019年度决算支出持平。</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根据预算绩效管理要求，本部门组织对2020年度项目支出全面开展绩效自评，其中，一般公共预算一级项目14个，二级项目0个，共涉及资金370.88万元，占一般公共预算项目支出总额的100%。</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拆除东龙门村、南水峪村、北水峪村涉河违建所需经费”、“信访重点人稳控经费”2个一级项目开展了部门评价，涉及一般公共预算支出33.00万元。从评价情况来看，本部门对2个项目均能按时、按质、按量对资金予以作用及发放到位。</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本部门在今年部门决算公开中反映拆除东龙门村、南水峪村、北水峪村涉河违建所需经费及信访重点人稳控经费2个项目绩效自评结果。</w:t>
      </w:r>
    </w:p>
    <w:p>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拆除东龙门村、南水峪村、北水峪村涉河违建所需经费项目自评综述：根据年初设定的绩效目标，拆除东龙门村、南水峪村、北水峪村涉河违建所需经费项目绩效自评得分为100分。全年预算数为30.00万元，执行数为30.00万元，完成预算的100 %。项目绩效目标完成情况：一是完成了本乡涉河违建的拆除工作；二是保护了本乡的生态环境。发现的主要问题及原因：无。下一步改进措施：无。</w:t>
      </w:r>
    </w:p>
    <w:p>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信访重点人稳控经费项目自评综述：根据年初设定的绩效目标，信访重点人稳控经费项目绩效自评得分为100分（绩效自评表附后）。全年预算数为3.00万元，执行数为3.00万元，完成预算的100 %。项目绩效目标完成情况：一是维护村内稳定和正常秩序；二是保证了乡政府各项工作的稳定开展。发现的主要问题及原因：无。下一步改进措施：无。</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hint="eastAsia" w:ascii="楷体_GB2312" w:hAnsi="楷体_GB2312" w:eastAsia="楷体_GB2312" w:cs="楷体_GB2312"/>
          <w:b/>
          <w:bCs/>
          <w:sz w:val="32"/>
          <w:szCs w:val="32"/>
        </w:rPr>
        <w:t>（三）财政评价项目绩效评价结果</w:t>
      </w:r>
      <w:r>
        <w:rPr>
          <w:rFonts w:hint="eastAsia" w:ascii="仿宋_GB2312" w:hAnsi="仿宋_GB2312" w:eastAsia="仿宋_GB2312" w:cs="仿宋_GB2312"/>
          <w:b/>
          <w:bCs/>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本部门2020年度机关运行经费支出37.83万元，比2019年度减少39.88万元，降低54.85%。主要原因是</w:t>
      </w:r>
      <w:r>
        <w:rPr>
          <w:rFonts w:hint="eastAsia" w:ascii="仿宋_GB2312" w:hAnsi="Times New Roman" w:eastAsia="仿宋_GB2312" w:cs="Wingdings"/>
          <w:sz w:val="32"/>
          <w:szCs w:val="32"/>
        </w:rPr>
        <w:t>单位</w:t>
      </w:r>
      <w:r>
        <w:rPr>
          <w:rFonts w:hint="eastAsia" w:ascii="仿宋_GB2312" w:hAnsi="宋体" w:eastAsia="仿宋_GB2312"/>
          <w:sz w:val="32"/>
          <w:szCs w:val="32"/>
        </w:rPr>
        <w:t>厉行节约，压缩机关运行经费支出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Times New Roman" w:eastAsia="仿宋_GB2312" w:cs="DengXian-Regular"/>
          <w:sz w:val="32"/>
          <w:szCs w:val="32"/>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w:t>
      </w:r>
    </w:p>
    <w:p>
      <w:pPr>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2辆，与上年保有数持平。其中，副部（省）级及以上领导用车0辆，主要领导干部用车0辆，机要通信用车0辆，应急保障用车0辆，执法执勤用车0辆，特种专业技术用车0辆，离退休干部用车0辆，其他用车2辆，其他用车主要是防火巡逻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单位价值50万元以上通用设备0台（套），与上年持平，单位价值100万元以上专用设备0台（套），与上年持平。</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w:t>
      </w:r>
      <w:r>
        <w:rPr>
          <w:rFonts w:hint="eastAsia" w:ascii="仿宋_GB2312" w:hAnsi="Times New Roman" w:eastAsia="仿宋_GB2312" w:cs="DengXian-Regular"/>
          <w:sz w:val="32"/>
          <w:szCs w:val="32"/>
        </w:rPr>
        <w:t>政府性基金预算财政拨款收入支出决算表、国有资本经营预算财政拨款支出决算表</w:t>
      </w:r>
      <w:r>
        <w:rPr>
          <w:rFonts w:hint="eastAsia" w:ascii="仿宋_GB2312" w:hAnsi="仿宋_GB2312" w:eastAsia="仿宋_GB2312" w:cs="仿宋_GB2312"/>
          <w:sz w:val="32"/>
          <w:szCs w:val="32"/>
        </w:rPr>
        <w:t>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233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13"/>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3"/>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center"/>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center"/>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center"/>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center"/>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center"/>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874.80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447.68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62.67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25.73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307.23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18.70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874.80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874.00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0.80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874.80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874.80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6"/>
        <w:tblW w:w="0" w:type="auto"/>
        <w:jc w:val="center"/>
        <w:tblLayout w:type="fixed"/>
        <w:tblCellMar>
          <w:top w:w="0" w:type="dxa"/>
          <w:left w:w="0" w:type="dxa"/>
          <w:bottom w:w="0" w:type="dxa"/>
          <w:right w:w="0" w:type="dxa"/>
        </w:tblCellMar>
      </w:tblPr>
      <w:tblGrid>
        <w:gridCol w:w="883"/>
        <w:gridCol w:w="50"/>
        <w:gridCol w:w="50"/>
        <w:gridCol w:w="3430"/>
        <w:gridCol w:w="799"/>
        <w:gridCol w:w="799"/>
        <w:gridCol w:w="511"/>
        <w:gridCol w:w="581"/>
        <w:gridCol w:w="281"/>
        <w:gridCol w:w="286"/>
        <w:gridCol w:w="683"/>
        <w:gridCol w:w="521"/>
      </w:tblGrid>
      <w:tr>
        <w:tblPrEx>
          <w:tblCellMar>
            <w:top w:w="0" w:type="dxa"/>
            <w:left w:w="0" w:type="dxa"/>
            <w:bottom w:w="0" w:type="dxa"/>
            <w:right w:w="0" w:type="dxa"/>
          </w:tblCellMar>
        </w:tblPrEx>
        <w:trPr>
          <w:trHeight w:val="670" w:hRule="atLeast"/>
          <w:jc w:val="center"/>
        </w:trPr>
        <w:tc>
          <w:tcPr>
            <w:tcW w:w="8874" w:type="dxa"/>
            <w:gridSpan w:val="12"/>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88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4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9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88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4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1"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41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7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7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5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58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567"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68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52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98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343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98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4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98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4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41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7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8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441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874.80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874.80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448.48</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448.48</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448.48</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448.48</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190.07</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190.07</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30.00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30.00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214.40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214.40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12.00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62.67</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62.67</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62.67</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62.67</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7.13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7.13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10.14</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10.14</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41.43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41.43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3.96</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3.96</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25.73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25.73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10.00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10.00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15.73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15.73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7.42</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7.42</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8.31</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8.31</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307.23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307.23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115.89</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115.89</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110.01</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110.01</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2130152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对高校毕业生到基层任职补助</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5.88</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5.88</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191.34</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191.34</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38.43</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38.43</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152.90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152.90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3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18.70</w:t>
            </w:r>
          </w:p>
        </w:tc>
        <w:tc>
          <w:tcPr>
            <w:tcW w:w="5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874" w:type="dxa"/>
            <w:gridSpan w:val="12"/>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6"/>
        <w:tblW w:w="0" w:type="auto"/>
        <w:jc w:val="center"/>
        <w:tblLayout w:type="autofit"/>
        <w:tblCellMar>
          <w:top w:w="0" w:type="dxa"/>
          <w:left w:w="0" w:type="dxa"/>
          <w:bottom w:w="0" w:type="dxa"/>
          <w:right w:w="0" w:type="dxa"/>
        </w:tblCellMar>
      </w:tblPr>
      <w:tblGrid>
        <w:gridCol w:w="913"/>
        <w:gridCol w:w="58"/>
        <w:gridCol w:w="58"/>
        <w:gridCol w:w="3430"/>
        <w:gridCol w:w="792"/>
        <w:gridCol w:w="659"/>
        <w:gridCol w:w="659"/>
        <w:gridCol w:w="561"/>
        <w:gridCol w:w="488"/>
        <w:gridCol w:w="1256"/>
      </w:tblGrid>
      <w:tr>
        <w:tblPrEx>
          <w:tblCellMar>
            <w:top w:w="0" w:type="dxa"/>
            <w:left w:w="0" w:type="dxa"/>
            <w:bottom w:w="0" w:type="dxa"/>
            <w:right w:w="0" w:type="dxa"/>
          </w:tblCellMar>
        </w:tblPrEx>
        <w:trPr>
          <w:trHeight w:val="612" w:hRule="atLeast"/>
          <w:jc w:val="center"/>
        </w:trPr>
        <w:tc>
          <w:tcPr>
            <w:tcW w:w="0" w:type="auto"/>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0" w:type="auto"/>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0" w:type="auto"/>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0" w:type="auto"/>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874.00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503.12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b/>
                <w:color w:val="000000"/>
                <w:sz w:val="18"/>
                <w:szCs w:val="18"/>
              </w:rPr>
            </w:pPr>
            <w:r>
              <w:rPr>
                <w:rFonts w:hint="eastAsia" w:ascii="宋体" w:hAnsi="宋体" w:eastAsia="宋体" w:cs="宋体"/>
                <w:b/>
                <w:color w:val="000000"/>
                <w:sz w:val="18"/>
                <w:szCs w:val="18"/>
              </w:rPr>
              <w:t>370.88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447.68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403.68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447.68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403.68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189.31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189.31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214.36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214.36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10.14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10.14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41.43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41.43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25.73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7.42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7.42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307.23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307.23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115.89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115.89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110.01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110.01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2130152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对高校毕业生到基层任职补助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5.88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5.88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191.34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2.35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188.98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38.43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38.43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152.90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2.35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150.55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3093"/>
        <w:gridCol w:w="1559"/>
        <w:gridCol w:w="2126"/>
        <w:gridCol w:w="1434"/>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273"/>
              <w:gridCol w:w="183"/>
              <w:gridCol w:w="242"/>
              <w:gridCol w:w="204"/>
              <w:gridCol w:w="498"/>
              <w:gridCol w:w="85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7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25"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02"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27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5"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874.80</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447.68</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447.68</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12.00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12.00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62.67</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62.67</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25.73</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25.73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307.23</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307.23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18.70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874.80</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874.00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874.00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0.80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0.80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874.80</w:t>
                  </w:r>
                </w:p>
              </w:tc>
              <w:tc>
                <w:tcPr>
                  <w:tcW w:w="227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0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874.80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874.80</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09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5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03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09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5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03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440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5589"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09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1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90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09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09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40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440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874.00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503.12</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370.88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30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447.68</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403.68</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30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447.68</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403.68</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44.00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30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189.31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189.31</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30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30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30.00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214.36</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214.36</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12.00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62.67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7.13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7.13</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10.14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10.14</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41.43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41.43</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3.96</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3.96</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25.73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15.73</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7.42</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7.42</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8.31</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8.31</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307.23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307.23</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115.89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115.89</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110.01</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110.01</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2130152</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对高校毕业生到基层任职补助</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5.88</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5.88</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191.34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2.35</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188.98</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38.43</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38.43</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152.90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2.35</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150.55</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309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155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18.70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431.48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37.83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304.82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3.34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16.45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44.39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15.73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33.82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15.16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8.91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0.12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456.30</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37.83</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bookmarkStart w:id="0" w:name="_GoBack"/>
            <w:bookmarkEnd w:id="0"/>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7.20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注：本表反映部门本年度政府性基金预算财政拨款收入、支出及结转结余情况。</w:t>
      </w:r>
      <w:r>
        <w:rPr>
          <w:rFonts w:hint="eastAsia"/>
        </w:rPr>
        <w:t>本部门本年度无相关支出情况，按要求以空表列示。</w:t>
      </w:r>
      <w:r>
        <w:br w:type="page"/>
      </w: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r>
        <w:rPr>
          <w:rFonts w:hint="eastAsia" w:ascii="宋体" w:hAnsi="宋体" w:eastAsia="宋体" w:cs="宋体"/>
        </w:rPr>
        <w:t>注：本表反映部门本年度国有资本经营预算财政拨款收入、支出及结转结余情况。</w:t>
      </w:r>
      <w:r>
        <w:rPr>
          <w:rFonts w:hint="eastAsia"/>
        </w:rPr>
        <w:t>本部门本年度无相关支出情况，按要求以空表列示。</w:t>
      </w:r>
      <w:r>
        <w:br w:type="page"/>
      </w: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4384;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TdAn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E15344"/>
    <w:multiLevelType w:val="multilevel"/>
    <w:tmpl w:val="43E15344"/>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0869C8"/>
    <w:rsid w:val="000D4D17"/>
    <w:rsid w:val="00151D54"/>
    <w:rsid w:val="00161629"/>
    <w:rsid w:val="00172AED"/>
    <w:rsid w:val="0018668E"/>
    <w:rsid w:val="001B73D2"/>
    <w:rsid w:val="001C63B5"/>
    <w:rsid w:val="001E62BF"/>
    <w:rsid w:val="00293E7B"/>
    <w:rsid w:val="002C5234"/>
    <w:rsid w:val="002D1F4F"/>
    <w:rsid w:val="00366D90"/>
    <w:rsid w:val="00393FB9"/>
    <w:rsid w:val="003D678E"/>
    <w:rsid w:val="003E16E6"/>
    <w:rsid w:val="00414A74"/>
    <w:rsid w:val="0047158C"/>
    <w:rsid w:val="005453BE"/>
    <w:rsid w:val="005A7E5E"/>
    <w:rsid w:val="006E7367"/>
    <w:rsid w:val="006F1E18"/>
    <w:rsid w:val="00794B9D"/>
    <w:rsid w:val="007A15C4"/>
    <w:rsid w:val="007D398E"/>
    <w:rsid w:val="007E283B"/>
    <w:rsid w:val="00801F66"/>
    <w:rsid w:val="008E6C1C"/>
    <w:rsid w:val="00907AF5"/>
    <w:rsid w:val="0091399E"/>
    <w:rsid w:val="009334BF"/>
    <w:rsid w:val="009842E8"/>
    <w:rsid w:val="00AD59D8"/>
    <w:rsid w:val="00B12F10"/>
    <w:rsid w:val="00B13F0A"/>
    <w:rsid w:val="00C84361"/>
    <w:rsid w:val="00C927B6"/>
    <w:rsid w:val="00CE6D32"/>
    <w:rsid w:val="00D34F2A"/>
    <w:rsid w:val="00D66149"/>
    <w:rsid w:val="00E15778"/>
    <w:rsid w:val="00F73D3B"/>
    <w:rsid w:val="00FB0DAA"/>
    <w:rsid w:val="00FB51BD"/>
    <w:rsid w:val="058B71E0"/>
    <w:rsid w:val="0EA325C9"/>
    <w:rsid w:val="2FB96948"/>
    <w:rsid w:val="3327616A"/>
    <w:rsid w:val="34C45458"/>
    <w:rsid w:val="35C83C42"/>
    <w:rsid w:val="3DA30ED9"/>
    <w:rsid w:val="4D387935"/>
    <w:rsid w:val="5D0C63C4"/>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9">
    <w:name w:val="List Paragraph"/>
    <w:basedOn w:val="1"/>
    <w:unhideWhenUsed/>
    <w:uiPriority w:val="99"/>
    <w:pPr>
      <w:ind w:firstLine="420" w:firstLineChars="200"/>
    </w:pPr>
  </w:style>
  <w:style w:type="character" w:customStyle="1" w:styleId="10">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1.xml"/><Relationship Id="rId13" Type="http://schemas.openxmlformats.org/officeDocument/2006/relationships/image" Target="media/image2.bm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charset="-122"/>
                <a:ea typeface="楷体_GB2312" charset="-122"/>
                <a:cs typeface="楷体_GB2312" charset="-122"/>
                <a:sym typeface="楷体_GB2312" charset="-122"/>
              </a:defRPr>
            </a:pPr>
            <a:r>
              <a:rPr lang="en-US" altLang="zh-CN">
                <a:latin typeface="楷体_GB2312" charset="-122"/>
                <a:ea typeface="楷体_GB2312" charset="-122"/>
                <a:cs typeface="楷体_GB2312" charset="-122"/>
                <a:sym typeface="楷体_GB2312" charset="-122"/>
              </a:rPr>
              <a:t>2019-2020</a:t>
            </a:r>
            <a:r>
              <a:rPr lang="zh-CN" altLang="en-US">
                <a:latin typeface="楷体_GB2312" charset="-122"/>
                <a:ea typeface="楷体_GB2312" charset="-122"/>
                <a:cs typeface="楷体_GB2312" charset="-122"/>
                <a:sym typeface="楷体_GB2312" charset="-122"/>
              </a:rPr>
              <a:t>年收支总计对比情况（图</a:t>
            </a:r>
            <a:r>
              <a:rPr lang="en-US" altLang="zh-CN">
                <a:latin typeface="楷体_GB2312" charset="-122"/>
                <a:ea typeface="楷体_GB2312" charset="-122"/>
                <a:cs typeface="楷体_GB2312" charset="-122"/>
                <a:sym typeface="楷体_GB2312" charset="-122"/>
              </a:rPr>
              <a:t>1</a:t>
            </a:r>
            <a:r>
              <a:rPr lang="zh-CN" altLang="en-US">
                <a:latin typeface="楷体_GB2312" charset="-122"/>
                <a:ea typeface="楷体_GB2312" charset="-122"/>
                <a:cs typeface="楷体_GB2312" charset="-122"/>
                <a:sym typeface="楷体_GB2312" charset="-122"/>
              </a:rPr>
              <a:t>）</a:t>
            </a:r>
            <a:endParaRPr lang="zh-CN" altLang="en-US">
              <a:latin typeface="楷体_GB2312" charset="-122"/>
              <a:ea typeface="楷体_GB2312" charset="-122"/>
              <a:cs typeface="楷体_GB2312" charset="-122"/>
              <a:sym typeface="楷体_GB2312"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charset="-122"/>
                    <a:ea typeface="楷体_GB2312" charset="-122"/>
                    <a:cs typeface="楷体_GB2312" charset="-122"/>
                    <a:sym typeface="楷体_GB231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781.9</c:v>
                </c:pt>
                <c:pt idx="1">
                  <c:v>874.8</c:v>
                </c:pt>
              </c:numCache>
            </c:numRef>
          </c:val>
        </c:ser>
        <c:dLbls>
          <c:showLegendKey val="0"/>
          <c:showVal val="1"/>
          <c:showCatName val="0"/>
          <c:showSerName val="0"/>
          <c:showPercent val="0"/>
          <c:showBubbleSize val="0"/>
        </c:dLbls>
        <c:gapWidth val="219"/>
        <c:overlap val="-27"/>
        <c:axId val="128959616"/>
        <c:axId val="257838464"/>
      </c:barChart>
      <c:catAx>
        <c:axId val="128959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charset="-122"/>
                <a:ea typeface="楷体_GB2312" charset="-122"/>
                <a:cs typeface="楷体_GB2312" charset="-122"/>
                <a:sym typeface="楷体_GB2312" charset="-122"/>
              </a:defRPr>
            </a:pPr>
          </a:p>
        </c:txPr>
        <c:crossAx val="257838464"/>
        <c:crosses val="autoZero"/>
        <c:auto val="1"/>
        <c:lblAlgn val="ctr"/>
        <c:lblOffset val="100"/>
        <c:noMultiLvlLbl val="0"/>
      </c:catAx>
      <c:valAx>
        <c:axId val="257838464"/>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charset="-122"/>
                <a:ea typeface="楷体_GB2312" charset="-122"/>
                <a:cs typeface="楷体_GB2312" charset="-122"/>
                <a:sym typeface="楷体_GB2312" charset="-122"/>
              </a:defRPr>
            </a:pPr>
          </a:p>
        </c:txPr>
        <c:crossAx val="128959616"/>
        <c:crosses val="autoZero"/>
        <c:crossBetween val="between"/>
      </c:valAx>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charset="-122"/>
                <a:ea typeface="楷体_GB2312" charset="-122"/>
                <a:cs typeface="楷体_GB2312" charset="-122"/>
                <a:sym typeface="楷体_GB2312"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charset="-122"/>
              <a:ea typeface="楷体_GB2312" charset="-122"/>
              <a:cs typeface="楷体_GB2312" charset="-122"/>
              <a:sym typeface="楷体_GB2312"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charset="-122"/>
          <a:ea typeface="楷体_GB2312" charset="-122"/>
          <a:cs typeface="楷体_GB2312" charset="-122"/>
          <a:sym typeface="楷体_GB2312"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34</Pages>
  <Words>2099</Words>
  <Characters>11966</Characters>
  <Lines>99</Lines>
  <Paragraphs>28</Paragraphs>
  <TotalTime>2</TotalTime>
  <ScaleCrop>false</ScaleCrop>
  <LinksUpToDate>false</LinksUpToDate>
  <CharactersWithSpaces>14037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2021-10-08T01:27:00Z</dcterms:created>
  <dc:creator>王明新TIAD</dc:creator>
  <cp:lastModifiedBy>晁宇</cp:lastModifiedBy>
  <dcterms:modified xsi:type="dcterms:W3CDTF">2021-10-11T08:43:19Z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D6E9BAE1CDD54CEFBF4D3DA0233E3719</vt:lpwstr>
  </property>
</Properties>
</file>