
<file path=[Content_Types].xml><?xml version="1.0" encoding="utf-8"?>
<Types xmlns="http://schemas.openxmlformats.org/package/2006/content-types">
  <Default Extension="xml" ContentType="application/xml"/>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9264" behindDoc="1" locked="0" layoutInCell="1" allowOverlap="1">
            <wp:simplePos x="0" y="0"/>
            <wp:positionH relativeFrom="column">
              <wp:posOffset>-973455</wp:posOffset>
            </wp:positionH>
            <wp:positionV relativeFrom="page">
              <wp:posOffset>-3175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0"/>
                    <a:srcRect/>
                    <a:stretch>
                      <a:fillRect/>
                    </a:stretch>
                  </pic:blipFill>
                  <pic:spPr>
                    <a:xfrm>
                      <a:off x="0" y="0"/>
                      <a:ext cx="7559675" cy="10689590"/>
                    </a:xfrm>
                    <a:prstGeom prst="rect">
                      <a:avLst/>
                    </a:prstGeom>
                  </pic:spPr>
                </pic:pic>
              </a:graphicData>
            </a:graphic>
          </wp:anchor>
        </w:drawing>
      </w:r>
      <w:r>
        <w:br w:type="page"/>
      </w:r>
    </w:p>
    <w:p>
      <w:pPr>
        <w:rPr>
          <w:rFonts w:ascii="黑体" w:hAnsi="黑体" w:eastAsia="黑体" w:cs="黑体"/>
          <w:sz w:val="72"/>
          <w:szCs w:val="96"/>
        </w:rPr>
      </w:pP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4"/>
          <w:szCs w:val="44"/>
          <w:highlight w:val="yellow"/>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保定市满城区于家庄镇人民政府</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jc w:val="both"/>
        <w:rPr>
          <w:rFonts w:hint="eastAsia" w:ascii="黑体" w:hAnsi="黑体" w:eastAsia="黑体" w:cs="黑体"/>
          <w:spacing w:val="-40"/>
          <w:sz w:val="72"/>
          <w:szCs w:val="96"/>
          <w:lang w:val="en-US" w:eastAsia="zh-CN"/>
        </w:rPr>
      </w:pPr>
    </w:p>
    <w:p>
      <w:pPr>
        <w:jc w:val="both"/>
        <w:rPr>
          <w:rFonts w:hint="default" w:ascii="黑体" w:hAnsi="黑体" w:eastAsia="黑体" w:cs="黑体"/>
          <w:spacing w:val="-45"/>
          <w:sz w:val="72"/>
          <w:szCs w:val="96"/>
          <w:highlight w:val="yellow"/>
          <w:lang w:val="en-US" w:eastAsia="zh-CN"/>
        </w:rPr>
      </w:pPr>
      <w:r>
        <w:rPr>
          <w:rFonts w:hint="eastAsia" w:ascii="黑体" w:hAnsi="黑体" w:eastAsia="黑体" w:cs="黑体"/>
          <w:spacing w:val="-45"/>
          <w:sz w:val="72"/>
          <w:szCs w:val="96"/>
          <w:lang w:val="en-US" w:eastAsia="zh-CN"/>
        </w:rPr>
        <w:t>保定市满城区于家庄镇人民政府</w:t>
      </w: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rPr>
          <w:rFonts w:ascii="黑体" w:hAnsi="Times New Roman" w:eastAsia="黑体" w:cs="Times New Roman"/>
          <w:sz w:val="48"/>
          <w:szCs w:val="48"/>
        </w:rPr>
      </w:pP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60288"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60288;v-text-anchor:middle;mso-width-relative:page;mso-height-relative:page;" fillcolor="#7F7F7F [1612]"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fill type="pattern" on="t" color2="#FFFFFF [3212]" o:title="5%" focussize="0,0" r:id="rId11"/>
                <v:stroke weight="1pt" color="#A6A6A6 [2092]" joinstyle="round"/>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v:textbox>
              </v:shape>
            </w:pict>
          </mc:Fallback>
        </mc:AlternateConten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（一）宣传贯彻执行党的路线方针政策和党中央、上级党组织及本</w:t>
      </w:r>
      <w:r>
        <w:rPr>
          <w:rFonts w:hint="eastAsia" w:ascii="仿宋_GB2312" w:eastAsia="仿宋_GB2312" w:cs="Arial Black"/>
          <w:kern w:val="0"/>
          <w:sz w:val="32"/>
          <w:szCs w:val="32"/>
          <w:lang w:eastAsia="zh-CN"/>
        </w:rPr>
        <w:t>镇</w:t>
      </w:r>
      <w:r>
        <w:rPr>
          <w:rFonts w:hint="eastAsia" w:ascii="仿宋_GB2312" w:eastAsia="仿宋_GB2312" w:cs="Arial Black"/>
          <w:kern w:val="0"/>
          <w:sz w:val="32"/>
          <w:szCs w:val="32"/>
        </w:rPr>
        <w:t>党员代表大会(党员大会)的决议。贯彻执行法律、法规、规章和上级人民代表大会及其常务委员会决议及上级政府的决定、命令，执行本级人民代表大会的决议。</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（二）加强党对基层治理的全面领导，统筹抓好基层党建工作和基层党组织建设各项制度。推进全面从严治党，强化“两个责任”，确保党的路线方针政策在基层得到全面贯彻落实。</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（三）讨论和决定本</w:t>
      </w:r>
      <w:r>
        <w:rPr>
          <w:rFonts w:hint="eastAsia" w:ascii="仿宋_GB2312" w:eastAsia="仿宋_GB2312" w:cs="Arial Black"/>
          <w:kern w:val="0"/>
          <w:sz w:val="32"/>
          <w:szCs w:val="32"/>
          <w:lang w:eastAsia="zh-CN"/>
        </w:rPr>
        <w:t>镇</w:t>
      </w:r>
      <w:r>
        <w:rPr>
          <w:rFonts w:hint="eastAsia" w:ascii="仿宋_GB2312" w:eastAsia="仿宋_GB2312" w:cs="Arial Black"/>
          <w:kern w:val="0"/>
          <w:sz w:val="32"/>
          <w:szCs w:val="32"/>
        </w:rPr>
        <w:t>经济建设、政治建设、文化建设、社会建设、生态文明建设和党的建设以及</w:t>
      </w:r>
      <w:r>
        <w:rPr>
          <w:rFonts w:hint="eastAsia" w:ascii="仿宋_GB2312" w:eastAsia="仿宋_GB2312" w:cs="Arial Black"/>
          <w:kern w:val="0"/>
          <w:sz w:val="32"/>
          <w:szCs w:val="32"/>
          <w:lang w:eastAsia="zh-CN"/>
        </w:rPr>
        <w:t>镇</w:t>
      </w:r>
      <w:r>
        <w:rPr>
          <w:rFonts w:hint="eastAsia" w:ascii="仿宋_GB2312" w:eastAsia="仿宋_GB2312" w:cs="Arial Black"/>
          <w:kern w:val="0"/>
          <w:sz w:val="32"/>
          <w:szCs w:val="32"/>
        </w:rPr>
        <w:t>村振兴中的重大问题。</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（四）组织召开本级人民代表大会，充分行使重大事项决定权、监督权和任免权，做好人大代表工作，联系选民、反映群众意见和要求。</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（五）组织实施与群众生活密切相关的各项公共服务，落实基层“最多跑一次”改革工作，拓宽服务渠道，改进服务方式，建立健全群众办事一次办结机制，推进</w:t>
      </w:r>
      <w:r>
        <w:rPr>
          <w:rFonts w:hint="eastAsia" w:ascii="仿宋_GB2312" w:eastAsia="仿宋_GB2312" w:cs="Arial Black"/>
          <w:kern w:val="0"/>
          <w:sz w:val="32"/>
          <w:szCs w:val="32"/>
          <w:lang w:eastAsia="zh-CN"/>
        </w:rPr>
        <w:t>镇</w:t>
      </w:r>
      <w:r>
        <w:rPr>
          <w:rFonts w:hint="eastAsia" w:ascii="仿宋_GB2312" w:eastAsia="仿宋_GB2312" w:cs="Arial Black"/>
          <w:kern w:val="0"/>
          <w:sz w:val="32"/>
          <w:szCs w:val="32"/>
        </w:rPr>
        <w:t>便民服务平台标准化建设，实行“一站式服务”“一枚印章管审批（服务）”，提升群众获得感和幸福感。</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六）执行本行政区域内的经济和社会发展计划、预算，管理本行政区域内的经济、教育、科学、文化、卫生健康、体育事业、人力资源和社会保障、医疗保障和财政、统计、民政、司法行政等行政工作。落实本行政区域内发展规划、专项规划、区域规划、国土空间规划。</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（七）</w:t>
      </w:r>
      <w:r>
        <w:rPr>
          <w:rFonts w:hint="eastAsia" w:ascii="仿宋_GB2312" w:eastAsia="仿宋_GB2312" w:cs="Arial Black"/>
          <w:kern w:val="0"/>
          <w:sz w:val="32"/>
          <w:szCs w:val="32"/>
          <w:lang w:eastAsia="zh-CN"/>
        </w:rPr>
        <w:t>镇</w:t>
      </w:r>
      <w:r>
        <w:rPr>
          <w:rFonts w:hint="eastAsia" w:ascii="仿宋_GB2312" w:eastAsia="仿宋_GB2312" w:cs="Arial Black"/>
          <w:kern w:val="0"/>
          <w:sz w:val="32"/>
          <w:szCs w:val="32"/>
        </w:rPr>
        <w:t>党委领导</w:t>
      </w:r>
      <w:r>
        <w:rPr>
          <w:rFonts w:hint="eastAsia" w:ascii="仿宋_GB2312" w:eastAsia="仿宋_GB2312" w:cs="Arial Black"/>
          <w:kern w:val="0"/>
          <w:sz w:val="32"/>
          <w:szCs w:val="32"/>
          <w:lang w:eastAsia="zh-CN"/>
        </w:rPr>
        <w:t>镇</w:t>
      </w:r>
      <w:r>
        <w:rPr>
          <w:rFonts w:hint="eastAsia" w:ascii="仿宋_GB2312" w:eastAsia="仿宋_GB2312" w:cs="Arial Black"/>
          <w:kern w:val="0"/>
          <w:sz w:val="32"/>
          <w:szCs w:val="32"/>
        </w:rPr>
        <w:t>政权机关、群团组织和其他各类组织,加强指导和规范，支持和保证这些机关和组织依照国家法律法规以及各自章程履行职责。坚持党管武装的根本原则和制度,协调各方力量，对</w:t>
      </w:r>
      <w:r>
        <w:rPr>
          <w:rFonts w:hint="eastAsia" w:ascii="仿宋_GB2312" w:eastAsia="仿宋_GB2312" w:cs="Arial Black"/>
          <w:kern w:val="0"/>
          <w:sz w:val="32"/>
          <w:szCs w:val="32"/>
          <w:lang w:eastAsia="zh-CN"/>
        </w:rPr>
        <w:t>镇</w:t>
      </w:r>
      <w:r>
        <w:rPr>
          <w:rFonts w:hint="eastAsia" w:ascii="仿宋_GB2312" w:eastAsia="仿宋_GB2312" w:cs="Arial Black"/>
          <w:kern w:val="0"/>
          <w:sz w:val="32"/>
          <w:szCs w:val="32"/>
        </w:rPr>
        <w:t>人民武装工作实行统一领导。</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（八）加强</w:t>
      </w:r>
      <w:r>
        <w:rPr>
          <w:rFonts w:hint="eastAsia" w:ascii="仿宋_GB2312" w:eastAsia="仿宋_GB2312" w:cs="Arial Black"/>
          <w:kern w:val="0"/>
          <w:sz w:val="32"/>
          <w:szCs w:val="32"/>
          <w:lang w:eastAsia="zh-CN"/>
        </w:rPr>
        <w:t>镇</w:t>
      </w:r>
      <w:r>
        <w:rPr>
          <w:rFonts w:hint="eastAsia" w:ascii="仿宋_GB2312" w:eastAsia="仿宋_GB2312" w:cs="Arial Black"/>
          <w:kern w:val="0"/>
          <w:sz w:val="32"/>
          <w:szCs w:val="32"/>
        </w:rPr>
        <w:t>党委自身建设和村党组织建设，以及其他隶属</w:t>
      </w:r>
      <w:r>
        <w:rPr>
          <w:rFonts w:hint="eastAsia" w:ascii="仿宋_GB2312" w:eastAsia="仿宋_GB2312" w:cs="Arial Black"/>
          <w:kern w:val="0"/>
          <w:sz w:val="32"/>
          <w:szCs w:val="32"/>
          <w:lang w:eastAsia="zh-CN"/>
        </w:rPr>
        <w:t>镇</w:t>
      </w:r>
      <w:r>
        <w:rPr>
          <w:rFonts w:hint="eastAsia" w:ascii="仿宋_GB2312" w:eastAsia="仿宋_GB2312" w:cs="Arial Black"/>
          <w:kern w:val="0"/>
          <w:sz w:val="32"/>
          <w:szCs w:val="32"/>
        </w:rPr>
        <w:t>党委的党组织建设，抓好发展党员工作，加强党员队伍建设。维护和执行党的纪律，监督党员干部和其他任何工作人员严格遵守国家法律法规。</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（九）按照干部管理权限，负责对干部的教育、培训、选拔、考核和监督工作。协助管理上级有关部门驻</w:t>
      </w:r>
      <w:r>
        <w:rPr>
          <w:rFonts w:hint="eastAsia" w:ascii="仿宋_GB2312" w:eastAsia="仿宋_GB2312" w:cs="Arial Black"/>
          <w:kern w:val="0"/>
          <w:sz w:val="32"/>
          <w:szCs w:val="32"/>
          <w:lang w:eastAsia="zh-CN"/>
        </w:rPr>
        <w:t>镇</w:t>
      </w:r>
      <w:r>
        <w:rPr>
          <w:rFonts w:hint="eastAsia" w:ascii="仿宋_GB2312" w:eastAsia="仿宋_GB2312" w:cs="Arial Black"/>
          <w:kern w:val="0"/>
          <w:sz w:val="32"/>
          <w:szCs w:val="32"/>
        </w:rPr>
        <w:t>单位的干部。做好人才服务工作。</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（十）领导本</w:t>
      </w:r>
      <w:r>
        <w:rPr>
          <w:rFonts w:hint="eastAsia" w:ascii="仿宋_GB2312" w:eastAsia="仿宋_GB2312" w:cs="Arial Black"/>
          <w:kern w:val="0"/>
          <w:sz w:val="32"/>
          <w:szCs w:val="32"/>
          <w:lang w:eastAsia="zh-CN"/>
        </w:rPr>
        <w:t>镇</w:t>
      </w:r>
      <w:r>
        <w:rPr>
          <w:rFonts w:hint="eastAsia" w:ascii="仿宋_GB2312" w:eastAsia="仿宋_GB2312" w:cs="Arial Black"/>
          <w:kern w:val="0"/>
          <w:sz w:val="32"/>
          <w:szCs w:val="32"/>
        </w:rPr>
        <w:t>的基层治理，加强社会主义民主法治建设和精神文明建设，加强社会治安综合治理,推行网格化管理服务，落实社会矛盾纠纷排查调处机制，综合发挥人民调解、行政调解和司法调解的作用，及时化解辖区社会矛盾，维护安全稳定。做好综合执法、应急管理、自然资源和生态环保、</w:t>
      </w:r>
      <w:r>
        <w:rPr>
          <w:rFonts w:hint="eastAsia" w:ascii="仿宋_GB2312" w:eastAsia="仿宋_GB2312" w:cs="Arial Black"/>
          <w:kern w:val="0"/>
          <w:sz w:val="32"/>
          <w:szCs w:val="32"/>
          <w:lang w:eastAsia="zh-CN"/>
        </w:rPr>
        <w:t>镇</w:t>
      </w:r>
      <w:r>
        <w:rPr>
          <w:rFonts w:hint="eastAsia" w:ascii="仿宋_GB2312" w:eastAsia="仿宋_GB2312" w:cs="Arial Black"/>
          <w:kern w:val="0"/>
          <w:sz w:val="32"/>
          <w:szCs w:val="32"/>
        </w:rPr>
        <w:t>村振兴、民生保障、脱贫致富、民族宗教、防范邪教等工作。承担民兵预备役、征兵、退役军人服务、拥军优属等工作。</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十一）保护社会主义的全民所有的财产和劳动群众集体所有的财产，保护公民私人所有的合法财产，维护社会秩序，保障公民的人身权利、民主权利和其他权利。保护各种经济组织的合法权益。保障各少数民族的合法权利和利益，尊重少数民族的风俗习惯。保障宪法和法律赋予妇女的男女平等、同工同酬和婚姻自由等各项权利。</w:t>
      </w:r>
    </w:p>
    <w:p>
      <w:pPr>
        <w:widowControl/>
        <w:spacing w:line="580" w:lineRule="exact"/>
        <w:ind w:firstLine="640" w:firstLineChars="200"/>
        <w:rPr>
          <w:rFonts w:ascii="仿宋_GB2312" w:hAnsi="Calibri" w:eastAsia="仿宋_GB2312" w:cs="Arial Black"/>
          <w:kern w:val="0"/>
          <w:sz w:val="32"/>
          <w:szCs w:val="32"/>
        </w:rPr>
      </w:pPr>
      <w:r>
        <w:rPr>
          <w:rFonts w:hint="eastAsia" w:ascii="仿宋_GB2312" w:eastAsia="仿宋_GB2312" w:cs="Arial Black"/>
          <w:kern w:val="0"/>
          <w:sz w:val="32"/>
          <w:szCs w:val="32"/>
        </w:rPr>
        <w:t>（十二）承办上级党委、人大、政府交办的其他事项。</w:t>
      </w: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rPr>
        <w:t>年度本部门决算汇编范围的独立核算单位（以下简称“单位”）共</w:t>
      </w:r>
      <w:r>
        <w:rPr>
          <w:rFonts w:hint="eastAsia" w:ascii="仿宋_GB2312" w:hAnsi="Calibri" w:eastAsia="仿宋_GB2312" w:cs="Arial Black"/>
          <w:kern w:val="0"/>
          <w:sz w:val="32"/>
          <w:szCs w:val="32"/>
          <w:lang w:val="en-US" w:eastAsia="zh-CN"/>
        </w:rPr>
        <w:t>1</w:t>
      </w:r>
      <w:r>
        <w:rPr>
          <w:rFonts w:hint="eastAsia" w:ascii="仿宋_GB2312" w:hAnsi="Calibri" w:eastAsia="仿宋_GB2312" w:cs="Arial Black"/>
          <w:kern w:val="0"/>
          <w:sz w:val="32"/>
          <w:szCs w:val="32"/>
        </w:rPr>
        <w:t>个，具体情况如下：</w:t>
      </w:r>
    </w:p>
    <w:tbl>
      <w:tblPr>
        <w:tblStyle w:val="6"/>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426"/>
        <w:gridCol w:w="2404"/>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68"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3426"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404"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2622"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1</w:t>
            </w:r>
          </w:p>
        </w:tc>
        <w:tc>
          <w:tcPr>
            <w:tcW w:w="3426" w:type="dxa"/>
          </w:tcPr>
          <w:p>
            <w:pPr>
              <w:spacing w:line="560" w:lineRule="exact"/>
              <w:rPr>
                <w:rFonts w:ascii="仿宋_GB2312" w:hAnsi="Calibri" w:eastAsia="仿宋_GB2312" w:cs="Arial Black"/>
                <w:kern w:val="0"/>
                <w:sz w:val="28"/>
                <w:szCs w:val="28"/>
              </w:rPr>
            </w:pPr>
            <w:r>
              <w:rPr>
                <w:rFonts w:hint="eastAsia" w:ascii="仿宋_GB2312" w:hAnsi="Calibri" w:eastAsia="仿宋_GB2312" w:cs="Arial Black"/>
                <w:kern w:val="0"/>
                <w:sz w:val="28"/>
                <w:szCs w:val="28"/>
              </w:rPr>
              <w:t>保定市满城区</w:t>
            </w:r>
            <w:r>
              <w:rPr>
                <w:rFonts w:hint="eastAsia" w:ascii="仿宋_GB2312" w:hAnsi="Calibri" w:eastAsia="仿宋_GB2312" w:cs="Arial Black"/>
                <w:kern w:val="0"/>
                <w:sz w:val="28"/>
                <w:szCs w:val="28"/>
                <w:lang w:val="en-US" w:eastAsia="zh-CN"/>
              </w:rPr>
              <w:t>于家庄</w:t>
            </w:r>
            <w:r>
              <w:rPr>
                <w:rFonts w:hint="eastAsia" w:ascii="仿宋_GB2312" w:hAnsi="Calibri" w:eastAsia="仿宋_GB2312" w:cs="Arial Black"/>
                <w:kern w:val="0"/>
                <w:sz w:val="28"/>
                <w:szCs w:val="28"/>
                <w:lang w:eastAsia="zh-CN"/>
              </w:rPr>
              <w:t>镇</w:t>
            </w:r>
            <w:r>
              <w:rPr>
                <w:rFonts w:hint="eastAsia" w:ascii="仿宋_GB2312" w:hAnsi="Calibri" w:eastAsia="仿宋_GB2312" w:cs="Arial Black"/>
                <w:kern w:val="0"/>
                <w:sz w:val="28"/>
                <w:szCs w:val="28"/>
              </w:rPr>
              <w:t>人民政府</w:t>
            </w:r>
          </w:p>
        </w:tc>
        <w:tc>
          <w:tcPr>
            <w:tcW w:w="2404"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行政单位</w:t>
            </w:r>
          </w:p>
        </w:tc>
        <w:tc>
          <w:tcPr>
            <w:tcW w:w="2622"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420" w:type="dxa"/>
            <w:gridSpan w:val="4"/>
            <w:tcBorders>
              <w:top w:val="single" w:color="auto" w:sz="4" w:space="0"/>
              <w:left w:val="nil"/>
              <w:bottom w:val="nil"/>
              <w:right w:val="nil"/>
            </w:tcBorders>
          </w:tcPr>
          <w:p>
            <w:pPr>
              <w:spacing w:line="560" w:lineRule="exact"/>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2、经费形式分为财政拨款、财政性资金基本保证、财政性资金定额或定项补助、财政性资金零补助四类。</w:t>
            </w: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
      <w:pPr>
        <w:widowControl/>
        <w:spacing w:after="160" w:line="580" w:lineRule="exact"/>
        <w:ind w:firstLine="1440" w:firstLineChars="200"/>
        <w:rPr>
          <w:rFonts w:ascii="Times New Roman" w:hAnsi="Times New Roman" w:eastAsia="黑体" w:cs="Times New Roman"/>
          <w:sz w:val="32"/>
          <w:szCs w:val="32"/>
        </w:rPr>
        <w:sectPr>
          <w:headerReference r:id="rId7" w:type="default"/>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2336"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2336;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v:textbox>
              </v:shape>
            </w:pict>
          </mc:Fallback>
        </mc:AlternateConten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3360"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2"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5pt;margin-top:-207.65pt;height:263.1pt;width:613.65pt;z-index:251663360;v-text-anchor:middle;mso-width-relative:page;mso-height-relative:page;" fillcolor="#7F7F7F [1612]"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fill type="pattern" on="t" color2="#FFFFFF [3212]" o:title="5%" focussize="0,0" r:id="rId11"/>
                <v:stroke weight="1pt" color="#A6A6A6 [2092]"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v:textbox>
              </v:shape>
            </w:pict>
          </mc:Fallback>
        </mc:AlternateConten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600" w:lineRule="exact"/>
        <w:ind w:firstLine="640" w:firstLineChars="200"/>
        <w:rPr>
          <w:rFonts w:ascii="仿宋_GB2312" w:hAnsi="Times New Roman" w:eastAsia="仿宋_GB2312" w:cs="Wingdings"/>
          <w:sz w:val="32"/>
          <w:szCs w:val="32"/>
          <w:highlight w:val="yellow"/>
        </w:rPr>
      </w:pPr>
      <w:r>
        <w:rPr>
          <w:rFonts w:hint="eastAsia" w:ascii="仿宋_GB2312" w:hAnsi="Times New Roman" w:eastAsia="仿宋_GB2312" w:cs="Wingdings"/>
          <w:sz w:val="32"/>
          <w:szCs w:val="32"/>
        </w:rPr>
        <w:t>本部门2020年度收、支总计（含结转和结余）</w:t>
      </w:r>
      <w:r>
        <w:rPr>
          <w:rFonts w:hint="eastAsia" w:ascii="仿宋_GB2312" w:hAnsi="Times New Roman" w:eastAsia="仿宋_GB2312" w:cs="Wingdings"/>
          <w:sz w:val="32"/>
          <w:szCs w:val="32"/>
          <w:lang w:val="en-US" w:eastAsia="zh-CN"/>
        </w:rPr>
        <w:t>1305.98</w:t>
      </w:r>
      <w:r>
        <w:rPr>
          <w:rFonts w:hint="eastAsia" w:ascii="仿宋_GB2312" w:hAnsi="Times New Roman" w:eastAsia="仿宋_GB2312" w:cs="Wingdings"/>
          <w:sz w:val="32"/>
          <w:szCs w:val="32"/>
        </w:rPr>
        <w:t>万元。与2019年度决算相比，收支各增加</w:t>
      </w:r>
      <w:r>
        <w:rPr>
          <w:rFonts w:hint="eastAsia" w:ascii="仿宋_GB2312" w:hAnsi="Times New Roman" w:eastAsia="仿宋_GB2312" w:cs="Wingdings"/>
          <w:sz w:val="32"/>
          <w:szCs w:val="32"/>
          <w:lang w:val="en-US" w:eastAsia="zh-CN"/>
        </w:rPr>
        <w:t>123.54</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10.45</w:t>
      </w:r>
      <w:r>
        <w:rPr>
          <w:rFonts w:hint="eastAsia" w:ascii="仿宋_GB2312" w:hAnsi="Times New Roman" w:eastAsia="仿宋_GB2312" w:cs="Wingdings"/>
          <w:sz w:val="32"/>
          <w:szCs w:val="32"/>
        </w:rPr>
        <w:t>%，主要原因是人员工资和保险调整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增加了大气、农村环境保护、农林水支出等多个项目支出。</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snapToGrid w:val="0"/>
        <w:spacing w:line="600" w:lineRule="exact"/>
        <w:ind w:firstLine="640" w:firstLineChars="200"/>
        <w:outlineLvl w:val="1"/>
        <w:rPr>
          <w:rFonts w:hint="eastAsia" w:ascii="仿宋_GB2312" w:hAnsi="Times New Roman" w:eastAsia="仿宋_GB2312" w:cs="Wingdings"/>
          <w:sz w:val="32"/>
          <w:szCs w:val="32"/>
        </w:rPr>
      </w:pPr>
      <w:r>
        <w:rPr>
          <w:rFonts w:hint="eastAsia" w:ascii="仿宋_GB2312" w:hAnsi="Times New Roman" w:eastAsia="仿宋_GB2312" w:cs="Wingdings"/>
          <w:sz w:val="32"/>
          <w:szCs w:val="32"/>
        </w:rPr>
        <w:t>本部门2020年度本年收入合计</w:t>
      </w:r>
      <w:r>
        <w:rPr>
          <w:rFonts w:hint="eastAsia" w:ascii="仿宋_GB2312" w:hAnsi="Times New Roman" w:eastAsia="仿宋_GB2312" w:cs="Wingdings"/>
          <w:sz w:val="32"/>
          <w:szCs w:val="32"/>
          <w:lang w:val="en-US" w:eastAsia="zh-CN"/>
        </w:rPr>
        <w:t>1305.98</w:t>
      </w:r>
      <w:r>
        <w:rPr>
          <w:rFonts w:hint="eastAsia" w:ascii="仿宋_GB2312" w:hAnsi="Times New Roman" w:eastAsia="仿宋_GB2312" w:cs="Wingdings"/>
          <w:sz w:val="32"/>
          <w:szCs w:val="32"/>
        </w:rPr>
        <w:t>万元，其中：财政拨款收入</w:t>
      </w:r>
      <w:r>
        <w:rPr>
          <w:rFonts w:hint="eastAsia" w:ascii="仿宋_GB2312" w:hAnsi="Times New Roman" w:eastAsia="仿宋_GB2312" w:cs="Wingdings"/>
          <w:sz w:val="32"/>
          <w:szCs w:val="32"/>
          <w:lang w:val="en-US" w:eastAsia="zh-CN"/>
        </w:rPr>
        <w:t>1305.98</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100.00</w:t>
      </w:r>
      <w:r>
        <w:rPr>
          <w:rFonts w:hint="eastAsia" w:ascii="仿宋_GB2312" w:hAnsi="Times New Roman" w:eastAsia="仿宋_GB2312" w:cs="Wingdings"/>
          <w:sz w:val="32"/>
          <w:szCs w:val="32"/>
        </w:rPr>
        <w:t>%；事业收入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%；经营收入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%；其他收入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keepNext/>
        <w:keepLines/>
        <w:snapToGrid w:val="0"/>
        <w:spacing w:line="600" w:lineRule="exact"/>
        <w:ind w:firstLine="640" w:firstLineChars="200"/>
        <w:outlineLvl w:val="1"/>
        <w:rPr>
          <w:rFonts w:ascii="黑体" w:hAnsi="Calibri" w:eastAsia="黑体" w:cs="Times New Roman"/>
          <w:b/>
          <w:bCs/>
          <w:sz w:val="32"/>
          <w:szCs w:val="32"/>
        </w:rPr>
      </w:pPr>
      <w:r>
        <w:rPr>
          <w:rFonts w:hint="eastAsia" w:ascii="仿宋_GB2312" w:hAnsi="Times New Roman" w:eastAsia="仿宋_GB2312" w:cs="Wingdings"/>
          <w:sz w:val="32"/>
          <w:szCs w:val="32"/>
        </w:rPr>
        <w:t>本部门2020年度本年支出合计</w:t>
      </w:r>
      <w:r>
        <w:rPr>
          <w:rFonts w:hint="eastAsia" w:ascii="仿宋_GB2312" w:hAnsi="Times New Roman" w:eastAsia="仿宋_GB2312" w:cs="Wingdings"/>
          <w:sz w:val="32"/>
          <w:szCs w:val="32"/>
          <w:lang w:val="en-US" w:eastAsia="zh-CN"/>
        </w:rPr>
        <w:t>1305.98</w:t>
      </w:r>
      <w:r>
        <w:rPr>
          <w:rFonts w:hint="eastAsia" w:ascii="仿宋_GB2312" w:hAnsi="Times New Roman" w:eastAsia="仿宋_GB2312" w:cs="Wingdings"/>
          <w:sz w:val="32"/>
          <w:szCs w:val="32"/>
        </w:rPr>
        <w:t>万元，其中：基本支出</w:t>
      </w:r>
      <w:r>
        <w:rPr>
          <w:rFonts w:hint="eastAsia" w:ascii="仿宋_GB2312" w:hAnsi="Times New Roman" w:eastAsia="仿宋_GB2312" w:cs="Wingdings"/>
          <w:sz w:val="32"/>
          <w:szCs w:val="32"/>
          <w:lang w:val="en-US" w:eastAsia="zh-CN"/>
        </w:rPr>
        <w:t>770.13</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58.97</w:t>
      </w:r>
      <w:r>
        <w:rPr>
          <w:rFonts w:hint="eastAsia" w:ascii="仿宋_GB2312" w:hAnsi="Times New Roman" w:eastAsia="仿宋_GB2312" w:cs="Wingdings"/>
          <w:sz w:val="32"/>
          <w:szCs w:val="32"/>
        </w:rPr>
        <w:t>%；项目支出</w:t>
      </w:r>
      <w:r>
        <w:rPr>
          <w:rFonts w:hint="eastAsia" w:ascii="仿宋_GB2312" w:hAnsi="Times New Roman" w:eastAsia="仿宋_GB2312" w:cs="Wingdings"/>
          <w:sz w:val="32"/>
          <w:szCs w:val="32"/>
          <w:lang w:val="en-US" w:eastAsia="zh-CN"/>
        </w:rPr>
        <w:t>535.85</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41.03</w:t>
      </w:r>
      <w:r>
        <w:rPr>
          <w:rFonts w:hint="eastAsia" w:ascii="仿宋_GB2312" w:hAnsi="Times New Roman" w:eastAsia="仿宋_GB2312" w:cs="Wingdings"/>
          <w:sz w:val="32"/>
          <w:szCs w:val="32"/>
        </w:rPr>
        <w:t>%；经营支出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本部门2020年度财政拨款本年收入</w:t>
      </w:r>
      <w:r>
        <w:rPr>
          <w:rFonts w:hint="eastAsia" w:ascii="仿宋_GB2312" w:hAnsi="Times New Roman" w:eastAsia="仿宋_GB2312" w:cs="Wingdings"/>
          <w:sz w:val="32"/>
          <w:szCs w:val="32"/>
          <w:lang w:val="en-US" w:eastAsia="zh-CN"/>
        </w:rPr>
        <w:t>1305.98</w:t>
      </w:r>
      <w:r>
        <w:rPr>
          <w:rFonts w:hint="eastAsia" w:ascii="仿宋_GB2312" w:hAnsi="Times New Roman" w:eastAsia="仿宋_GB2312" w:cs="Wingdings"/>
          <w:sz w:val="32"/>
          <w:szCs w:val="32"/>
        </w:rPr>
        <w:t>万元,比2019年度增加</w:t>
      </w:r>
      <w:r>
        <w:rPr>
          <w:rFonts w:hint="eastAsia" w:ascii="仿宋_GB2312" w:hAnsi="Times New Roman" w:eastAsia="仿宋_GB2312" w:cs="Wingdings"/>
          <w:sz w:val="32"/>
          <w:szCs w:val="32"/>
          <w:lang w:val="en-US" w:eastAsia="zh-CN"/>
        </w:rPr>
        <w:t>123.54</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10.45</w:t>
      </w:r>
      <w:r>
        <w:rPr>
          <w:rFonts w:hint="eastAsia" w:ascii="仿宋_GB2312" w:hAnsi="Times New Roman" w:eastAsia="仿宋_GB2312" w:cs="Wingdings"/>
          <w:sz w:val="32"/>
          <w:szCs w:val="32"/>
        </w:rPr>
        <w:t>%，主要是人员工资和保险调整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增加了大气、农村环境保护、农林水支出等多个项目</w:t>
      </w:r>
      <w:r>
        <w:rPr>
          <w:rFonts w:hint="eastAsia" w:ascii="仿宋_GB2312" w:hAnsi="Times New Roman" w:eastAsia="仿宋_GB2312" w:cs="Wingdings"/>
          <w:sz w:val="32"/>
          <w:szCs w:val="32"/>
          <w:lang w:val="en-US" w:eastAsia="zh-CN"/>
        </w:rPr>
        <w:t>收入</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1305.98</w:t>
      </w:r>
      <w:r>
        <w:rPr>
          <w:rFonts w:hint="eastAsia" w:ascii="仿宋_GB2312" w:hAnsi="Times New Roman" w:eastAsia="仿宋_GB2312" w:cs="Wingdings"/>
          <w:sz w:val="32"/>
          <w:szCs w:val="32"/>
        </w:rPr>
        <w:t>万元，增加</w:t>
      </w:r>
      <w:r>
        <w:rPr>
          <w:rFonts w:hint="eastAsia" w:ascii="仿宋_GB2312" w:hAnsi="Times New Roman" w:eastAsia="仿宋_GB2312" w:cs="Wingdings"/>
          <w:sz w:val="32"/>
          <w:szCs w:val="32"/>
          <w:lang w:val="en-US" w:eastAsia="zh-CN"/>
        </w:rPr>
        <w:t>123.54</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10.45</w:t>
      </w:r>
      <w:r>
        <w:rPr>
          <w:rFonts w:hint="eastAsia" w:ascii="仿宋_GB2312" w:hAnsi="Times New Roman" w:eastAsia="仿宋_GB2312" w:cs="Wingdings"/>
          <w:sz w:val="32"/>
          <w:szCs w:val="32"/>
        </w:rPr>
        <w:t>%，主要是人员工资和保险调整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增加了大气、农村环境保护、农林水支出等多个项目支出。具体情况如下：</w:t>
      </w:r>
    </w:p>
    <w:p>
      <w:pPr>
        <w:numPr>
          <w:ilvl w:val="0"/>
          <w:numId w:val="1"/>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一般公共预算财政拨款本年收入</w:t>
      </w:r>
      <w:r>
        <w:rPr>
          <w:rFonts w:hint="eastAsia" w:ascii="仿宋_GB2312" w:hAnsi="Times New Roman" w:eastAsia="仿宋_GB2312" w:cs="Wingdings"/>
          <w:sz w:val="32"/>
          <w:szCs w:val="32"/>
          <w:lang w:val="en-US" w:eastAsia="zh-CN"/>
        </w:rPr>
        <w:t>1252.22</w:t>
      </w:r>
      <w:r>
        <w:rPr>
          <w:rFonts w:hint="eastAsia" w:ascii="仿宋_GB2312" w:hAnsi="Times New Roman" w:eastAsia="仿宋_GB2312" w:cs="Wingdings"/>
          <w:sz w:val="32"/>
          <w:szCs w:val="32"/>
        </w:rPr>
        <w:t>万元，比上年增加</w:t>
      </w:r>
      <w:r>
        <w:rPr>
          <w:rFonts w:hint="eastAsia" w:ascii="仿宋_GB2312" w:hAnsi="Times New Roman" w:eastAsia="仿宋_GB2312" w:cs="Wingdings"/>
          <w:sz w:val="32"/>
          <w:szCs w:val="32"/>
          <w:lang w:val="en-US" w:eastAsia="zh-CN"/>
        </w:rPr>
        <w:t>278.53</w:t>
      </w:r>
      <w:r>
        <w:rPr>
          <w:rFonts w:hint="eastAsia" w:ascii="仿宋_GB2312" w:hAnsi="Times New Roman" w:eastAsia="仿宋_GB2312" w:cs="Wingdings"/>
          <w:sz w:val="32"/>
          <w:szCs w:val="32"/>
        </w:rPr>
        <w:t>万元；主要是人员工资和保险调整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增加了大气、农村环境保护、农林水支出等多个项目</w:t>
      </w:r>
      <w:r>
        <w:rPr>
          <w:rFonts w:hint="eastAsia" w:ascii="仿宋_GB2312" w:hAnsi="Times New Roman" w:eastAsia="仿宋_GB2312" w:cs="Wingdings"/>
          <w:sz w:val="32"/>
          <w:szCs w:val="32"/>
          <w:lang w:val="en-US" w:eastAsia="zh-CN"/>
        </w:rPr>
        <w:t>收入</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1252.22</w:t>
      </w:r>
      <w:r>
        <w:rPr>
          <w:rFonts w:hint="eastAsia" w:ascii="仿宋_GB2312" w:hAnsi="Times New Roman" w:eastAsia="仿宋_GB2312" w:cs="Wingdings"/>
          <w:sz w:val="32"/>
          <w:szCs w:val="32"/>
        </w:rPr>
        <w:t>万元，比上年增加</w:t>
      </w:r>
      <w:r>
        <w:rPr>
          <w:rFonts w:hint="eastAsia" w:ascii="仿宋_GB2312" w:hAnsi="Times New Roman" w:eastAsia="仿宋_GB2312" w:cs="Wingdings"/>
          <w:sz w:val="32"/>
          <w:szCs w:val="32"/>
          <w:lang w:val="en-US" w:eastAsia="zh-CN"/>
        </w:rPr>
        <w:t>278.53</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28.61</w:t>
      </w:r>
      <w:r>
        <w:rPr>
          <w:rFonts w:hint="eastAsia" w:ascii="仿宋_GB2312" w:hAnsi="Times New Roman" w:eastAsia="仿宋_GB2312" w:cs="Wingdings"/>
          <w:sz w:val="32"/>
          <w:szCs w:val="32"/>
        </w:rPr>
        <w:t>%，主要是人员工资和保险调整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增加了大气、农村环境保护、农林水支出等多个项目支出。</w:t>
      </w:r>
    </w:p>
    <w:p>
      <w:pPr>
        <w:numPr>
          <w:ilvl w:val="0"/>
          <w:numId w:val="1"/>
        </w:numPr>
        <w:adjustRightInd w:val="0"/>
        <w:snapToGrid w:val="0"/>
        <w:spacing w:line="600" w:lineRule="exact"/>
        <w:ind w:firstLine="640" w:firstLineChars="200"/>
        <w:rPr>
          <w:rFonts w:ascii="仿宋_GB2312" w:hAnsi="Times New Roman" w:eastAsia="仿宋_GB2312" w:cs="Wingdings"/>
          <w:color w:val="auto"/>
          <w:sz w:val="32"/>
          <w:szCs w:val="32"/>
        </w:rPr>
      </w:pPr>
      <w:r>
        <w:rPr>
          <w:rFonts w:hint="eastAsia" w:ascii="仿宋_GB2312" w:hAnsi="Times New Roman" w:eastAsia="仿宋_GB2312" w:cs="Wingdings"/>
          <w:color w:val="auto"/>
          <w:sz w:val="32"/>
          <w:szCs w:val="32"/>
        </w:rPr>
        <w:t>政府性基金预算财政拨款本年收入</w:t>
      </w:r>
      <w:r>
        <w:rPr>
          <w:rFonts w:hint="eastAsia" w:ascii="仿宋_GB2312" w:hAnsi="Times New Roman" w:eastAsia="仿宋_GB2312" w:cs="Wingdings"/>
          <w:color w:val="auto"/>
          <w:sz w:val="32"/>
          <w:szCs w:val="32"/>
          <w:lang w:val="en-US" w:eastAsia="zh-CN"/>
        </w:rPr>
        <w:t>53.76</w:t>
      </w:r>
      <w:r>
        <w:rPr>
          <w:rFonts w:hint="eastAsia" w:ascii="仿宋_GB2312" w:hAnsi="Times New Roman" w:eastAsia="仿宋_GB2312" w:cs="Wingdings"/>
          <w:color w:val="auto"/>
          <w:sz w:val="32"/>
          <w:szCs w:val="32"/>
        </w:rPr>
        <w:t>万元，比上年</w:t>
      </w:r>
      <w:r>
        <w:rPr>
          <w:rFonts w:hint="eastAsia" w:ascii="仿宋_GB2312" w:hAnsi="Times New Roman" w:eastAsia="仿宋_GB2312" w:cs="Wingdings"/>
          <w:color w:val="auto"/>
          <w:sz w:val="32"/>
          <w:szCs w:val="32"/>
          <w:lang w:val="en-US" w:eastAsia="zh-CN"/>
        </w:rPr>
        <w:t>减少155.00</w:t>
      </w:r>
      <w:r>
        <w:rPr>
          <w:rFonts w:hint="eastAsia" w:ascii="仿宋_GB2312" w:hAnsi="Times New Roman" w:eastAsia="仿宋_GB2312" w:cs="Wingdings"/>
          <w:color w:val="auto"/>
          <w:sz w:val="32"/>
          <w:szCs w:val="32"/>
        </w:rPr>
        <w:t>万元，</w:t>
      </w:r>
      <w:r>
        <w:rPr>
          <w:rFonts w:hint="eastAsia" w:ascii="仿宋_GB2312" w:hAnsi="Times New Roman" w:eastAsia="仿宋_GB2312" w:cs="Wingdings"/>
          <w:color w:val="auto"/>
          <w:sz w:val="32"/>
          <w:szCs w:val="32"/>
          <w:lang w:val="en-US" w:eastAsia="zh-CN"/>
        </w:rPr>
        <w:t>减少74.25</w:t>
      </w:r>
      <w:r>
        <w:rPr>
          <w:rFonts w:hint="eastAsia" w:ascii="仿宋_GB2312" w:hAnsi="Times New Roman" w:eastAsia="仿宋_GB2312" w:cs="Wingdings"/>
          <w:color w:val="auto"/>
          <w:sz w:val="32"/>
          <w:szCs w:val="32"/>
        </w:rPr>
        <w:t>%，主要原因是</w:t>
      </w:r>
      <w:r>
        <w:rPr>
          <w:rFonts w:hint="eastAsia" w:ascii="仿宋_GB2312" w:hAnsi="Times New Roman" w:eastAsia="仿宋_GB2312" w:cs="Wingdings"/>
          <w:color w:val="auto"/>
          <w:sz w:val="32"/>
          <w:szCs w:val="32"/>
          <w:lang w:val="en-US" w:eastAsia="zh-CN"/>
        </w:rPr>
        <w:t>征地和拆迁补偿支出和农村基础设施建设支出减少</w:t>
      </w:r>
      <w:r>
        <w:rPr>
          <w:rFonts w:hint="eastAsia" w:ascii="仿宋_GB2312" w:hAnsi="Times New Roman" w:eastAsia="仿宋_GB2312" w:cs="Wingdings"/>
          <w:color w:val="auto"/>
          <w:sz w:val="32"/>
          <w:szCs w:val="32"/>
        </w:rPr>
        <w:t>；本年支出</w:t>
      </w:r>
      <w:r>
        <w:rPr>
          <w:rFonts w:hint="eastAsia" w:ascii="仿宋_GB2312" w:hAnsi="Times New Roman" w:eastAsia="仿宋_GB2312" w:cs="Wingdings"/>
          <w:color w:val="auto"/>
          <w:sz w:val="32"/>
          <w:szCs w:val="32"/>
          <w:lang w:val="en-US" w:eastAsia="zh-CN"/>
        </w:rPr>
        <w:t>53.76</w:t>
      </w:r>
      <w:r>
        <w:rPr>
          <w:rFonts w:hint="eastAsia" w:ascii="仿宋_GB2312" w:hAnsi="Times New Roman" w:eastAsia="仿宋_GB2312" w:cs="Wingdings"/>
          <w:color w:val="auto"/>
          <w:sz w:val="32"/>
          <w:szCs w:val="32"/>
        </w:rPr>
        <w:t>万元，比上年</w:t>
      </w:r>
      <w:r>
        <w:rPr>
          <w:rFonts w:hint="eastAsia" w:ascii="仿宋_GB2312" w:hAnsi="Times New Roman" w:eastAsia="仿宋_GB2312" w:cs="Wingdings"/>
          <w:color w:val="auto"/>
          <w:sz w:val="32"/>
          <w:szCs w:val="32"/>
          <w:lang w:val="en-US" w:eastAsia="zh-CN"/>
        </w:rPr>
        <w:t>减少155.00</w:t>
      </w:r>
      <w:r>
        <w:rPr>
          <w:rFonts w:hint="eastAsia" w:ascii="仿宋_GB2312" w:hAnsi="Times New Roman" w:eastAsia="仿宋_GB2312" w:cs="Wingdings"/>
          <w:color w:val="auto"/>
          <w:sz w:val="32"/>
          <w:szCs w:val="32"/>
        </w:rPr>
        <w:t>万元，</w:t>
      </w:r>
      <w:r>
        <w:rPr>
          <w:rFonts w:hint="eastAsia" w:ascii="仿宋_GB2312" w:hAnsi="Times New Roman" w:eastAsia="仿宋_GB2312" w:cs="Wingdings"/>
          <w:color w:val="auto"/>
          <w:sz w:val="32"/>
          <w:szCs w:val="32"/>
          <w:lang w:val="en-US" w:eastAsia="zh-CN"/>
        </w:rPr>
        <w:t>减少74.25</w:t>
      </w:r>
      <w:r>
        <w:rPr>
          <w:rFonts w:hint="eastAsia" w:ascii="仿宋_GB2312" w:hAnsi="Times New Roman" w:eastAsia="仿宋_GB2312" w:cs="Wingdings"/>
          <w:color w:val="auto"/>
          <w:sz w:val="32"/>
          <w:szCs w:val="32"/>
        </w:rPr>
        <w:t>%，主要原因是</w:t>
      </w:r>
      <w:r>
        <w:rPr>
          <w:rFonts w:hint="eastAsia" w:ascii="仿宋_GB2312" w:hAnsi="Times New Roman" w:eastAsia="仿宋_GB2312" w:cs="Wingdings"/>
          <w:color w:val="auto"/>
          <w:sz w:val="32"/>
          <w:szCs w:val="32"/>
          <w:lang w:val="en-US" w:eastAsia="zh-CN"/>
        </w:rPr>
        <w:t>征地和拆迁补偿支出和农村基础设施建设支出减少。</w:t>
      </w: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本部门2020年度财政拨款本年收入</w:t>
      </w:r>
      <w:r>
        <w:rPr>
          <w:rFonts w:hint="eastAsia" w:ascii="仿宋_GB2312" w:hAnsi="Times New Roman" w:eastAsia="仿宋_GB2312" w:cs="Wingdings"/>
          <w:sz w:val="32"/>
          <w:szCs w:val="32"/>
          <w:lang w:val="en-US" w:eastAsia="zh-CN"/>
        </w:rPr>
        <w:t>1305.98</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132.86</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323.04</w:t>
      </w:r>
      <w:r>
        <w:rPr>
          <w:rFonts w:hint="eastAsia" w:ascii="仿宋_GB2312" w:hAnsi="Times New Roman" w:eastAsia="仿宋_GB2312" w:cs="Wingdings"/>
          <w:sz w:val="32"/>
          <w:szCs w:val="32"/>
        </w:rPr>
        <w:t>万元，决算数大于预算数主要原因是人员工资和保险调整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增加了大气、农村环境保护、农林水支出等多个项目</w:t>
      </w:r>
      <w:r>
        <w:rPr>
          <w:rFonts w:hint="eastAsia" w:ascii="仿宋_GB2312" w:hAnsi="Times New Roman" w:eastAsia="仿宋_GB2312" w:cs="Wingdings"/>
          <w:sz w:val="32"/>
          <w:szCs w:val="32"/>
          <w:lang w:val="en-US" w:eastAsia="zh-CN"/>
        </w:rPr>
        <w:t>收入</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1305.98</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132.86</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323.04</w:t>
      </w:r>
      <w:r>
        <w:rPr>
          <w:rFonts w:hint="eastAsia" w:ascii="仿宋_GB2312" w:hAnsi="Times New Roman" w:eastAsia="仿宋_GB2312" w:cs="Wingdings"/>
          <w:sz w:val="32"/>
          <w:szCs w:val="32"/>
        </w:rPr>
        <w:t>万元，决算数大于预算数主要原因是主要是人员工资和保险调整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增加了大气、农村环境保护、农林水支出等多个项目支出。具体情况如下：</w:t>
      </w:r>
    </w:p>
    <w:p>
      <w:pPr>
        <w:numPr>
          <w:ilvl w:val="0"/>
          <w:numId w:val="2"/>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一般公共预算财政拨款本年收入完成年初预算</w:t>
      </w:r>
      <w:r>
        <w:rPr>
          <w:rFonts w:hint="eastAsia" w:ascii="仿宋_GB2312" w:hAnsi="Times New Roman" w:eastAsia="仿宋_GB2312" w:cs="Wingdings"/>
          <w:sz w:val="32"/>
          <w:szCs w:val="32"/>
          <w:lang w:val="en-US" w:eastAsia="zh-CN"/>
        </w:rPr>
        <w:t>107.36</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74.50</w:t>
      </w:r>
      <w:r>
        <w:rPr>
          <w:rFonts w:hint="eastAsia" w:ascii="仿宋_GB2312" w:hAnsi="Times New Roman" w:eastAsia="仿宋_GB2312" w:cs="Wingdings"/>
          <w:sz w:val="32"/>
          <w:szCs w:val="32"/>
        </w:rPr>
        <w:t>万元，主要是人员工资和保险调整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增加了大气、农村环境保护、农林水支出等多个项目</w:t>
      </w:r>
      <w:r>
        <w:rPr>
          <w:rFonts w:hint="eastAsia" w:ascii="仿宋_GB2312" w:hAnsi="Times New Roman" w:eastAsia="仿宋_GB2312" w:cs="Wingdings"/>
          <w:sz w:val="32"/>
          <w:szCs w:val="32"/>
          <w:lang w:val="en-US" w:eastAsia="zh-CN"/>
        </w:rPr>
        <w:t>收入</w:t>
      </w:r>
      <w:r>
        <w:rPr>
          <w:rFonts w:hint="eastAsia" w:ascii="仿宋_GB2312" w:hAnsi="Times New Roman" w:eastAsia="仿宋_GB2312" w:cs="Wingdings"/>
          <w:sz w:val="32"/>
          <w:szCs w:val="32"/>
        </w:rPr>
        <w:t>；支出完成年初预算</w:t>
      </w:r>
      <w:r>
        <w:rPr>
          <w:rFonts w:hint="eastAsia" w:ascii="仿宋_GB2312" w:hAnsi="Times New Roman" w:eastAsia="仿宋_GB2312" w:cs="Wingdings"/>
          <w:sz w:val="32"/>
          <w:szCs w:val="32"/>
          <w:lang w:val="en-US" w:eastAsia="zh-CN"/>
        </w:rPr>
        <w:t>107.36</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74.50</w:t>
      </w:r>
      <w:r>
        <w:rPr>
          <w:rFonts w:hint="eastAsia" w:ascii="仿宋_GB2312" w:hAnsi="Times New Roman" w:eastAsia="仿宋_GB2312" w:cs="Wingdings"/>
          <w:sz w:val="32"/>
          <w:szCs w:val="32"/>
        </w:rPr>
        <w:t>万元，主要是人员工资和保险调整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增加了大气、农村环境保护、农林水支出等多个项目支出。</w:t>
      </w:r>
    </w:p>
    <w:p>
      <w:pPr>
        <w:numPr>
          <w:ilvl w:val="0"/>
          <w:numId w:val="2"/>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政府性基金预算财政拨款本年收入</w:t>
      </w:r>
      <w:r>
        <w:rPr>
          <w:rFonts w:hint="eastAsia" w:ascii="仿宋_GB2312" w:hAnsi="Times New Roman" w:eastAsia="仿宋_GB2312" w:cs="Wingdings"/>
          <w:color w:val="auto"/>
          <w:sz w:val="32"/>
          <w:szCs w:val="32"/>
          <w:lang w:val="en-US" w:eastAsia="zh-CN"/>
        </w:rPr>
        <w:t>53.76</w:t>
      </w:r>
      <w:r>
        <w:rPr>
          <w:rFonts w:hint="eastAsia" w:ascii="仿宋_GB2312" w:hAnsi="Times New Roman" w:eastAsia="仿宋_GB2312" w:cs="Wingdings"/>
          <w:sz w:val="32"/>
          <w:szCs w:val="32"/>
          <w:lang w:val="en-US" w:eastAsia="zh-CN"/>
        </w:rPr>
        <w:t>万元，年初预算数0万元，调整预算数</w:t>
      </w:r>
      <w:r>
        <w:rPr>
          <w:rFonts w:hint="eastAsia" w:ascii="仿宋_GB2312" w:hAnsi="Times New Roman" w:eastAsia="仿宋_GB2312" w:cs="Wingdings"/>
          <w:color w:val="auto"/>
          <w:sz w:val="32"/>
          <w:szCs w:val="32"/>
          <w:lang w:val="en-US" w:eastAsia="zh-CN"/>
        </w:rPr>
        <w:t>53.76</w:t>
      </w:r>
      <w:r>
        <w:rPr>
          <w:rFonts w:hint="eastAsia" w:ascii="仿宋_GB2312" w:hAnsi="Times New Roman" w:eastAsia="仿宋_GB2312" w:cs="Wingdings"/>
          <w:sz w:val="32"/>
          <w:szCs w:val="32"/>
          <w:lang w:val="en-US" w:eastAsia="zh-CN"/>
        </w:rPr>
        <w:t>万元，</w:t>
      </w:r>
      <w:r>
        <w:rPr>
          <w:rFonts w:hint="eastAsia" w:ascii="仿宋_GB2312" w:hAnsi="Times New Roman" w:eastAsia="仿宋_GB2312" w:cs="Wingdings"/>
          <w:sz w:val="32"/>
          <w:szCs w:val="32"/>
        </w:rPr>
        <w:t>完成</w:t>
      </w:r>
      <w:r>
        <w:rPr>
          <w:rFonts w:hint="eastAsia" w:ascii="仿宋_GB2312" w:hAnsi="Times New Roman" w:eastAsia="仿宋_GB2312" w:cs="Wingdings"/>
          <w:sz w:val="32"/>
          <w:szCs w:val="32"/>
          <w:lang w:val="en-US" w:eastAsia="zh-CN"/>
        </w:rPr>
        <w:t>调整</w:t>
      </w:r>
      <w:r>
        <w:rPr>
          <w:rFonts w:hint="eastAsia" w:ascii="仿宋_GB2312" w:hAnsi="Times New Roman" w:eastAsia="仿宋_GB2312" w:cs="Wingdings"/>
          <w:sz w:val="32"/>
          <w:szCs w:val="32"/>
        </w:rPr>
        <w:t>预算</w:t>
      </w:r>
      <w:r>
        <w:rPr>
          <w:rFonts w:hint="eastAsia" w:ascii="仿宋_GB2312" w:hAnsi="Times New Roman" w:eastAsia="仿宋_GB2312" w:cs="Wingdings"/>
          <w:sz w:val="32"/>
          <w:szCs w:val="32"/>
          <w:highlight w:val="none"/>
          <w:lang w:val="en-US" w:eastAsia="zh-CN"/>
        </w:rPr>
        <w:t>100.00</w:t>
      </w:r>
      <w:r>
        <w:rPr>
          <w:rFonts w:hint="eastAsia" w:ascii="仿宋_GB2312" w:hAnsi="Times New Roman" w:eastAsia="仿宋_GB2312" w:cs="Wingdings"/>
          <w:sz w:val="32"/>
          <w:szCs w:val="32"/>
          <w:highlight w:val="none"/>
        </w:rPr>
        <w:t>%</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color w:val="auto"/>
          <w:sz w:val="32"/>
          <w:szCs w:val="32"/>
          <w:lang w:val="en-US" w:eastAsia="zh-CN"/>
        </w:rPr>
        <w:t>53.76</w:t>
      </w:r>
      <w:r>
        <w:rPr>
          <w:rFonts w:hint="eastAsia" w:ascii="仿宋_GB2312" w:hAnsi="Times New Roman" w:eastAsia="仿宋_GB2312" w:cs="Wingdings"/>
          <w:sz w:val="32"/>
          <w:szCs w:val="32"/>
        </w:rPr>
        <w:t>万元，主要是</w:t>
      </w:r>
      <w:r>
        <w:rPr>
          <w:rFonts w:hint="eastAsia" w:ascii="仿宋_GB2312" w:hAnsi="Times New Roman" w:eastAsia="仿宋_GB2312" w:cs="Wingdings"/>
          <w:color w:val="auto"/>
          <w:sz w:val="32"/>
          <w:szCs w:val="32"/>
          <w:lang w:val="en-US" w:eastAsia="zh-CN"/>
        </w:rPr>
        <w:t>征地和拆迁补偿费用和农村基础设施建设费用</w:t>
      </w:r>
      <w:r>
        <w:rPr>
          <w:rFonts w:hint="eastAsia" w:ascii="仿宋_GB2312" w:hAnsi="Times New Roman" w:eastAsia="仿宋_GB2312" w:cs="Wingdings"/>
          <w:sz w:val="32"/>
          <w:szCs w:val="32"/>
        </w:rPr>
        <w:t>；支出</w:t>
      </w:r>
      <w:r>
        <w:rPr>
          <w:rFonts w:hint="eastAsia" w:ascii="仿宋_GB2312" w:hAnsi="Times New Roman" w:eastAsia="仿宋_GB2312" w:cs="Wingdings"/>
          <w:color w:val="auto"/>
          <w:sz w:val="32"/>
          <w:szCs w:val="32"/>
          <w:lang w:val="en-US" w:eastAsia="zh-CN"/>
        </w:rPr>
        <w:t>53.76</w:t>
      </w:r>
      <w:r>
        <w:rPr>
          <w:rFonts w:hint="eastAsia" w:ascii="仿宋_GB2312" w:hAnsi="Times New Roman" w:eastAsia="仿宋_GB2312" w:cs="Wingdings"/>
          <w:sz w:val="32"/>
          <w:szCs w:val="32"/>
          <w:lang w:val="en-US" w:eastAsia="zh-CN"/>
        </w:rPr>
        <w:t>万元，年初预算数0万元，调整预算数</w:t>
      </w:r>
      <w:r>
        <w:rPr>
          <w:rFonts w:hint="eastAsia" w:ascii="仿宋_GB2312" w:hAnsi="Times New Roman" w:eastAsia="仿宋_GB2312" w:cs="Wingdings"/>
          <w:color w:val="auto"/>
          <w:sz w:val="32"/>
          <w:szCs w:val="32"/>
          <w:lang w:val="en-US" w:eastAsia="zh-CN"/>
        </w:rPr>
        <w:t>53.76</w:t>
      </w:r>
      <w:r>
        <w:rPr>
          <w:rFonts w:hint="eastAsia" w:ascii="仿宋_GB2312" w:hAnsi="Times New Roman" w:eastAsia="仿宋_GB2312" w:cs="Wingdings"/>
          <w:sz w:val="32"/>
          <w:szCs w:val="32"/>
          <w:lang w:val="en-US" w:eastAsia="zh-CN"/>
        </w:rPr>
        <w:t>万元，</w:t>
      </w:r>
      <w:r>
        <w:rPr>
          <w:rFonts w:hint="eastAsia" w:ascii="仿宋_GB2312" w:hAnsi="Times New Roman" w:eastAsia="仿宋_GB2312" w:cs="Wingdings"/>
          <w:sz w:val="32"/>
          <w:szCs w:val="32"/>
        </w:rPr>
        <w:t>完成</w:t>
      </w:r>
      <w:r>
        <w:rPr>
          <w:rFonts w:hint="eastAsia" w:ascii="仿宋_GB2312" w:hAnsi="Times New Roman" w:eastAsia="仿宋_GB2312" w:cs="Wingdings"/>
          <w:sz w:val="32"/>
          <w:szCs w:val="32"/>
          <w:lang w:val="en-US" w:eastAsia="zh-CN"/>
        </w:rPr>
        <w:t>调整</w:t>
      </w:r>
      <w:r>
        <w:rPr>
          <w:rFonts w:hint="eastAsia" w:ascii="仿宋_GB2312" w:hAnsi="Times New Roman" w:eastAsia="仿宋_GB2312" w:cs="Wingdings"/>
          <w:sz w:val="32"/>
          <w:szCs w:val="32"/>
        </w:rPr>
        <w:t>预算</w:t>
      </w:r>
      <w:r>
        <w:rPr>
          <w:rFonts w:hint="eastAsia" w:ascii="仿宋_GB2312" w:hAnsi="Times New Roman" w:eastAsia="仿宋_GB2312" w:cs="Wingdings"/>
          <w:sz w:val="32"/>
          <w:szCs w:val="32"/>
          <w:highlight w:val="none"/>
          <w:lang w:val="en-US" w:eastAsia="zh-CN"/>
        </w:rPr>
        <w:t>100.00</w:t>
      </w:r>
      <w:r>
        <w:rPr>
          <w:rFonts w:hint="eastAsia" w:ascii="仿宋_GB2312" w:hAnsi="Times New Roman" w:eastAsia="仿宋_GB2312" w:cs="Wingdings"/>
          <w:sz w:val="32"/>
          <w:szCs w:val="32"/>
          <w:highlight w:val="none"/>
        </w:rPr>
        <w:t>%</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color w:val="auto"/>
          <w:sz w:val="32"/>
          <w:szCs w:val="32"/>
          <w:lang w:val="en-US" w:eastAsia="zh-CN"/>
        </w:rPr>
        <w:t>53.76</w:t>
      </w:r>
      <w:r>
        <w:rPr>
          <w:rFonts w:hint="eastAsia" w:ascii="仿宋_GB2312" w:hAnsi="Times New Roman" w:eastAsia="仿宋_GB2312" w:cs="Wingdings"/>
          <w:sz w:val="32"/>
          <w:szCs w:val="32"/>
        </w:rPr>
        <w:t>万元，主要是</w:t>
      </w:r>
      <w:r>
        <w:rPr>
          <w:rFonts w:hint="eastAsia" w:ascii="仿宋_GB2312" w:hAnsi="Times New Roman" w:eastAsia="仿宋_GB2312" w:cs="Wingdings"/>
          <w:color w:val="auto"/>
          <w:sz w:val="32"/>
          <w:szCs w:val="32"/>
          <w:lang w:val="en-US" w:eastAsia="zh-CN"/>
        </w:rPr>
        <w:t>征地和拆迁补偿费用和农村基础设施建设费用</w:t>
      </w:r>
      <w:r>
        <w:rPr>
          <w:rFonts w:hint="eastAsia" w:ascii="仿宋_GB2312" w:hAnsi="Times New Roman" w:eastAsia="仿宋_GB2312" w:cs="Wingdings"/>
          <w:sz w:val="32"/>
          <w:szCs w:val="32"/>
        </w:rPr>
        <w:t>。</w:t>
      </w:r>
    </w:p>
    <w:p>
      <w:pPr>
        <w:numPr>
          <w:ilvl w:val="0"/>
          <w:numId w:val="3"/>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ascii="楷体_GB2312" w:hAnsi="Times New Roman" w:eastAsia="楷体_GB2312" w:cs="Mongolian Baiti"/>
          <w:b/>
          <w:bCs/>
          <w:sz w:val="32"/>
          <w:szCs w:val="32"/>
        </w:rPr>
      </w:pPr>
      <w:r>
        <w:rPr>
          <w:rFonts w:hint="eastAsia" w:ascii="仿宋_GB2312" w:hAnsi="Times New Roman" w:eastAsia="仿宋_GB2312" w:cs="Wingdings"/>
          <w:sz w:val="32"/>
          <w:szCs w:val="32"/>
        </w:rPr>
        <w:t>2020 年度财政拨款支出</w:t>
      </w:r>
      <w:r>
        <w:rPr>
          <w:rFonts w:hint="eastAsia" w:ascii="仿宋_GB2312" w:hAnsi="Times New Roman" w:eastAsia="仿宋_GB2312" w:cs="Wingdings"/>
          <w:sz w:val="32"/>
          <w:szCs w:val="32"/>
          <w:lang w:val="en-US" w:eastAsia="zh-CN"/>
        </w:rPr>
        <w:t>1305.98</w:t>
      </w:r>
      <w:r>
        <w:rPr>
          <w:rFonts w:hint="eastAsia" w:ascii="仿宋_GB2312" w:hAnsi="Times New Roman" w:eastAsia="仿宋_GB2312" w:cs="Wingdings"/>
          <w:sz w:val="32"/>
          <w:szCs w:val="32"/>
        </w:rPr>
        <w:t>万元，主要用于以下方面：比如：一般公共服务（类）支出</w:t>
      </w:r>
      <w:r>
        <w:rPr>
          <w:rFonts w:hint="eastAsia" w:ascii="仿宋_GB2312" w:hAnsi="Times New Roman" w:eastAsia="仿宋_GB2312" w:cs="Wingdings"/>
          <w:sz w:val="32"/>
          <w:szCs w:val="32"/>
          <w:lang w:val="en-US" w:eastAsia="zh-CN"/>
        </w:rPr>
        <w:t>635.20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48.64</w:t>
      </w:r>
      <w:r>
        <w:rPr>
          <w:rFonts w:hint="eastAsia" w:ascii="仿宋_GB2312" w:hAnsi="Times New Roman" w:eastAsia="仿宋_GB2312" w:cs="Wingdings"/>
          <w:sz w:val="32"/>
          <w:szCs w:val="32"/>
        </w:rPr>
        <w:t>%，；文化旅游体育与传媒</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类</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7.00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0.54</w:t>
      </w:r>
      <w:r>
        <w:rPr>
          <w:rFonts w:hint="eastAsia" w:ascii="仿宋_GB2312" w:hAnsi="Times New Roman" w:eastAsia="仿宋_GB2312" w:cs="Wingdings"/>
          <w:sz w:val="32"/>
          <w:szCs w:val="32"/>
        </w:rPr>
        <w:t>%；社会保障和就业</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类</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77.95</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5.97</w:t>
      </w:r>
      <w:r>
        <w:rPr>
          <w:rFonts w:hint="eastAsia" w:ascii="仿宋_GB2312" w:hAnsi="Times New Roman" w:eastAsia="仿宋_GB2312" w:cs="Wingdings"/>
          <w:sz w:val="32"/>
          <w:szCs w:val="32"/>
        </w:rPr>
        <w:t>%；卫生健康</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类</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32.94</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2.52</w:t>
      </w:r>
      <w:r>
        <w:rPr>
          <w:rFonts w:hint="eastAsia" w:ascii="仿宋_GB2312" w:hAnsi="Times New Roman" w:eastAsia="仿宋_GB2312" w:cs="Wingdings"/>
          <w:sz w:val="32"/>
          <w:szCs w:val="32"/>
        </w:rPr>
        <w:t>%；城</w:t>
      </w:r>
      <w:r>
        <w:rPr>
          <w:rFonts w:hint="eastAsia" w:ascii="仿宋_GB2312" w:hAnsi="Times New Roman" w:eastAsia="仿宋_GB2312" w:cs="Wingdings"/>
          <w:sz w:val="32"/>
          <w:szCs w:val="32"/>
          <w:lang w:eastAsia="zh-CN"/>
        </w:rPr>
        <w:t>镇</w:t>
      </w:r>
      <w:r>
        <w:rPr>
          <w:rFonts w:hint="eastAsia" w:ascii="仿宋_GB2312" w:hAnsi="Times New Roman" w:eastAsia="仿宋_GB2312" w:cs="Wingdings"/>
          <w:sz w:val="32"/>
          <w:szCs w:val="32"/>
        </w:rPr>
        <w:t>社区</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类</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53.76</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4.12</w:t>
      </w:r>
      <w:r>
        <w:rPr>
          <w:rFonts w:hint="eastAsia" w:ascii="仿宋_GB2312" w:hAnsi="Times New Roman" w:eastAsia="仿宋_GB2312" w:cs="Wingdings"/>
          <w:sz w:val="32"/>
          <w:szCs w:val="32"/>
        </w:rPr>
        <w:t>%；农林水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类</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465.09</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35.61</w:t>
      </w:r>
      <w:r>
        <w:rPr>
          <w:rFonts w:hint="eastAsia" w:ascii="仿宋_GB2312" w:hAnsi="Times New Roman" w:eastAsia="仿宋_GB2312" w:cs="Wingdings"/>
          <w:sz w:val="32"/>
          <w:szCs w:val="32"/>
        </w:rPr>
        <w:t>%;住房保障</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类</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34.04万元，占2.61%</w:t>
      </w:r>
      <w:r>
        <w:rPr>
          <w:rFonts w:hint="eastAsia" w:ascii="仿宋_GB2312" w:hAnsi="Times New Roman" w:eastAsia="仿宋_GB2312" w:cs="Wingdings"/>
          <w:sz w:val="32"/>
          <w:szCs w:val="32"/>
        </w:rPr>
        <w:t>。</w:t>
      </w: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hint="eastAsia" w:ascii="仿宋_GB2312" w:hAnsi="Times New Roman" w:eastAsia="仿宋_GB2312" w:cs="Wingdings"/>
          <w:sz w:val="32"/>
          <w:szCs w:val="32"/>
          <w:lang w:eastAsia="zh-CN"/>
        </w:rPr>
      </w:pPr>
      <w:r>
        <w:rPr>
          <w:rFonts w:hint="eastAsia" w:ascii="仿宋_GB2312" w:hAnsi="Times New Roman" w:eastAsia="仿宋_GB2312" w:cs="Wingdings"/>
          <w:sz w:val="32"/>
          <w:szCs w:val="32"/>
        </w:rPr>
        <w:t>2020 年度财政拨款基本支出770</w:t>
      </w:r>
      <w:r>
        <w:rPr>
          <w:rFonts w:hint="eastAsia" w:ascii="仿宋_GB2312" w:hAnsi="Times New Roman" w:eastAsia="仿宋_GB2312" w:cs="Wingdings"/>
          <w:sz w:val="32"/>
          <w:szCs w:val="32"/>
          <w:lang w:val="en-US" w:eastAsia="zh-CN"/>
        </w:rPr>
        <w:t>.</w:t>
      </w:r>
      <w:r>
        <w:rPr>
          <w:rFonts w:hint="eastAsia" w:ascii="仿宋_GB2312" w:hAnsi="Times New Roman" w:eastAsia="仿宋_GB2312" w:cs="Wingdings"/>
          <w:sz w:val="32"/>
          <w:szCs w:val="32"/>
        </w:rPr>
        <w:t>13万元，其中：人员经费665</w:t>
      </w:r>
      <w:r>
        <w:rPr>
          <w:rFonts w:hint="eastAsia" w:ascii="仿宋_GB2312" w:hAnsi="Times New Roman" w:eastAsia="仿宋_GB2312" w:cs="Wingdings"/>
          <w:sz w:val="32"/>
          <w:szCs w:val="32"/>
          <w:lang w:val="en-US" w:eastAsia="zh-CN"/>
        </w:rPr>
        <w:t>.</w:t>
      </w:r>
      <w:r>
        <w:rPr>
          <w:rFonts w:hint="eastAsia" w:ascii="仿宋_GB2312" w:hAnsi="Times New Roman" w:eastAsia="仿宋_GB2312" w:cs="Wingdings"/>
          <w:sz w:val="32"/>
          <w:szCs w:val="32"/>
        </w:rPr>
        <w:t>3</w:t>
      </w:r>
      <w:r>
        <w:rPr>
          <w:rFonts w:hint="eastAsia" w:ascii="仿宋_GB2312" w:hAnsi="Times New Roman" w:eastAsia="仿宋_GB2312" w:cs="Wingdings"/>
          <w:sz w:val="32"/>
          <w:szCs w:val="32"/>
          <w:lang w:val="en-US" w:eastAsia="zh-CN"/>
        </w:rPr>
        <w:t>6</w:t>
      </w:r>
      <w:r>
        <w:rPr>
          <w:rFonts w:hint="eastAsia" w:ascii="仿宋_GB2312" w:hAnsi="Times New Roman" w:eastAsia="仿宋_GB2312" w:cs="Wingdings"/>
          <w:sz w:val="32"/>
          <w:szCs w:val="32"/>
        </w:rPr>
        <w:t>万元，主要包括基本工资、津贴补贴、奖金、绩效工资、机关事业单位基本养老保险缴费、职业年金缴费、职工基本医疗保险缴费、住房公积金、其他社会保障缴费、其他工资福利支出、退休费、抚恤金、生活补助、奖励金、其他对个人和家庭的补助支出；公用经费</w:t>
      </w:r>
      <w:r>
        <w:rPr>
          <w:rFonts w:hint="eastAsia" w:ascii="仿宋_GB2312" w:hAnsi="Times New Roman" w:eastAsia="仿宋_GB2312" w:cs="Wingdings"/>
          <w:sz w:val="32"/>
          <w:szCs w:val="32"/>
          <w:lang w:val="en-US" w:eastAsia="zh-CN"/>
        </w:rPr>
        <w:t>104.77</w:t>
      </w:r>
      <w:r>
        <w:rPr>
          <w:rFonts w:hint="eastAsia" w:ascii="仿宋_GB2312" w:hAnsi="Times New Roman" w:eastAsia="仿宋_GB2312" w:cs="Wingdings"/>
          <w:sz w:val="32"/>
          <w:szCs w:val="32"/>
        </w:rPr>
        <w:t>万元，主要包括办公费</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邮电费、取暖费、维修（护）费</w:t>
      </w:r>
      <w:r>
        <w:rPr>
          <w:rFonts w:hint="eastAsia" w:ascii="仿宋_GB2312" w:hAnsi="Times New Roman" w:eastAsia="仿宋_GB2312" w:cs="Wingdings"/>
          <w:sz w:val="32"/>
          <w:szCs w:val="32"/>
          <w:lang w:eastAsia="zh-CN"/>
        </w:rPr>
        <w:t>、 劳务费、委托业务费、</w:t>
      </w:r>
      <w:r>
        <w:rPr>
          <w:rFonts w:hint="eastAsia" w:ascii="仿宋_GB2312" w:hAnsi="Times New Roman" w:eastAsia="仿宋_GB2312" w:cs="Wingdings"/>
          <w:sz w:val="32"/>
          <w:szCs w:val="32"/>
        </w:rPr>
        <w:t>公务用车运行维护费、其他交通费用、其他商品和服务支出</w:t>
      </w:r>
      <w:r>
        <w:rPr>
          <w:rFonts w:hint="eastAsia" w:ascii="仿宋_GB2312" w:hAnsi="Times New Roman" w:eastAsia="仿宋_GB2312" w:cs="Wingdings"/>
          <w:sz w:val="32"/>
          <w:szCs w:val="32"/>
          <w:lang w:eastAsia="zh-CN"/>
        </w:rPr>
        <w:t>。</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w:t>
      </w:r>
      <w:r>
        <w:rPr>
          <w:rFonts w:hint="eastAsia" w:ascii="仿宋_GB2312" w:hAnsi="Times New Roman" w:eastAsia="仿宋_GB2312" w:cs="Wingdings"/>
          <w:sz w:val="32"/>
          <w:szCs w:val="32"/>
          <w:lang w:val="en-US" w:eastAsia="zh-CN"/>
        </w:rPr>
        <w:t>6.00</w:t>
      </w:r>
      <w:r>
        <w:rPr>
          <w:rFonts w:hint="eastAsia" w:ascii="仿宋_GB2312" w:hAnsi="Times New Roman" w:eastAsia="仿宋_GB2312" w:cs="Wingdings"/>
          <w:sz w:val="32"/>
          <w:szCs w:val="32"/>
        </w:rPr>
        <w:t>万元，支出决算为</w:t>
      </w:r>
      <w:r>
        <w:rPr>
          <w:rFonts w:hint="eastAsia" w:ascii="仿宋_GB2312" w:hAnsi="Times New Roman" w:eastAsia="仿宋_GB2312" w:cs="Wingdings"/>
          <w:sz w:val="32"/>
          <w:szCs w:val="32"/>
          <w:lang w:val="en-US" w:eastAsia="zh-CN"/>
        </w:rPr>
        <w:t>6.00</w:t>
      </w:r>
      <w:r>
        <w:rPr>
          <w:rFonts w:hint="eastAsia" w:ascii="仿宋_GB2312" w:hAnsi="Times New Roman" w:eastAsia="仿宋_GB2312" w:cs="Wingdings"/>
          <w:sz w:val="32"/>
          <w:szCs w:val="32"/>
        </w:rPr>
        <w:t>元，完成预算的</w:t>
      </w:r>
      <w:r>
        <w:rPr>
          <w:rFonts w:hint="eastAsia" w:ascii="仿宋_GB2312" w:hAnsi="Times New Roman" w:eastAsia="仿宋_GB2312" w:cs="Wingdings"/>
          <w:sz w:val="32"/>
          <w:szCs w:val="32"/>
          <w:lang w:val="en-US" w:eastAsia="zh-CN"/>
        </w:rPr>
        <w:t>100.00</w:t>
      </w:r>
      <w:r>
        <w:rPr>
          <w:rFonts w:hint="eastAsia" w:ascii="仿宋_GB2312" w:hAnsi="Times New Roman" w:eastAsia="仿宋_GB2312" w:cs="Wingdings"/>
          <w:sz w:val="32"/>
          <w:szCs w:val="32"/>
        </w:rPr>
        <w:t>%,较预算增加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2020年防火巡查增多</w:t>
      </w:r>
      <w:r>
        <w:rPr>
          <w:rFonts w:hint="eastAsia" w:ascii="仿宋_GB2312" w:hAnsi="Times New Roman" w:eastAsia="仿宋_GB2312" w:cs="Wingdings"/>
          <w:sz w:val="32"/>
          <w:szCs w:val="32"/>
        </w:rPr>
        <w:t>；较2019年度增加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2020年防火巡查增多</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w:t>
      </w:r>
      <w:r>
        <w:rPr>
          <w:rFonts w:hint="eastAsia" w:ascii="仿宋_GB2312" w:hAnsi="仿宋_GB2312" w:eastAsia="仿宋_GB2312" w:cs="仿宋_GB2312"/>
          <w:b w:val="0"/>
          <w:bCs w:val="0"/>
          <w:sz w:val="32"/>
          <w:szCs w:val="32"/>
          <w:lang w:val="en-US" w:eastAsia="zh-CN"/>
        </w:rPr>
        <w:t>年因公出国（境）费</w:t>
      </w:r>
      <w:r>
        <w:rPr>
          <w:rFonts w:hint="eastAsia" w:ascii="仿宋_GB2312" w:hAnsi="仿宋_GB2312" w:eastAsia="仿宋_GB2312" w:cs="仿宋_GB2312"/>
          <w:b w:val="0"/>
          <w:bCs w:val="0"/>
          <w:sz w:val="32"/>
          <w:szCs w:val="32"/>
        </w:rPr>
        <w:t>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万元，完成预算的</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w:t>
      </w:r>
      <w:r>
        <w:rPr>
          <w:rFonts w:hint="eastAsia" w:ascii="仿宋_GB2312" w:hAnsi="Times New Roman" w:eastAsia="仿宋_GB2312" w:cs="Wingdings"/>
          <w:sz w:val="32"/>
          <w:szCs w:val="32"/>
        </w:rPr>
        <w:t>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人、参加其他单位组织的因公出国（境）团组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人/无本单位组织的出国（境）团组。因公出国（境）费支出较预算增加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未发生因公出国（境）费支出</w:t>
      </w:r>
      <w:r>
        <w:rPr>
          <w:rFonts w:hint="eastAsia" w:ascii="仿宋_GB2312" w:hAnsi="Times New Roman" w:eastAsia="仿宋_GB2312" w:cs="Wingdings"/>
          <w:sz w:val="32"/>
          <w:szCs w:val="32"/>
        </w:rPr>
        <w:t>；较上年增加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未发生因公出国（境）费支出</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2.公务用车购置及运行维护费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lang w:eastAsia="zh-CN"/>
        </w:rPr>
        <w:t>本部门2020</w:t>
      </w:r>
      <w:r>
        <w:rPr>
          <w:rFonts w:hint="eastAsia" w:ascii="仿宋_GB2312" w:hAnsi="仿宋_GB2312" w:eastAsia="仿宋_GB2312" w:cs="仿宋_GB2312"/>
          <w:b w:val="0"/>
          <w:bCs w:val="0"/>
          <w:sz w:val="32"/>
          <w:szCs w:val="32"/>
          <w:lang w:val="en-US" w:eastAsia="zh-CN"/>
        </w:rPr>
        <w:t>年</w:t>
      </w:r>
      <w:r>
        <w:rPr>
          <w:rFonts w:hint="eastAsia" w:ascii="仿宋_GB2312" w:hAnsi="仿宋_GB2312" w:eastAsia="仿宋_GB2312" w:cs="仿宋_GB2312"/>
          <w:b w:val="0"/>
          <w:bCs w:val="0"/>
          <w:sz w:val="32"/>
          <w:szCs w:val="32"/>
        </w:rPr>
        <w:t>公务用车购置及运行维护费</w:t>
      </w:r>
      <w:r>
        <w:rPr>
          <w:rFonts w:hint="eastAsia" w:ascii="仿宋_GB2312" w:hAnsi="仿宋_GB2312" w:eastAsia="仿宋_GB2312" w:cs="仿宋_GB2312"/>
          <w:b w:val="0"/>
          <w:bCs w:val="0"/>
          <w:sz w:val="32"/>
          <w:szCs w:val="32"/>
          <w:lang w:eastAsia="zh-CN"/>
        </w:rPr>
        <w:t>支出</w:t>
      </w:r>
      <w:r>
        <w:rPr>
          <w:rFonts w:hint="eastAsia" w:ascii="仿宋_GB2312" w:hAnsi="仿宋_GB2312" w:eastAsia="仿宋_GB2312" w:cs="仿宋_GB2312"/>
          <w:b w:val="0"/>
          <w:bCs w:val="0"/>
          <w:sz w:val="32"/>
          <w:szCs w:val="32"/>
          <w:lang w:val="en-US" w:eastAsia="zh-CN"/>
        </w:rPr>
        <w:t>6.00</w:t>
      </w:r>
      <w:r>
        <w:rPr>
          <w:rFonts w:hint="eastAsia" w:ascii="仿宋_GB2312" w:hAnsi="仿宋_GB2312" w:eastAsia="仿宋_GB2312" w:cs="仿宋_GB2312"/>
          <w:b w:val="0"/>
          <w:bCs w:val="0"/>
          <w:sz w:val="32"/>
          <w:szCs w:val="32"/>
          <w:lang w:eastAsia="zh-CN"/>
        </w:rPr>
        <w:t>万元，完成预算的</w:t>
      </w:r>
      <w:r>
        <w:rPr>
          <w:rFonts w:hint="eastAsia" w:ascii="仿宋_GB2312" w:hAnsi="仿宋_GB2312" w:eastAsia="仿宋_GB2312" w:cs="仿宋_GB2312"/>
          <w:b w:val="0"/>
          <w:bCs w:val="0"/>
          <w:sz w:val="32"/>
          <w:szCs w:val="32"/>
          <w:lang w:val="en-US" w:eastAsia="zh-CN"/>
        </w:rPr>
        <w:t>100.00</w:t>
      </w:r>
      <w:r>
        <w:rPr>
          <w:rFonts w:hint="eastAsia" w:ascii="仿宋_GB2312" w:hAnsi="仿宋_GB2312" w:eastAsia="仿宋_GB2312" w:cs="仿宋_GB2312"/>
          <w:b w:val="0"/>
          <w:bCs w:val="0"/>
          <w:sz w:val="32"/>
          <w:szCs w:val="32"/>
          <w:lang w:eastAsia="zh-CN"/>
        </w:rPr>
        <w:t>%，</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2020年防火巡查增多</w:t>
      </w:r>
      <w:r>
        <w:rPr>
          <w:rFonts w:hint="eastAsia" w:ascii="仿宋_GB2312" w:hAnsi="Times New Roman" w:eastAsia="仿宋_GB2312" w:cs="Wingdings"/>
          <w:sz w:val="32"/>
          <w:szCs w:val="32"/>
        </w:rPr>
        <w:t>；较上年减少</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2020年防火巡查增多</w:t>
      </w:r>
      <w:r>
        <w:rPr>
          <w:rFonts w:hint="eastAsia" w:ascii="仿宋_GB2312" w:hAnsi="Times New Roman" w:eastAsia="仿宋_GB2312" w:cs="Wingdings"/>
          <w:sz w:val="32"/>
          <w:szCs w:val="32"/>
        </w:rPr>
        <w:t>。</w:t>
      </w: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辆，发生“公务用车购置”经费支出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万元。公务用车购置费支出较预算增加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未发生公务用车购置经费支出</w:t>
      </w:r>
      <w:r>
        <w:rPr>
          <w:rFonts w:hint="eastAsia" w:ascii="仿宋_GB2312" w:hAnsi="Times New Roman" w:eastAsia="仿宋_GB2312" w:cs="Wingdings"/>
          <w:sz w:val="32"/>
          <w:szCs w:val="32"/>
        </w:rPr>
        <w:t>；较上年增加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未发生公务用车购置经费支出</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w:t>
      </w:r>
      <w:r>
        <w:rPr>
          <w:rFonts w:hint="eastAsia" w:ascii="仿宋_GB2312" w:hAnsi="Times New Roman" w:eastAsia="仿宋_GB2312" w:cs="Wingdings"/>
          <w:sz w:val="32"/>
          <w:szCs w:val="32"/>
          <w:lang w:val="en-US" w:eastAsia="zh-CN"/>
        </w:rPr>
        <w:t>2</w:t>
      </w:r>
      <w:r>
        <w:rPr>
          <w:rFonts w:hint="eastAsia" w:ascii="仿宋_GB2312" w:hAnsi="Times New Roman" w:eastAsia="仿宋_GB2312" w:cs="Wingdings"/>
          <w:sz w:val="32"/>
          <w:szCs w:val="32"/>
        </w:rPr>
        <w:t>辆</w:t>
      </w:r>
      <w:r>
        <w:rPr>
          <w:rFonts w:hint="eastAsia" w:ascii="仿宋_GB2312" w:hAnsi="Times New Roman" w:eastAsia="仿宋_GB2312" w:cs="Wingdings"/>
          <w:sz w:val="32"/>
          <w:szCs w:val="32"/>
          <w:lang w:val="en-US" w:eastAsia="zh-CN"/>
        </w:rPr>
        <w:t>,发生运行维护费支出6.00万元</w:t>
      </w:r>
      <w:r>
        <w:rPr>
          <w:rFonts w:hint="eastAsia" w:ascii="仿宋_GB2312" w:hAnsi="Times New Roman" w:eastAsia="仿宋_GB2312" w:cs="Wingdings"/>
          <w:sz w:val="32"/>
          <w:szCs w:val="32"/>
        </w:rPr>
        <w:t>。公车运行维护费支出较预算增加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2020年防火巡查增多</w:t>
      </w:r>
      <w:r>
        <w:rPr>
          <w:rFonts w:hint="eastAsia" w:ascii="仿宋_GB2312" w:hAnsi="Times New Roman" w:eastAsia="仿宋_GB2312" w:cs="Wingdings"/>
          <w:sz w:val="32"/>
          <w:szCs w:val="32"/>
        </w:rPr>
        <w:t>；较上年增加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2020年公车防火巡查增多</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3.公务接待费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本部门2020年公务用车购置及运行维护费支出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万元，完成预算的</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发生</w:t>
      </w:r>
      <w:r>
        <w:rPr>
          <w:rFonts w:hint="eastAsia" w:ascii="仿宋_GB2312" w:hAnsi="Times New Roman" w:eastAsia="仿宋_GB2312" w:cs="Wingdings"/>
          <w:sz w:val="32"/>
          <w:szCs w:val="32"/>
        </w:rPr>
        <w:t>公务接待共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批次、</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人次。公务接待费支出较预算减少</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未发生公务接待费支出</w:t>
      </w:r>
      <w:r>
        <w:rPr>
          <w:rFonts w:hint="eastAsia" w:ascii="仿宋_GB2312" w:hAnsi="Times New Roman" w:eastAsia="仿宋_GB2312" w:cs="Wingdings"/>
          <w:sz w:val="32"/>
          <w:szCs w:val="32"/>
        </w:rPr>
        <w:t>；较上年度减少</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未发生公务接待费支出</w:t>
      </w:r>
      <w:r>
        <w:rPr>
          <w:rFonts w:hint="eastAsia" w:ascii="仿宋_GB2312" w:hAnsi="Times New Roman" w:eastAsia="仿宋_GB2312" w:cs="Wingdings"/>
          <w:sz w:val="32"/>
          <w:szCs w:val="32"/>
        </w:rPr>
        <w:t>。</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根据预算绩效管理要求，本部门组织对2020年度项目支出全面开展绩效自评，其中，一般公共预算</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级项目</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482.09</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100.00%</w:t>
      </w:r>
      <w:r>
        <w:rPr>
          <w:rFonts w:hint="eastAsia" w:ascii="仿宋_GB2312" w:hAnsi="仿宋_GB2312" w:eastAsia="仿宋_GB2312" w:cs="仿宋_GB2312"/>
          <w:sz w:val="32"/>
          <w:szCs w:val="32"/>
        </w:rPr>
        <w:t>；政府性基金预算</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级项目</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53.76</w:t>
      </w:r>
      <w:r>
        <w:rPr>
          <w:rFonts w:hint="eastAsia" w:ascii="仿宋_GB2312" w:hAnsi="仿宋_GB2312" w:eastAsia="仿宋_GB2312" w:cs="仿宋_GB2312"/>
          <w:sz w:val="32"/>
          <w:szCs w:val="32"/>
        </w:rPr>
        <w:t>万元，占政府性基金预算项目支出总额的</w:t>
      </w:r>
      <w:r>
        <w:rPr>
          <w:rFonts w:hint="eastAsia" w:ascii="仿宋_GB2312" w:hAnsi="仿宋_GB2312" w:eastAsia="仿宋_GB2312" w:cs="仿宋_GB2312"/>
          <w:sz w:val="32"/>
          <w:szCs w:val="32"/>
          <w:lang w:val="en-US" w:eastAsia="zh-CN"/>
        </w:rPr>
        <w:t>100.00%</w:t>
      </w:r>
      <w:r>
        <w:rPr>
          <w:rFonts w:hint="eastAsia" w:ascii="仿宋_GB2312" w:hAnsi="仿宋_GB2312" w:eastAsia="仿宋_GB2312" w:cs="仿宋_GB2312"/>
          <w:sz w:val="32"/>
          <w:szCs w:val="32"/>
        </w:rPr>
        <w:t>。</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组织对“</w:t>
      </w:r>
      <w:r>
        <w:rPr>
          <w:rFonts w:hint="eastAsia" w:ascii="仿宋_GB2312" w:hAnsi="仿宋_GB2312" w:eastAsia="仿宋_GB2312" w:cs="仿宋_GB2312"/>
          <w:sz w:val="32"/>
          <w:szCs w:val="32"/>
          <w:lang w:val="en-US" w:eastAsia="zh-CN"/>
        </w:rPr>
        <w:t>村干部基础职务补贴</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级项目开展了部门评价，涉及一般公共预算支出</w:t>
      </w:r>
      <w:r>
        <w:rPr>
          <w:rFonts w:hint="eastAsia" w:ascii="仿宋_GB2312" w:hAnsi="仿宋_GB2312" w:eastAsia="仿宋_GB2312" w:cs="仿宋_GB2312"/>
          <w:sz w:val="32"/>
          <w:szCs w:val="32"/>
          <w:lang w:val="en-US" w:eastAsia="zh-CN"/>
        </w:rPr>
        <w:t>59.93</w:t>
      </w:r>
      <w:r>
        <w:rPr>
          <w:rFonts w:hint="eastAsia" w:ascii="仿宋_GB2312" w:hAnsi="仿宋_GB2312" w:eastAsia="仿宋_GB2312" w:cs="仿宋_GB2312"/>
          <w:sz w:val="32"/>
          <w:szCs w:val="32"/>
        </w:rPr>
        <w:t>万元，政府性基金预算支出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万元。其中，对“</w:t>
      </w:r>
      <w:r>
        <w:rPr>
          <w:rFonts w:hint="eastAsia" w:ascii="仿宋_GB2312" w:hAnsi="仿宋_GB2312" w:eastAsia="仿宋_GB2312" w:cs="仿宋_GB2312"/>
          <w:sz w:val="32"/>
          <w:szCs w:val="32"/>
          <w:lang w:val="en-US" w:eastAsia="zh-CN"/>
        </w:rPr>
        <w:t>村干部基础职务补贴</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于家庄</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防控经费”等项目分别委托</w:t>
      </w:r>
      <w:r>
        <w:rPr>
          <w:rFonts w:hint="eastAsia" w:ascii="仿宋_GB2312" w:hAnsi="仿宋_GB2312" w:eastAsia="仿宋_GB2312" w:cs="仿宋_GB2312"/>
          <w:sz w:val="32"/>
          <w:szCs w:val="32"/>
          <w:lang w:val="en-US" w:eastAsia="zh-CN"/>
        </w:rPr>
        <w:t>单位内控</w:t>
      </w:r>
      <w:r>
        <w:rPr>
          <w:rFonts w:hint="eastAsia" w:ascii="仿宋_GB2312" w:hAnsi="仿宋_GB2312" w:eastAsia="仿宋_GB2312" w:cs="仿宋_GB2312"/>
          <w:sz w:val="32"/>
          <w:szCs w:val="32"/>
        </w:rPr>
        <w:t>机构开展绩效评价。从评价情况来看，本部门对</w:t>
      </w: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rPr>
        <w:t>个项目均能按时、按质、按量对资金予以作用及发放到位。</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w:t>
      </w:r>
      <w:r>
        <w:rPr>
          <w:rFonts w:hint="eastAsia" w:ascii="仿宋_GB2312" w:hAnsi="仿宋_GB2312" w:eastAsia="仿宋_GB2312" w:cs="仿宋_GB2312"/>
          <w:sz w:val="32"/>
          <w:szCs w:val="32"/>
          <w:lang w:val="en-US" w:eastAsia="zh-CN"/>
        </w:rPr>
        <w:t>一般公共预算</w:t>
      </w:r>
      <w:r>
        <w:rPr>
          <w:rFonts w:hint="eastAsia" w:ascii="仿宋_GB2312" w:hAnsi="仿宋_GB2312" w:eastAsia="仿宋_GB2312" w:cs="仿宋_GB2312"/>
          <w:sz w:val="32"/>
          <w:szCs w:val="32"/>
        </w:rPr>
        <w:t>项目及</w:t>
      </w:r>
      <w:r>
        <w:rPr>
          <w:rFonts w:hint="eastAsia" w:ascii="仿宋_GB2312" w:hAnsi="仿宋_GB2312" w:eastAsia="仿宋_GB2312" w:cs="仿宋_GB2312"/>
          <w:sz w:val="32"/>
          <w:szCs w:val="32"/>
          <w:lang w:val="en-US" w:eastAsia="zh-CN"/>
        </w:rPr>
        <w:t>政府性基金预算</w:t>
      </w:r>
      <w:r>
        <w:rPr>
          <w:rFonts w:hint="eastAsia" w:ascii="仿宋_GB2312" w:hAnsi="仿宋_GB2312" w:eastAsia="仿宋_GB2312" w:cs="仿宋_GB2312"/>
          <w:sz w:val="32"/>
          <w:szCs w:val="32"/>
        </w:rPr>
        <w:t>项目等</w:t>
      </w: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rPr>
        <w:t>个项目绩效自评结果。</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下达2019市级乡村振兴资金</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下达2019市级乡村振兴资金</w:t>
      </w:r>
      <w:r>
        <w:rPr>
          <w:rFonts w:hint="eastAsia" w:ascii="仿宋_GB2312" w:hAnsi="仿宋_GB2312" w:eastAsia="仿宋_GB2312" w:cs="仿宋_GB2312"/>
          <w:sz w:val="32"/>
          <w:szCs w:val="32"/>
        </w:rPr>
        <w:t>”项目绩效自评得分为100分（绩效自评表附后）。全年预算数为</w:t>
      </w:r>
      <w:r>
        <w:rPr>
          <w:rFonts w:hint="eastAsia" w:ascii="仿宋_GB2312" w:hAnsi="仿宋_GB2312" w:eastAsia="仿宋_GB2312" w:cs="仿宋_GB2312"/>
          <w:sz w:val="32"/>
          <w:szCs w:val="32"/>
          <w:lang w:val="en-US" w:eastAsia="zh-CN"/>
        </w:rPr>
        <w:t>21.70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21.70</w:t>
      </w:r>
      <w:r>
        <w:rPr>
          <w:rFonts w:hint="eastAsia" w:ascii="仿宋_GB2312" w:hAnsi="仿宋_GB2312" w:eastAsia="仿宋_GB2312" w:cs="仿宋_GB2312"/>
          <w:sz w:val="32"/>
          <w:szCs w:val="32"/>
        </w:rPr>
        <w:t>万元，完成预算的100%。项目绩效目标完成情况：一是推动</w:t>
      </w:r>
      <w:r>
        <w:rPr>
          <w:rFonts w:hint="eastAsia" w:ascii="仿宋_GB2312" w:hAnsi="仿宋_GB2312" w:eastAsia="仿宋_GB2312" w:cs="仿宋_GB2312"/>
          <w:sz w:val="32"/>
          <w:szCs w:val="32"/>
          <w:lang w:eastAsia="zh-CN"/>
        </w:rPr>
        <w:t>河道拆违工作</w:t>
      </w:r>
      <w:r>
        <w:rPr>
          <w:rFonts w:hint="eastAsia" w:ascii="仿宋_GB2312" w:hAnsi="仿宋_GB2312" w:eastAsia="仿宋_GB2312" w:cs="仿宋_GB2312"/>
          <w:sz w:val="32"/>
          <w:szCs w:val="32"/>
        </w:rPr>
        <w:t>；二是</w:t>
      </w:r>
      <w:r>
        <w:rPr>
          <w:rFonts w:hint="eastAsia" w:ascii="仿宋_GB2312" w:hAnsi="仿宋_GB2312" w:eastAsia="仿宋_GB2312" w:cs="仿宋_GB2312"/>
          <w:sz w:val="32"/>
          <w:szCs w:val="32"/>
          <w:lang w:eastAsia="zh-CN"/>
        </w:rPr>
        <w:t>及时支付工程款，消除上访隐患</w:t>
      </w:r>
      <w:r>
        <w:rPr>
          <w:rFonts w:hint="eastAsia" w:ascii="仿宋_GB2312" w:hAnsi="仿宋_GB2312" w:eastAsia="仿宋_GB2312" w:cs="仿宋_GB2312"/>
          <w:sz w:val="32"/>
          <w:szCs w:val="32"/>
        </w:rPr>
        <w:t>。发现的主要问题及原因：无。下一步改进措施：无。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保阜(保沧）高速保定西出入口土地流转费用</w:t>
      </w:r>
      <w:r>
        <w:rPr>
          <w:rFonts w:hint="eastAsia" w:ascii="仿宋_GB2312" w:hAnsi="仿宋_GB2312" w:eastAsia="仿宋_GB2312" w:cs="仿宋_GB2312"/>
          <w:sz w:val="32"/>
          <w:szCs w:val="32"/>
        </w:rPr>
        <w:t>”项目自评综述： “</w:t>
      </w:r>
      <w:r>
        <w:rPr>
          <w:rFonts w:hint="eastAsia" w:ascii="仿宋_GB2312" w:hAnsi="仿宋_GB2312" w:eastAsia="仿宋_GB2312" w:cs="仿宋_GB2312"/>
          <w:sz w:val="32"/>
          <w:szCs w:val="32"/>
          <w:lang w:val="en-US" w:eastAsia="zh-CN"/>
        </w:rPr>
        <w:t>保阜(保沧）高速保定西出入口土地流转费用</w:t>
      </w:r>
      <w:r>
        <w:rPr>
          <w:rFonts w:hint="eastAsia" w:ascii="仿宋_GB2312" w:hAnsi="仿宋_GB2312" w:eastAsia="仿宋_GB2312" w:cs="仿宋_GB2312"/>
          <w:sz w:val="32"/>
          <w:szCs w:val="32"/>
        </w:rPr>
        <w:t>”项目绩效自评得分为100分（绩效自评表附后）。全年预算数为</w:t>
      </w:r>
      <w:r>
        <w:rPr>
          <w:rFonts w:hint="eastAsia" w:ascii="仿宋_GB2312" w:hAnsi="仿宋_GB2312" w:eastAsia="仿宋_GB2312" w:cs="仿宋_GB2312"/>
          <w:sz w:val="32"/>
          <w:szCs w:val="32"/>
          <w:lang w:val="en-US" w:eastAsia="zh-CN"/>
        </w:rPr>
        <w:t>34.19</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34.19</w:t>
      </w:r>
      <w:r>
        <w:rPr>
          <w:rFonts w:hint="eastAsia" w:ascii="仿宋_GB2312" w:hAnsi="仿宋_GB2312" w:eastAsia="仿宋_GB2312" w:cs="仿宋_GB2312"/>
          <w:sz w:val="32"/>
          <w:szCs w:val="32"/>
        </w:rPr>
        <w:t>万元，完成预算的100%。项目绩效目标完成情况：一是</w:t>
      </w:r>
      <w:r>
        <w:rPr>
          <w:rFonts w:hint="eastAsia" w:ascii="仿宋_GB2312" w:hAnsi="仿宋_GB2312" w:eastAsia="仿宋_GB2312" w:cs="仿宋_GB2312"/>
          <w:sz w:val="32"/>
          <w:szCs w:val="32"/>
          <w:lang w:eastAsia="zh-CN"/>
        </w:rPr>
        <w:t>及时支付资金，保证绿化项目顺利完成。</w:t>
      </w:r>
      <w:r>
        <w:rPr>
          <w:rFonts w:hint="eastAsia" w:ascii="仿宋_GB2312" w:hAnsi="仿宋_GB2312" w:eastAsia="仿宋_GB2312" w:cs="仿宋_GB2312"/>
          <w:sz w:val="32"/>
          <w:szCs w:val="32"/>
        </w:rPr>
        <w:t>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农村文化建设资金</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农村文化建设资金</w:t>
      </w:r>
      <w:r>
        <w:rPr>
          <w:rFonts w:hint="eastAsia" w:ascii="仿宋_GB2312" w:hAnsi="仿宋_GB2312" w:eastAsia="仿宋_GB2312" w:cs="仿宋_GB2312"/>
          <w:sz w:val="32"/>
          <w:szCs w:val="32"/>
        </w:rPr>
        <w:t>”项目绩效自评得分为100分（绩效自评表附后）。全年预算数为</w:t>
      </w:r>
      <w:r>
        <w:rPr>
          <w:rFonts w:hint="eastAsia" w:ascii="仿宋_GB2312" w:hAnsi="仿宋_GB2312" w:eastAsia="仿宋_GB2312" w:cs="仿宋_GB2312"/>
          <w:sz w:val="32"/>
          <w:szCs w:val="32"/>
          <w:lang w:val="en-US" w:eastAsia="zh-CN"/>
        </w:rPr>
        <w:t>7.00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7.00</w:t>
      </w:r>
      <w:r>
        <w:rPr>
          <w:rFonts w:hint="eastAsia" w:ascii="仿宋_GB2312" w:hAnsi="仿宋_GB2312" w:eastAsia="仿宋_GB2312" w:cs="仿宋_GB2312"/>
          <w:sz w:val="32"/>
          <w:szCs w:val="32"/>
        </w:rPr>
        <w:t>万元，完成预算的100%。项目绩效目标完成情况：一是</w:t>
      </w:r>
      <w:r>
        <w:rPr>
          <w:rFonts w:hint="eastAsia" w:ascii="仿宋_GB2312" w:hAnsi="仿宋_GB2312" w:eastAsia="仿宋_GB2312" w:cs="仿宋_GB2312"/>
          <w:sz w:val="32"/>
          <w:szCs w:val="32"/>
          <w:lang w:eastAsia="zh-CN"/>
        </w:rPr>
        <w:t>提高人民群众集体文化水平</w:t>
      </w:r>
      <w:r>
        <w:rPr>
          <w:rFonts w:hint="eastAsia" w:ascii="仿宋_GB2312" w:hAnsi="仿宋_GB2312" w:eastAsia="仿宋_GB2312" w:cs="仿宋_GB2312"/>
          <w:sz w:val="32"/>
          <w:szCs w:val="32"/>
        </w:rPr>
        <w:t>；二是保障了村级</w:t>
      </w:r>
      <w:r>
        <w:rPr>
          <w:rFonts w:hint="eastAsia" w:ascii="仿宋_GB2312" w:hAnsi="仿宋_GB2312" w:eastAsia="仿宋_GB2312" w:cs="仿宋_GB2312"/>
          <w:sz w:val="32"/>
          <w:szCs w:val="32"/>
          <w:lang w:eastAsia="zh-CN"/>
        </w:rPr>
        <w:t>文化</w:t>
      </w:r>
      <w:r>
        <w:rPr>
          <w:rFonts w:hint="eastAsia" w:ascii="仿宋_GB2312" w:hAnsi="仿宋_GB2312" w:eastAsia="仿宋_GB2312" w:cs="仿宋_GB2312"/>
          <w:sz w:val="32"/>
          <w:szCs w:val="32"/>
        </w:rPr>
        <w:t>工作顺利开展。发现的主要问题及原因：无。下一步改进措施：无。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于家庄镇防控经费</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石井镇防控经费</w:t>
      </w:r>
      <w:r>
        <w:rPr>
          <w:rFonts w:hint="eastAsia" w:ascii="仿宋_GB2312" w:hAnsi="仿宋_GB2312" w:eastAsia="仿宋_GB2312" w:cs="仿宋_GB2312"/>
          <w:sz w:val="32"/>
          <w:szCs w:val="32"/>
        </w:rPr>
        <w:t>”项目绩效自评得分为100分（绩效自评表附后）。全年预算数为</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万元，完成预算的100%。项目绩效目标完成情况：一是保障了</w:t>
      </w:r>
      <w:r>
        <w:rPr>
          <w:rFonts w:hint="eastAsia" w:ascii="仿宋_GB2312" w:hAnsi="仿宋_GB2312" w:eastAsia="仿宋_GB2312" w:cs="仿宋_GB2312"/>
          <w:sz w:val="32"/>
          <w:szCs w:val="32"/>
          <w:lang w:eastAsia="zh-CN"/>
        </w:rPr>
        <w:t>镇村疫情防控工作正常开展</w:t>
      </w:r>
      <w:r>
        <w:rPr>
          <w:rFonts w:hint="eastAsia" w:ascii="仿宋_GB2312" w:hAnsi="仿宋_GB2312" w:eastAsia="仿宋_GB2312" w:cs="仿宋_GB2312"/>
          <w:sz w:val="32"/>
          <w:szCs w:val="32"/>
        </w:rPr>
        <w:t>。发现的主要问题及原因：无。下一步改进措施：无。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2019年中央农村综合改革转移支付资金保财农改[2019]4号”项目自评综述：根据年初设定的绩效目标，“2019年中央农村综合改革转移支付资金保财农改[2019]4号”项目绩效自评得分为100分（绩效自评表附后）。全年预算数为</w:t>
      </w:r>
      <w:r>
        <w:rPr>
          <w:rFonts w:hint="eastAsia" w:ascii="仿宋_GB2312" w:hAnsi="仿宋_GB2312" w:eastAsia="仿宋_GB2312" w:cs="仿宋_GB2312"/>
          <w:sz w:val="32"/>
          <w:szCs w:val="32"/>
          <w:lang w:val="en-US" w:eastAsia="zh-CN"/>
        </w:rPr>
        <w:t>30.00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30.00</w:t>
      </w:r>
      <w:r>
        <w:rPr>
          <w:rFonts w:hint="eastAsia" w:ascii="仿宋_GB2312" w:hAnsi="仿宋_GB2312" w:eastAsia="仿宋_GB2312" w:cs="仿宋_GB2312"/>
          <w:sz w:val="32"/>
          <w:szCs w:val="32"/>
        </w:rPr>
        <w:t>万元，完成预算的100%。项目绩效目标完成情况：一是保障了</w:t>
      </w:r>
      <w:r>
        <w:rPr>
          <w:rFonts w:hint="eastAsia" w:ascii="仿宋_GB2312" w:hAnsi="仿宋_GB2312" w:eastAsia="仿宋_GB2312" w:cs="仿宋_GB2312"/>
          <w:sz w:val="32"/>
          <w:szCs w:val="32"/>
          <w:lang w:eastAsia="zh-CN"/>
        </w:rPr>
        <w:t>村级项目正常开展。</w:t>
      </w:r>
      <w:r>
        <w:rPr>
          <w:rFonts w:hint="eastAsia" w:ascii="仿宋_GB2312" w:hAnsi="仿宋_GB2312" w:eastAsia="仿宋_GB2312" w:cs="仿宋_GB2312"/>
          <w:sz w:val="32"/>
          <w:szCs w:val="32"/>
        </w:rPr>
        <w:t>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）“2019年</w:t>
      </w:r>
      <w:r>
        <w:rPr>
          <w:rFonts w:hint="eastAsia" w:ascii="仿宋_GB2312" w:hAnsi="仿宋_GB2312" w:eastAsia="仿宋_GB2312" w:cs="仿宋_GB2312"/>
          <w:sz w:val="32"/>
          <w:szCs w:val="32"/>
          <w:lang w:val="en-US" w:eastAsia="zh-CN"/>
        </w:rPr>
        <w:t>省级</w:t>
      </w:r>
      <w:r>
        <w:rPr>
          <w:rFonts w:hint="eastAsia" w:ascii="仿宋_GB2312" w:hAnsi="仿宋_GB2312" w:eastAsia="仿宋_GB2312" w:cs="仿宋_GB2312"/>
          <w:sz w:val="32"/>
          <w:szCs w:val="32"/>
        </w:rPr>
        <w:t>农村综合改革转移支付资金保财农改[2019]</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号”项目自评综述：根据年初设定的绩效目标，“2019年</w:t>
      </w:r>
      <w:r>
        <w:rPr>
          <w:rFonts w:hint="eastAsia" w:ascii="仿宋_GB2312" w:hAnsi="仿宋_GB2312" w:eastAsia="仿宋_GB2312" w:cs="仿宋_GB2312"/>
          <w:sz w:val="32"/>
          <w:szCs w:val="32"/>
          <w:lang w:val="en-US" w:eastAsia="zh-CN"/>
        </w:rPr>
        <w:t>省级</w:t>
      </w:r>
      <w:r>
        <w:rPr>
          <w:rFonts w:hint="eastAsia" w:ascii="仿宋_GB2312" w:hAnsi="仿宋_GB2312" w:eastAsia="仿宋_GB2312" w:cs="仿宋_GB2312"/>
          <w:sz w:val="32"/>
          <w:szCs w:val="32"/>
        </w:rPr>
        <w:t>农村综合改革转移支付资金保财农改[2019]</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号”项目绩效自评得分为100分（绩效自评表附后）。全年预算数为</w:t>
      </w:r>
      <w:r>
        <w:rPr>
          <w:rFonts w:hint="eastAsia" w:ascii="仿宋_GB2312" w:hAnsi="仿宋_GB2312" w:eastAsia="仿宋_GB2312" w:cs="仿宋_GB2312"/>
          <w:sz w:val="32"/>
          <w:szCs w:val="32"/>
          <w:lang w:val="en-US" w:eastAsia="zh-CN"/>
        </w:rPr>
        <w:t>15.00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15.00</w:t>
      </w:r>
      <w:r>
        <w:rPr>
          <w:rFonts w:hint="eastAsia" w:ascii="仿宋_GB2312" w:hAnsi="仿宋_GB2312" w:eastAsia="仿宋_GB2312" w:cs="仿宋_GB2312"/>
          <w:sz w:val="32"/>
          <w:szCs w:val="32"/>
        </w:rPr>
        <w:t>万元，完成预算的100%。项目绩效目标完成情况：一是保障了</w:t>
      </w:r>
      <w:r>
        <w:rPr>
          <w:rFonts w:hint="eastAsia" w:ascii="仿宋_GB2312" w:hAnsi="仿宋_GB2312" w:eastAsia="仿宋_GB2312" w:cs="仿宋_GB2312"/>
          <w:sz w:val="32"/>
          <w:szCs w:val="32"/>
          <w:lang w:eastAsia="zh-CN"/>
        </w:rPr>
        <w:t>村级项目正常开展。</w:t>
      </w:r>
      <w:r>
        <w:rPr>
          <w:rFonts w:hint="eastAsia" w:ascii="仿宋_GB2312" w:hAnsi="仿宋_GB2312" w:eastAsia="仿宋_GB2312" w:cs="仿宋_GB2312"/>
          <w:sz w:val="32"/>
          <w:szCs w:val="32"/>
        </w:rPr>
        <w:t>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2019年扶持壮大村级集体经济市级财政补助资金保财农改[2019]5号”项目自评综述：根据年初设定的绩效目标，“2019年扶持壮大村级集体经济市级财政补助资金保财农改[2019]5号”项目绩效自评得分为100分（绩效自评表附后）。全年预算数为</w:t>
      </w:r>
      <w:r>
        <w:rPr>
          <w:rFonts w:hint="eastAsia" w:ascii="仿宋_GB2312" w:hAnsi="仿宋_GB2312" w:eastAsia="仿宋_GB2312" w:cs="仿宋_GB2312"/>
          <w:sz w:val="32"/>
          <w:szCs w:val="32"/>
          <w:lang w:val="en-US" w:eastAsia="zh-CN"/>
        </w:rPr>
        <w:t>5.00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5.00</w:t>
      </w:r>
      <w:r>
        <w:rPr>
          <w:rFonts w:hint="eastAsia" w:ascii="仿宋_GB2312" w:hAnsi="仿宋_GB2312" w:eastAsia="仿宋_GB2312" w:cs="仿宋_GB2312"/>
          <w:sz w:val="32"/>
          <w:szCs w:val="32"/>
        </w:rPr>
        <w:t>万元，完成预算的100%。项目绩效目标完成情况：一是保障了</w:t>
      </w:r>
      <w:r>
        <w:rPr>
          <w:rFonts w:hint="eastAsia" w:ascii="仿宋_GB2312" w:hAnsi="仿宋_GB2312" w:eastAsia="仿宋_GB2312" w:cs="仿宋_GB2312"/>
          <w:sz w:val="32"/>
          <w:szCs w:val="32"/>
          <w:lang w:eastAsia="zh-CN"/>
        </w:rPr>
        <w:t>村级项目正常开展。</w:t>
      </w:r>
      <w:r>
        <w:rPr>
          <w:rFonts w:hint="eastAsia" w:ascii="仿宋_GB2312" w:hAnsi="仿宋_GB2312" w:eastAsia="仿宋_GB2312" w:cs="仿宋_GB2312"/>
          <w:sz w:val="32"/>
          <w:szCs w:val="32"/>
        </w:rPr>
        <w:t>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）“2017年农村综合改革资金一事一议”项目自评综述：根据年初设定的绩效目标，“2017年农村综合改革资金一事一议”项目绩效自评得分为100分（绩效自评表附后）。全年预算数为</w:t>
      </w:r>
      <w:r>
        <w:rPr>
          <w:rFonts w:hint="eastAsia" w:ascii="仿宋_GB2312" w:hAnsi="仿宋_GB2312" w:eastAsia="仿宋_GB2312" w:cs="仿宋_GB2312"/>
          <w:sz w:val="32"/>
          <w:szCs w:val="32"/>
          <w:lang w:val="en-US" w:eastAsia="zh-CN"/>
        </w:rPr>
        <w:t>7.61</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7.61</w:t>
      </w:r>
      <w:r>
        <w:rPr>
          <w:rFonts w:hint="eastAsia" w:ascii="仿宋_GB2312" w:hAnsi="仿宋_GB2312" w:eastAsia="仿宋_GB2312" w:cs="仿宋_GB2312"/>
          <w:sz w:val="32"/>
          <w:szCs w:val="32"/>
        </w:rPr>
        <w:t>万元，完成预算的100%。项目绩效目标完成情况：一是</w:t>
      </w:r>
      <w:r>
        <w:rPr>
          <w:rFonts w:hint="eastAsia" w:ascii="仿宋_GB2312" w:hAnsi="仿宋_GB2312" w:eastAsia="仿宋_GB2312" w:cs="仿宋_GB2312"/>
          <w:sz w:val="32"/>
          <w:szCs w:val="32"/>
          <w:lang w:eastAsia="zh-CN"/>
        </w:rPr>
        <w:t>完善农村基础设施</w:t>
      </w:r>
      <w:r>
        <w:rPr>
          <w:rFonts w:hint="eastAsia" w:ascii="仿宋_GB2312" w:hAnsi="仿宋_GB2312" w:eastAsia="仿宋_GB2312" w:cs="仿宋_GB2312"/>
          <w:sz w:val="32"/>
          <w:szCs w:val="32"/>
        </w:rPr>
        <w:t>；二是</w:t>
      </w:r>
      <w:r>
        <w:rPr>
          <w:rFonts w:hint="eastAsia" w:ascii="仿宋_GB2312" w:hAnsi="仿宋_GB2312" w:eastAsia="仿宋_GB2312" w:cs="仿宋_GB2312"/>
          <w:sz w:val="32"/>
          <w:szCs w:val="32"/>
          <w:lang w:eastAsia="zh-CN"/>
        </w:rPr>
        <w:t>方便村民生活</w:t>
      </w:r>
      <w:r>
        <w:rPr>
          <w:rFonts w:hint="eastAsia" w:ascii="仿宋_GB2312" w:hAnsi="仿宋_GB2312" w:eastAsia="仿宋_GB2312" w:cs="仿宋_GB2312"/>
          <w:sz w:val="32"/>
          <w:szCs w:val="32"/>
        </w:rPr>
        <w:t>。发现的主要问题及原因：无。下一步改进措施：无。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）“村干部基础职务补贴”项目自评综述：根据年初设定的绩效目标，“村干部基础职务补贴”项目绩效自评得分为100分（绩效自评表附后）。全年预算数为</w:t>
      </w:r>
      <w:r>
        <w:rPr>
          <w:rFonts w:hint="eastAsia" w:ascii="仿宋_GB2312" w:hAnsi="仿宋_GB2312" w:eastAsia="仿宋_GB2312" w:cs="仿宋_GB2312"/>
          <w:sz w:val="32"/>
          <w:szCs w:val="32"/>
          <w:lang w:val="en-US" w:eastAsia="zh-CN"/>
        </w:rPr>
        <w:t>59.93</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59.93</w:t>
      </w:r>
      <w:r>
        <w:rPr>
          <w:rFonts w:hint="eastAsia" w:ascii="仿宋_GB2312" w:hAnsi="仿宋_GB2312" w:eastAsia="仿宋_GB2312" w:cs="仿宋_GB2312"/>
          <w:sz w:val="32"/>
          <w:szCs w:val="32"/>
        </w:rPr>
        <w:t>万元，完成预算的100%。项目绩效目标完成情况：一是保障了村干部的日常生活，使村干部老有所养，老有所依；二是促使村干部积极主动的开展村内各项工作，发挥积极带头作用。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）“基层组织运转经费和党建提升经费”项目自评综述：根据年初设定的绩效目标，“基层组织运转经费和党建提升经费”项目绩效自评得分为100分（绩效自评表附后）。全年预算数为</w:t>
      </w:r>
      <w:r>
        <w:rPr>
          <w:rFonts w:hint="eastAsia" w:ascii="仿宋_GB2312" w:hAnsi="仿宋_GB2312" w:eastAsia="仿宋_GB2312" w:cs="仿宋_GB2312"/>
          <w:sz w:val="32"/>
          <w:szCs w:val="32"/>
          <w:lang w:val="en-US" w:eastAsia="zh-CN"/>
        </w:rPr>
        <w:t>15.74</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15.74</w:t>
      </w:r>
      <w:r>
        <w:rPr>
          <w:rFonts w:hint="eastAsia" w:ascii="仿宋_GB2312" w:hAnsi="仿宋_GB2312" w:eastAsia="仿宋_GB2312" w:cs="仿宋_GB2312"/>
          <w:sz w:val="32"/>
          <w:szCs w:val="32"/>
        </w:rPr>
        <w:t>万元，完成预算的100%。项目绩效目标完成情况：一是保障了</w:t>
      </w:r>
      <w:r>
        <w:rPr>
          <w:rFonts w:hint="eastAsia" w:ascii="仿宋_GB2312" w:hAnsi="仿宋_GB2312" w:eastAsia="仿宋_GB2312" w:cs="仿宋_GB2312"/>
          <w:sz w:val="32"/>
          <w:szCs w:val="32"/>
          <w:lang w:val="en-US" w:eastAsia="zh-CN"/>
        </w:rPr>
        <w:t>镇</w:t>
      </w:r>
      <w:r>
        <w:rPr>
          <w:rFonts w:hint="eastAsia" w:ascii="仿宋_GB2312" w:hAnsi="仿宋_GB2312" w:eastAsia="仿宋_GB2312" w:cs="仿宋_GB2312"/>
          <w:sz w:val="32"/>
          <w:szCs w:val="32"/>
        </w:rPr>
        <w:t>级组织正常运转和党建提升；二是保障了</w:t>
      </w:r>
      <w:r>
        <w:rPr>
          <w:rFonts w:hint="eastAsia" w:ascii="仿宋_GB2312" w:hAnsi="仿宋_GB2312" w:eastAsia="仿宋_GB2312" w:cs="仿宋_GB2312"/>
          <w:sz w:val="32"/>
          <w:szCs w:val="32"/>
          <w:lang w:val="en-US" w:eastAsia="zh-CN"/>
        </w:rPr>
        <w:t>镇</w:t>
      </w:r>
      <w:r>
        <w:rPr>
          <w:rFonts w:hint="eastAsia" w:ascii="仿宋_GB2312" w:hAnsi="仿宋_GB2312" w:eastAsia="仿宋_GB2312" w:cs="仿宋_GB2312"/>
          <w:sz w:val="32"/>
          <w:szCs w:val="32"/>
        </w:rPr>
        <w:t>级工作顺利开展和正常运行。发现的主要问题及原因：无。下一步改进措施：无。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“村干部保险”项目自评综述：根据年初设定的绩效目标， “村干部保险”项目绩效自评得分为100分（绩效自评表附后）。全年预算数为</w:t>
      </w:r>
      <w:r>
        <w:rPr>
          <w:rFonts w:hint="eastAsia" w:ascii="仿宋_GB2312" w:hAnsi="仿宋_GB2312" w:eastAsia="仿宋_GB2312" w:cs="仿宋_GB2312"/>
          <w:sz w:val="32"/>
          <w:szCs w:val="32"/>
          <w:lang w:val="en-US" w:eastAsia="zh-CN"/>
        </w:rPr>
        <w:t>2.28</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2.28</w:t>
      </w:r>
      <w:r>
        <w:rPr>
          <w:rFonts w:hint="eastAsia" w:ascii="仿宋_GB2312" w:hAnsi="仿宋_GB2312" w:eastAsia="仿宋_GB2312" w:cs="仿宋_GB2312"/>
          <w:sz w:val="32"/>
          <w:szCs w:val="32"/>
        </w:rPr>
        <w:t>万元，完成预算的100%。项目绩效目标完成情况：一是保障了村干部的日常生活，使村干部老有所养，老有所依；二是促使村干部积极主动的开展村内各项工作，发挥积极带头作用。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 “2020年7-9月份区财政局农村“两委”干部补贴资金”项目自评综述：根据年初设定的绩效目标， “2020年7-9月份区财政局农村“两委”干部补贴资金”项目绩效自评得分为100分（绩效自评表附后）。全年预算数为</w:t>
      </w:r>
      <w:r>
        <w:rPr>
          <w:rFonts w:hint="eastAsia" w:ascii="仿宋_GB2312" w:hAnsi="仿宋_GB2312" w:eastAsia="仿宋_GB2312" w:cs="仿宋_GB2312"/>
          <w:sz w:val="32"/>
          <w:szCs w:val="32"/>
          <w:lang w:val="en-US" w:eastAsia="zh-CN"/>
        </w:rPr>
        <w:t>19.01</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19.01</w:t>
      </w:r>
      <w:r>
        <w:rPr>
          <w:rFonts w:hint="eastAsia" w:ascii="仿宋_GB2312" w:hAnsi="仿宋_GB2312" w:eastAsia="仿宋_GB2312" w:cs="仿宋_GB2312"/>
          <w:sz w:val="32"/>
          <w:szCs w:val="32"/>
        </w:rPr>
        <w:t>万元，完成预算的100%。项目绩效目标完成情况：一是保障了村干部的日常生活，使村干部老有所养，老有所依；二是促使村干部积极主动的开展村内各项工作，发挥积极带头作用。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 “为服务群众专项、村级办公、党组织活动经费”项目自评综述：根据年初设定的绩效目标， “为服务群众专项、村级办公、党组织活动经费”项目绩效自评得分为100分（绩效自评表附后）。全年预算数为</w:t>
      </w:r>
      <w:r>
        <w:rPr>
          <w:rFonts w:hint="eastAsia" w:ascii="仿宋_GB2312" w:hAnsi="仿宋_GB2312" w:eastAsia="仿宋_GB2312" w:cs="仿宋_GB2312"/>
          <w:sz w:val="32"/>
          <w:szCs w:val="32"/>
          <w:lang w:val="en-US" w:eastAsia="zh-CN"/>
        </w:rPr>
        <w:t>22.74</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22.74</w:t>
      </w:r>
      <w:r>
        <w:rPr>
          <w:rFonts w:hint="eastAsia" w:ascii="仿宋_GB2312" w:hAnsi="仿宋_GB2312" w:eastAsia="仿宋_GB2312" w:cs="仿宋_GB2312"/>
          <w:sz w:val="32"/>
          <w:szCs w:val="32"/>
        </w:rPr>
        <w:t>万元，完成预算的100%。项目绩效目标完成情况：一是保障了村级组织正常运转和党建提升；二是保障了村级工作顺利开展和正常运行。发现的主要问题及原因：无。下一步改进措施：无。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 “正常离任村干部生活补贴”项目自评综述：根据年初设定的绩效目标， “正常离任村干部生活补贴”项目绩效自评得分为100分（绩效自评表附后）。全年预算数为</w:t>
      </w:r>
      <w:r>
        <w:rPr>
          <w:rFonts w:hint="eastAsia" w:ascii="仿宋_GB2312" w:hAnsi="仿宋_GB2312" w:eastAsia="仿宋_GB2312" w:cs="仿宋_GB2312"/>
          <w:sz w:val="32"/>
          <w:szCs w:val="32"/>
          <w:lang w:val="en-US" w:eastAsia="zh-CN"/>
        </w:rPr>
        <w:t>1.39</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1.39</w:t>
      </w:r>
      <w:r>
        <w:rPr>
          <w:rFonts w:hint="eastAsia" w:ascii="仿宋_GB2312" w:hAnsi="仿宋_GB2312" w:eastAsia="仿宋_GB2312" w:cs="仿宋_GB2312"/>
          <w:sz w:val="32"/>
          <w:szCs w:val="32"/>
        </w:rPr>
        <w:t>万元，完成预算的100%。项目绩效目标完成情况：一是保障了正常离任村干部的日常生活；二是体现了党组织对离任村干部的关怀。发现的主要问题及原因：无。下一步改进措施：无。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 “2019年下半年离任村书记离任生活补贴”项目自评综述：根据年初设定的绩效目标， “2019年下半年离任村书记离任生活补贴”项目绩效自评得分为100分（绩效自评表附后）。全年预算数为</w:t>
      </w:r>
      <w:r>
        <w:rPr>
          <w:rFonts w:hint="eastAsia" w:ascii="仿宋_GB2312" w:hAnsi="仿宋_GB2312" w:eastAsia="仿宋_GB2312" w:cs="仿宋_GB2312"/>
          <w:sz w:val="32"/>
          <w:szCs w:val="32"/>
          <w:lang w:val="en-US" w:eastAsia="zh-CN"/>
        </w:rPr>
        <w:t>1.58</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1.58</w:t>
      </w:r>
      <w:r>
        <w:rPr>
          <w:rFonts w:hint="eastAsia" w:ascii="仿宋_GB2312" w:hAnsi="仿宋_GB2312" w:eastAsia="仿宋_GB2312" w:cs="仿宋_GB2312"/>
          <w:sz w:val="32"/>
          <w:szCs w:val="32"/>
        </w:rPr>
        <w:t>万元，完成预算的100%。项目绩效目标完成情况：一是保障了正常离任村干部的日常生活；二是体现了党组织对离任村干部的关怀。发现的主要问题及原因：无。下一步改进措施：无。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 “农业生产支持补贴”项目自评综述：根据年初设定的绩效目标， “农业生产支持补贴”项目绩效自评得分为100分（绩效自评表附后）。全年预算数为</w:t>
      </w:r>
      <w:r>
        <w:rPr>
          <w:rFonts w:hint="eastAsia" w:ascii="仿宋_GB2312" w:hAnsi="仿宋_GB2312" w:eastAsia="仿宋_GB2312" w:cs="仿宋_GB2312"/>
          <w:sz w:val="32"/>
          <w:szCs w:val="32"/>
          <w:lang w:val="en-US" w:eastAsia="zh-CN"/>
        </w:rPr>
        <w:t>228.92</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228.92</w:t>
      </w:r>
      <w:r>
        <w:rPr>
          <w:rFonts w:hint="eastAsia" w:ascii="仿宋_GB2312" w:hAnsi="仿宋_GB2312" w:eastAsia="仿宋_GB2312" w:cs="仿宋_GB2312"/>
          <w:sz w:val="32"/>
          <w:szCs w:val="32"/>
        </w:rPr>
        <w:t>万元，完成预算的100%。项目绩效目标完成情况：</w:t>
      </w:r>
      <w:r>
        <w:rPr>
          <w:rFonts w:hint="eastAsia" w:ascii="仿宋_GB2312" w:hAnsi="仿宋_GB2312" w:eastAsia="仿宋_GB2312" w:cs="仿宋_GB2312"/>
          <w:sz w:val="32"/>
          <w:szCs w:val="32"/>
          <w:lang w:val="en-US" w:eastAsia="zh-CN"/>
        </w:rPr>
        <w:t>完成了各村耕地地力补贴的发放。</w:t>
      </w:r>
      <w:r>
        <w:rPr>
          <w:rFonts w:hint="eastAsia" w:ascii="仿宋_GB2312" w:hAnsi="仿宋_GB2312" w:eastAsia="仿宋_GB2312" w:cs="仿宋_GB2312"/>
          <w:sz w:val="32"/>
          <w:szCs w:val="32"/>
        </w:rPr>
        <w:t>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 “(综）河北京车110KV电力外源线路接入工程占地资金”项目自评综述：根据年初设定的绩效目标，“(综）河北京车110KV电力外源线路接入工程占地资金”项目绩效自评得分为100分（绩效自评表附后）。全年预算数为</w:t>
      </w:r>
      <w:r>
        <w:rPr>
          <w:rFonts w:hint="eastAsia" w:ascii="仿宋_GB2312" w:hAnsi="仿宋_GB2312" w:eastAsia="仿宋_GB2312" w:cs="仿宋_GB2312"/>
          <w:sz w:val="32"/>
          <w:szCs w:val="32"/>
          <w:lang w:val="en-US" w:eastAsia="zh-CN"/>
        </w:rPr>
        <w:t>29.50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29.50</w:t>
      </w:r>
      <w:r>
        <w:rPr>
          <w:rFonts w:hint="eastAsia" w:ascii="仿宋_GB2312" w:hAnsi="仿宋_GB2312" w:eastAsia="仿宋_GB2312" w:cs="仿宋_GB2312"/>
          <w:sz w:val="32"/>
          <w:szCs w:val="32"/>
        </w:rPr>
        <w:t>万元，完成预算的100%。项目绩效目标完成情况：保障了群众合法权益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 “(综）京车110Kv线路安全围挡占地及采伐”项目自评综述：根据年初设定的绩效目标，“(综）京车110Kv线路安全围挡占地及采伐”项目绩效自评得分为100分（绩效自评表附后）。全年预算数为</w:t>
      </w:r>
      <w:r>
        <w:rPr>
          <w:rFonts w:hint="eastAsia" w:ascii="仿宋_GB2312" w:hAnsi="仿宋_GB2312" w:eastAsia="仿宋_GB2312" w:cs="仿宋_GB2312"/>
          <w:sz w:val="32"/>
          <w:szCs w:val="32"/>
          <w:lang w:val="en-US" w:eastAsia="zh-CN"/>
        </w:rPr>
        <w:t>24.26</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24.26</w:t>
      </w:r>
      <w:r>
        <w:rPr>
          <w:rFonts w:hint="eastAsia" w:ascii="仿宋_GB2312" w:hAnsi="仿宋_GB2312" w:eastAsia="仿宋_GB2312" w:cs="仿宋_GB2312"/>
          <w:sz w:val="32"/>
          <w:szCs w:val="32"/>
        </w:rPr>
        <w:t>万元，完成预算的100%。项目绩效目标完成情况：一是保障了群众合法权益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发现的主要问题及原因：无。下一步改进措施：无。</w:t>
      </w:r>
    </w:p>
    <w:p>
      <w:pPr>
        <w:adjustRightInd w:val="0"/>
        <w:snapToGrid w:val="0"/>
        <w:spacing w:line="580" w:lineRule="exact"/>
        <w:ind w:left="1050"/>
        <w:rPr>
          <w:rFonts w:ascii="仿宋_GB2312" w:hAnsi="仿宋_GB2312" w:eastAsia="仿宋_GB2312" w:cs="仿宋_GB2312"/>
          <w:sz w:val="32"/>
          <w:szCs w:val="32"/>
        </w:rPr>
      </w:pPr>
      <w:r>
        <w:rPr>
          <w:rFonts w:hint="eastAsia" w:ascii="仿宋_GB2312" w:hAnsi="仿宋_GB2312" w:eastAsia="仿宋_GB2312" w:cs="仿宋_GB2312"/>
          <w:sz w:val="32"/>
          <w:szCs w:val="32"/>
        </w:rPr>
        <w:t>具体统计表如下：</w:t>
      </w:r>
    </w:p>
    <w:tbl>
      <w:tblPr>
        <w:tblStyle w:val="5"/>
        <w:tblW w:w="9060" w:type="dxa"/>
        <w:tblInd w:w="93" w:type="dxa"/>
        <w:tblLayout w:type="fixed"/>
        <w:tblCellMar>
          <w:top w:w="0" w:type="dxa"/>
          <w:left w:w="108" w:type="dxa"/>
          <w:bottom w:w="0" w:type="dxa"/>
          <w:right w:w="108" w:type="dxa"/>
        </w:tblCellMar>
      </w:tblPr>
      <w:tblGrid>
        <w:gridCol w:w="781"/>
        <w:gridCol w:w="4272"/>
        <w:gridCol w:w="1225"/>
        <w:gridCol w:w="904"/>
        <w:gridCol w:w="1011"/>
        <w:gridCol w:w="867"/>
      </w:tblGrid>
      <w:tr>
        <w:tblPrEx>
          <w:tblCellMar>
            <w:top w:w="0" w:type="dxa"/>
            <w:left w:w="108" w:type="dxa"/>
            <w:bottom w:w="0" w:type="dxa"/>
            <w:right w:w="108" w:type="dxa"/>
          </w:tblCellMar>
        </w:tblPrEx>
        <w:trPr>
          <w:trHeight w:val="645" w:hRule="atLeast"/>
        </w:trPr>
        <w:tc>
          <w:tcPr>
            <w:tcW w:w="781" w:type="dxa"/>
            <w:vMerge w:val="restart"/>
            <w:tcBorders>
              <w:top w:val="single" w:color="auto" w:sz="4" w:space="0"/>
              <w:left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cs="宋体"/>
                <w:color w:val="000000"/>
                <w:kern w:val="0"/>
                <w:sz w:val="22"/>
              </w:rPr>
              <w:t>序号</w:t>
            </w:r>
          </w:p>
        </w:tc>
        <w:tc>
          <w:tcPr>
            <w:tcW w:w="427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项目名称</w:t>
            </w:r>
          </w:p>
        </w:tc>
        <w:tc>
          <w:tcPr>
            <w:tcW w:w="122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资金数额（万元）</w:t>
            </w:r>
          </w:p>
        </w:tc>
        <w:tc>
          <w:tcPr>
            <w:tcW w:w="2782" w:type="dxa"/>
            <w:gridSpan w:val="3"/>
            <w:tcBorders>
              <w:top w:val="single" w:color="auto" w:sz="4" w:space="0"/>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年底绩效目标实现情况</w:t>
            </w:r>
          </w:p>
        </w:tc>
      </w:tr>
      <w:tr>
        <w:tblPrEx>
          <w:tblCellMar>
            <w:top w:w="0" w:type="dxa"/>
            <w:left w:w="108" w:type="dxa"/>
            <w:bottom w:w="0" w:type="dxa"/>
            <w:right w:w="108" w:type="dxa"/>
          </w:tblCellMar>
        </w:tblPrEx>
        <w:trPr>
          <w:trHeight w:val="645" w:hRule="atLeast"/>
        </w:trPr>
        <w:tc>
          <w:tcPr>
            <w:tcW w:w="781" w:type="dxa"/>
            <w:vMerge w:val="continue"/>
            <w:tcBorders>
              <w:left w:val="single" w:color="auto" w:sz="4" w:space="0"/>
              <w:bottom w:val="single" w:color="auto" w:sz="4" w:space="0"/>
              <w:right w:val="single" w:color="auto" w:sz="4" w:space="0"/>
            </w:tcBorders>
            <w:vAlign w:val="center"/>
          </w:tcPr>
          <w:p>
            <w:pPr>
              <w:widowControl/>
              <w:jc w:val="left"/>
              <w:rPr>
                <w:rFonts w:ascii="宋体" w:cs="宋体"/>
                <w:color w:val="000000"/>
                <w:kern w:val="0"/>
                <w:sz w:val="22"/>
              </w:rPr>
            </w:pPr>
          </w:p>
        </w:tc>
        <w:tc>
          <w:tcPr>
            <w:tcW w:w="427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000000"/>
                <w:kern w:val="0"/>
                <w:sz w:val="22"/>
              </w:rPr>
            </w:pPr>
          </w:p>
        </w:tc>
        <w:tc>
          <w:tcPr>
            <w:tcW w:w="12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000000"/>
                <w:kern w:val="0"/>
                <w:sz w:val="22"/>
              </w:rPr>
            </w:pPr>
          </w:p>
        </w:tc>
        <w:tc>
          <w:tcPr>
            <w:tcW w:w="90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能实现</w:t>
            </w:r>
          </w:p>
        </w:tc>
        <w:tc>
          <w:tcPr>
            <w:tcW w:w="1011"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不能完全实现</w:t>
            </w:r>
          </w:p>
        </w:tc>
        <w:tc>
          <w:tcPr>
            <w:tcW w:w="867"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差距较大</w:t>
            </w:r>
          </w:p>
        </w:tc>
      </w:tr>
      <w:tr>
        <w:tblPrEx>
          <w:tblCellMar>
            <w:top w:w="0" w:type="dxa"/>
            <w:left w:w="108" w:type="dxa"/>
            <w:bottom w:w="0" w:type="dxa"/>
            <w:right w:w="108" w:type="dxa"/>
          </w:tblCellMar>
        </w:tblPrEx>
        <w:trPr>
          <w:trHeight w:val="495" w:hRule="atLeast"/>
        </w:trPr>
        <w:tc>
          <w:tcPr>
            <w:tcW w:w="781" w:type="dxa"/>
            <w:tcBorders>
              <w:top w:val="nil"/>
              <w:left w:val="single" w:color="auto" w:sz="4" w:space="0"/>
              <w:bottom w:val="single" w:color="auto" w:sz="4" w:space="0"/>
              <w:right w:val="single" w:color="auto" w:sz="4" w:space="0"/>
            </w:tcBorders>
            <w:vAlign w:val="center"/>
          </w:tcPr>
          <w:p>
            <w:pPr>
              <w:widowControl/>
              <w:jc w:val="center"/>
              <w:rPr>
                <w:rFonts w:ascii="宋体" w:eastAsia="宋体" w:cs="宋体"/>
                <w:color w:val="000000"/>
                <w:kern w:val="0"/>
                <w:sz w:val="22"/>
              </w:rPr>
            </w:pPr>
            <w:r>
              <w:rPr>
                <w:rFonts w:hint="eastAsia" w:ascii="宋体" w:cs="宋体"/>
                <w:color w:val="000000"/>
                <w:kern w:val="0"/>
                <w:sz w:val="22"/>
              </w:rPr>
              <w:t>1</w:t>
            </w:r>
          </w:p>
        </w:tc>
        <w:tc>
          <w:tcPr>
            <w:tcW w:w="4272" w:type="dxa"/>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Arial"/>
                <w:color w:val="000000"/>
                <w:kern w:val="0"/>
                <w:sz w:val="22"/>
              </w:rPr>
            </w:pPr>
            <w:r>
              <w:rPr>
                <w:rFonts w:hint="eastAsia" w:cs="Arial"/>
                <w:color w:val="000000"/>
                <w:sz w:val="22"/>
                <w:lang w:val="en-US" w:eastAsia="zh-CN"/>
              </w:rPr>
              <w:t>下达2019市级乡村振兴资金</w:t>
            </w:r>
          </w:p>
        </w:tc>
        <w:tc>
          <w:tcPr>
            <w:tcW w:w="1225" w:type="dxa"/>
            <w:tcBorders>
              <w:top w:val="nil"/>
              <w:left w:val="nil"/>
              <w:bottom w:val="single" w:color="auto" w:sz="4" w:space="0"/>
              <w:right w:val="single" w:color="auto" w:sz="4" w:space="0"/>
            </w:tcBorders>
            <w:vAlign w:val="bottom"/>
          </w:tcPr>
          <w:p>
            <w:pPr>
              <w:widowControl/>
              <w:jc w:val="right"/>
              <w:rPr>
                <w:rFonts w:ascii="Arial" w:hAnsi="Arial" w:eastAsia="宋体" w:cs="Arial"/>
                <w:color w:val="000000"/>
                <w:kern w:val="0"/>
                <w:sz w:val="20"/>
                <w:szCs w:val="20"/>
              </w:rPr>
            </w:pPr>
            <w:r>
              <w:rPr>
                <w:rFonts w:hint="eastAsia" w:ascii="Arial" w:hAnsi="Arial" w:cs="Arial"/>
                <w:color w:val="000000"/>
                <w:sz w:val="20"/>
                <w:szCs w:val="20"/>
                <w:lang w:val="en-US" w:eastAsia="zh-CN"/>
              </w:rPr>
              <w:t>21.70</w:t>
            </w:r>
            <w:r>
              <w:rPr>
                <w:rFonts w:ascii="Arial" w:hAnsi="Arial" w:cs="Arial"/>
                <w:color w:val="000000"/>
                <w:sz w:val="20"/>
                <w:szCs w:val="20"/>
              </w:rPr>
              <w:t xml:space="preserve"> </w:t>
            </w:r>
          </w:p>
        </w:tc>
        <w:tc>
          <w:tcPr>
            <w:tcW w:w="904" w:type="dxa"/>
            <w:tcBorders>
              <w:top w:val="nil"/>
              <w:left w:val="nil"/>
              <w:bottom w:val="single" w:color="auto" w:sz="4" w:space="0"/>
              <w:right w:val="single" w:color="auto" w:sz="4" w:space="0"/>
            </w:tcBorders>
            <w:vAlign w:val="center"/>
          </w:tcPr>
          <w:p>
            <w:pPr>
              <w:widowControl/>
              <w:jc w:val="center"/>
              <w:rPr>
                <w:rFonts w:ascii="宋体" w:eastAsia="宋体" w:cs="宋体"/>
                <w:color w:val="000000"/>
                <w:kern w:val="0"/>
                <w:sz w:val="22"/>
              </w:rPr>
            </w:pPr>
            <w:r>
              <w:rPr>
                <w:rFonts w:hint="eastAsia" w:ascii="宋体" w:hAnsi="宋体" w:cs="宋体"/>
                <w:color w:val="000000"/>
                <w:kern w:val="0"/>
                <w:sz w:val="22"/>
              </w:rPr>
              <w:t>√</w:t>
            </w:r>
          </w:p>
        </w:tc>
        <w:tc>
          <w:tcPr>
            <w:tcW w:w="1011"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rPr>
            </w:pPr>
          </w:p>
        </w:tc>
        <w:tc>
          <w:tcPr>
            <w:tcW w:w="867"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nil"/>
              <w:left w:val="single" w:color="auto" w:sz="4" w:space="0"/>
              <w:bottom w:val="single" w:color="auto" w:sz="4" w:space="0"/>
              <w:right w:val="single" w:color="auto" w:sz="4" w:space="0"/>
            </w:tcBorders>
            <w:vAlign w:val="center"/>
          </w:tcPr>
          <w:p>
            <w:pPr>
              <w:widowControl/>
              <w:jc w:val="center"/>
              <w:rPr>
                <w:rFonts w:ascii="宋体" w:eastAsia="宋体" w:cs="宋体"/>
                <w:color w:val="000000"/>
                <w:kern w:val="0"/>
                <w:sz w:val="22"/>
              </w:rPr>
            </w:pPr>
            <w:r>
              <w:rPr>
                <w:rFonts w:hint="eastAsia" w:ascii="宋体" w:cs="宋体"/>
                <w:color w:val="000000"/>
                <w:kern w:val="0"/>
                <w:sz w:val="22"/>
              </w:rPr>
              <w:t>2</w:t>
            </w:r>
          </w:p>
        </w:tc>
        <w:tc>
          <w:tcPr>
            <w:tcW w:w="4272" w:type="dxa"/>
            <w:tcBorders>
              <w:top w:val="nil"/>
              <w:left w:val="single" w:color="auto" w:sz="4" w:space="0"/>
              <w:bottom w:val="single" w:color="auto" w:sz="4" w:space="0"/>
              <w:right w:val="single" w:color="auto" w:sz="4" w:space="0"/>
            </w:tcBorders>
            <w:vAlign w:val="center"/>
          </w:tcPr>
          <w:p>
            <w:pPr>
              <w:widowControl/>
              <w:jc w:val="left"/>
              <w:rPr>
                <w:rFonts w:hint="eastAsia" w:cs="Arial"/>
                <w:color w:val="000000"/>
                <w:sz w:val="22"/>
                <w:lang w:val="en-US" w:eastAsia="zh-CN"/>
              </w:rPr>
            </w:pPr>
            <w:r>
              <w:rPr>
                <w:rFonts w:hint="eastAsia" w:cs="Arial"/>
                <w:color w:val="000000"/>
                <w:sz w:val="22"/>
                <w:lang w:val="en-US" w:eastAsia="zh-CN"/>
              </w:rPr>
              <w:t>保阜(保沧）高速保定西出入口土地流转费用</w:t>
            </w:r>
          </w:p>
        </w:tc>
        <w:tc>
          <w:tcPr>
            <w:tcW w:w="1225" w:type="dxa"/>
            <w:tcBorders>
              <w:top w:val="nil"/>
              <w:left w:val="nil"/>
              <w:bottom w:val="single" w:color="auto" w:sz="4" w:space="0"/>
              <w:right w:val="single" w:color="auto" w:sz="4" w:space="0"/>
            </w:tcBorders>
            <w:vAlign w:val="bottom"/>
          </w:tcPr>
          <w:p>
            <w:pPr>
              <w:jc w:val="right"/>
              <w:rPr>
                <w:rFonts w:ascii="Arial" w:hAnsi="Arial" w:cs="Arial"/>
                <w:color w:val="000000"/>
                <w:sz w:val="20"/>
                <w:szCs w:val="20"/>
              </w:rPr>
            </w:pPr>
            <w:r>
              <w:rPr>
                <w:rFonts w:hint="eastAsia" w:ascii="Arial" w:hAnsi="Arial" w:cs="Arial"/>
                <w:color w:val="000000"/>
                <w:sz w:val="20"/>
                <w:szCs w:val="20"/>
                <w:lang w:val="en-US" w:eastAsia="zh-CN"/>
              </w:rPr>
              <w:t>8.00</w:t>
            </w:r>
            <w:r>
              <w:rPr>
                <w:rFonts w:ascii="Arial" w:hAnsi="Arial" w:cs="Arial"/>
                <w:color w:val="000000"/>
                <w:sz w:val="20"/>
                <w:szCs w:val="20"/>
              </w:rPr>
              <w:t xml:space="preserve"> </w:t>
            </w:r>
          </w:p>
        </w:tc>
        <w:tc>
          <w:tcPr>
            <w:tcW w:w="904" w:type="dxa"/>
            <w:tcBorders>
              <w:top w:val="nil"/>
              <w:left w:val="nil"/>
              <w:bottom w:val="single" w:color="auto" w:sz="4" w:space="0"/>
              <w:right w:val="single" w:color="auto" w:sz="4" w:space="0"/>
            </w:tcBorders>
            <w:vAlign w:val="center"/>
          </w:tcPr>
          <w:p>
            <w:pPr>
              <w:widowControl/>
              <w:jc w:val="center"/>
              <w:rPr>
                <w:rFonts w:ascii="宋体" w:eastAsia="宋体" w:cs="宋体"/>
                <w:color w:val="000000"/>
                <w:kern w:val="0"/>
                <w:sz w:val="22"/>
              </w:rPr>
            </w:pPr>
            <w:r>
              <w:rPr>
                <w:rFonts w:hint="eastAsia" w:ascii="宋体" w:hAnsi="宋体" w:cs="宋体"/>
                <w:color w:val="000000"/>
                <w:kern w:val="0"/>
                <w:sz w:val="22"/>
              </w:rPr>
              <w:t>√</w:t>
            </w:r>
          </w:p>
        </w:tc>
        <w:tc>
          <w:tcPr>
            <w:tcW w:w="1011"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rPr>
            </w:pPr>
          </w:p>
        </w:tc>
        <w:tc>
          <w:tcPr>
            <w:tcW w:w="867"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rPr>
            </w:pPr>
          </w:p>
        </w:tc>
      </w:tr>
      <w:tr>
        <w:tblPrEx>
          <w:tblCellMar>
            <w:top w:w="0" w:type="dxa"/>
            <w:left w:w="108" w:type="dxa"/>
            <w:bottom w:w="0" w:type="dxa"/>
            <w:right w:w="108" w:type="dxa"/>
          </w:tblCellMar>
        </w:tblPrEx>
        <w:trPr>
          <w:trHeight w:val="414" w:hRule="atLeast"/>
        </w:trPr>
        <w:tc>
          <w:tcPr>
            <w:tcW w:w="781"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cs="宋体"/>
                <w:color w:val="000000"/>
                <w:kern w:val="0"/>
                <w:sz w:val="22"/>
              </w:rPr>
              <w:t>3</w:t>
            </w:r>
          </w:p>
        </w:tc>
        <w:tc>
          <w:tcPr>
            <w:tcW w:w="4272" w:type="dxa"/>
            <w:tcBorders>
              <w:top w:val="nil"/>
              <w:left w:val="single" w:color="auto" w:sz="4" w:space="0"/>
              <w:bottom w:val="single" w:color="auto" w:sz="4" w:space="0"/>
              <w:right w:val="single" w:color="auto" w:sz="4" w:space="0"/>
            </w:tcBorders>
            <w:vAlign w:val="center"/>
          </w:tcPr>
          <w:p>
            <w:pPr>
              <w:widowControl/>
              <w:jc w:val="left"/>
              <w:rPr>
                <w:rFonts w:hint="eastAsia" w:cs="Arial"/>
                <w:color w:val="000000"/>
                <w:sz w:val="22"/>
                <w:lang w:val="en-US" w:eastAsia="zh-CN"/>
              </w:rPr>
            </w:pPr>
            <w:r>
              <w:rPr>
                <w:rFonts w:hint="eastAsia" w:cs="Arial"/>
                <w:color w:val="000000"/>
                <w:sz w:val="22"/>
                <w:lang w:val="en-US" w:eastAsia="zh-CN"/>
              </w:rPr>
              <w:t>农村文化建设资金</w:t>
            </w:r>
          </w:p>
        </w:tc>
        <w:tc>
          <w:tcPr>
            <w:tcW w:w="1225" w:type="dxa"/>
            <w:tcBorders>
              <w:top w:val="nil"/>
              <w:left w:val="nil"/>
              <w:bottom w:val="single" w:color="auto" w:sz="4" w:space="0"/>
              <w:right w:val="single" w:color="auto" w:sz="4" w:space="0"/>
            </w:tcBorders>
            <w:vAlign w:val="bottom"/>
          </w:tcPr>
          <w:p>
            <w:pPr>
              <w:jc w:val="right"/>
              <w:rPr>
                <w:rFonts w:hint="default" w:ascii="Arial" w:hAnsi="Arial" w:cs="Arial" w:eastAsiaTheme="minorEastAsia"/>
                <w:color w:val="000000"/>
                <w:sz w:val="20"/>
                <w:szCs w:val="20"/>
                <w:lang w:val="en-US" w:eastAsia="zh-CN"/>
              </w:rPr>
            </w:pPr>
            <w:r>
              <w:rPr>
                <w:rFonts w:hint="eastAsia" w:ascii="Arial" w:hAnsi="Arial" w:cs="Arial"/>
                <w:color w:val="000000"/>
                <w:sz w:val="20"/>
                <w:szCs w:val="20"/>
                <w:lang w:val="en-US" w:eastAsia="zh-CN"/>
              </w:rPr>
              <w:t>14.60</w:t>
            </w:r>
          </w:p>
        </w:tc>
        <w:tc>
          <w:tcPr>
            <w:tcW w:w="90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w:t>
            </w:r>
          </w:p>
        </w:tc>
        <w:tc>
          <w:tcPr>
            <w:tcW w:w="1011" w:type="dxa"/>
            <w:tcBorders>
              <w:top w:val="nil"/>
              <w:left w:val="nil"/>
              <w:bottom w:val="single" w:color="auto" w:sz="4" w:space="0"/>
              <w:right w:val="single" w:color="auto" w:sz="4" w:space="0"/>
            </w:tcBorders>
            <w:vAlign w:val="center"/>
          </w:tcPr>
          <w:p>
            <w:pPr>
              <w:widowControl/>
              <w:jc w:val="left"/>
              <w:rPr>
                <w:rFonts w:ascii="宋体" w:cs="宋体"/>
                <w:color w:val="FF0000"/>
                <w:kern w:val="0"/>
                <w:sz w:val="22"/>
              </w:rPr>
            </w:pPr>
            <w:r>
              <w:rPr>
                <w:rFonts w:hint="eastAsia" w:ascii="宋体" w:hAnsi="宋体" w:cs="宋体"/>
                <w:color w:val="FF0000"/>
                <w:kern w:val="0"/>
                <w:sz w:val="22"/>
              </w:rPr>
              <w:t>　</w:t>
            </w:r>
          </w:p>
        </w:tc>
        <w:tc>
          <w:tcPr>
            <w:tcW w:w="867" w:type="dxa"/>
            <w:tcBorders>
              <w:top w:val="nil"/>
              <w:left w:val="nil"/>
              <w:bottom w:val="single" w:color="auto" w:sz="4" w:space="0"/>
              <w:right w:val="single" w:color="auto" w:sz="4" w:space="0"/>
            </w:tcBorders>
            <w:vAlign w:val="center"/>
          </w:tcPr>
          <w:p>
            <w:pPr>
              <w:widowControl/>
              <w:jc w:val="left"/>
              <w:rPr>
                <w:rFonts w:ascii="宋体" w:cs="宋体"/>
                <w:color w:val="FF0000"/>
                <w:kern w:val="0"/>
                <w:sz w:val="22"/>
              </w:rPr>
            </w:pPr>
            <w:r>
              <w:rPr>
                <w:rFonts w:hint="eastAsia" w:ascii="宋体" w:hAnsi="宋体" w:cs="宋体"/>
                <w:color w:val="FF0000"/>
                <w:kern w:val="0"/>
                <w:sz w:val="22"/>
              </w:rPr>
              <w:t>　</w:t>
            </w: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cs="宋体"/>
                <w:color w:val="000000"/>
                <w:kern w:val="0"/>
                <w:sz w:val="22"/>
              </w:rPr>
              <w:t>4</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cs="Arial"/>
                <w:color w:val="000000"/>
                <w:sz w:val="22"/>
                <w:lang w:val="en-US" w:eastAsia="zh-CN"/>
              </w:rPr>
            </w:pPr>
            <w:r>
              <w:rPr>
                <w:rFonts w:hint="eastAsia" w:cs="Arial"/>
                <w:color w:val="000000"/>
                <w:sz w:val="22"/>
                <w:lang w:val="en-US" w:eastAsia="zh-CN"/>
              </w:rPr>
              <w:t>于家庄镇防控经费</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ascii="Arial" w:hAnsi="Arial" w:cs="Arial"/>
                <w:color w:val="000000"/>
                <w:sz w:val="20"/>
                <w:szCs w:val="20"/>
              </w:rPr>
            </w:pPr>
            <w:r>
              <w:rPr>
                <w:rFonts w:hint="eastAsia" w:ascii="Arial" w:hAnsi="Arial" w:cs="Arial"/>
                <w:color w:val="000000"/>
                <w:sz w:val="20"/>
                <w:szCs w:val="20"/>
                <w:lang w:val="en-US" w:eastAsia="zh-CN"/>
              </w:rPr>
              <w:t>12.00</w:t>
            </w:r>
            <w:r>
              <w:rPr>
                <w:rFonts w:ascii="Arial" w:hAnsi="Arial" w:cs="Arial"/>
                <w:color w:val="000000"/>
                <w:sz w:val="20"/>
                <w:szCs w:val="20"/>
              </w:rPr>
              <w:t xml:space="preserve"> </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cs="宋体"/>
                <w:color w:val="000000"/>
                <w:kern w:val="0"/>
                <w:sz w:val="22"/>
              </w:rPr>
              <w:t>5</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cs="Arial"/>
                <w:color w:val="000000"/>
                <w:sz w:val="22"/>
                <w:lang w:val="en-US" w:eastAsia="zh-CN"/>
              </w:rPr>
            </w:pPr>
            <w:r>
              <w:rPr>
                <w:rFonts w:hint="eastAsia" w:cs="Arial"/>
                <w:color w:val="000000"/>
                <w:sz w:val="22"/>
                <w:lang w:val="en-US" w:eastAsia="zh-CN"/>
              </w:rPr>
              <w:t>2019年中央农村综合改革转移支付资金保财农改[2019]4号</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ascii="Arial" w:hAnsi="Arial" w:cs="Arial"/>
                <w:color w:val="000000"/>
                <w:sz w:val="20"/>
                <w:szCs w:val="20"/>
              </w:rPr>
            </w:pPr>
            <w:r>
              <w:rPr>
                <w:rFonts w:hint="eastAsia" w:ascii="Arial" w:hAnsi="Arial" w:cs="Arial"/>
                <w:color w:val="000000"/>
                <w:sz w:val="20"/>
                <w:szCs w:val="20"/>
                <w:lang w:val="en-US" w:eastAsia="zh-CN"/>
              </w:rPr>
              <w:t>0.54</w:t>
            </w:r>
            <w:r>
              <w:rPr>
                <w:rFonts w:ascii="Arial" w:hAnsi="Arial" w:cs="Arial"/>
                <w:color w:val="000000"/>
                <w:sz w:val="20"/>
                <w:szCs w:val="20"/>
              </w:rPr>
              <w:t xml:space="preserve"> </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6</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cs="Arial"/>
                <w:color w:val="000000"/>
                <w:sz w:val="22"/>
                <w:lang w:val="en-US" w:eastAsia="zh-CN"/>
              </w:rPr>
            </w:pPr>
            <w:r>
              <w:rPr>
                <w:rFonts w:hint="eastAsia" w:cs="Arial"/>
                <w:color w:val="000000"/>
                <w:sz w:val="22"/>
                <w:lang w:val="en-US" w:eastAsia="zh-CN"/>
              </w:rPr>
              <w:t>2019年省级农村综合改革转移支付资金保财农改[2019]1号</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ascii="Arial" w:hAnsi="Arial" w:cs="Arial"/>
                <w:color w:val="000000"/>
                <w:sz w:val="20"/>
                <w:szCs w:val="20"/>
              </w:rPr>
            </w:pPr>
            <w:r>
              <w:rPr>
                <w:rFonts w:hint="eastAsia" w:ascii="Arial" w:hAnsi="Arial" w:cs="Arial"/>
                <w:color w:val="000000"/>
                <w:sz w:val="20"/>
                <w:szCs w:val="20"/>
                <w:lang w:val="en-US" w:eastAsia="zh-CN"/>
              </w:rPr>
              <w:t>8.00</w:t>
            </w:r>
            <w:r>
              <w:rPr>
                <w:rFonts w:ascii="Arial" w:hAnsi="Arial" w:cs="Arial"/>
                <w:color w:val="000000"/>
                <w:sz w:val="20"/>
                <w:szCs w:val="20"/>
              </w:rPr>
              <w:t xml:space="preserve"> </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kern w:val="0"/>
                <w:sz w:val="22"/>
              </w:rPr>
              <w:t xml:space="preserve"> √</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r>
              <w:rPr>
                <w:rFonts w:hint="eastAsia" w:ascii="宋体" w:hAnsi="宋体" w:cs="宋体"/>
                <w:color w:val="000000"/>
                <w:kern w:val="0"/>
                <w:sz w:val="22"/>
              </w:rPr>
              <w:t xml:space="preserve">    </w:t>
            </w: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7</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cs="Arial"/>
                <w:color w:val="000000"/>
                <w:sz w:val="22"/>
                <w:lang w:val="en-US" w:eastAsia="zh-CN"/>
              </w:rPr>
            </w:pPr>
            <w:r>
              <w:rPr>
                <w:rFonts w:hint="eastAsia" w:cs="Arial"/>
                <w:color w:val="000000"/>
                <w:sz w:val="22"/>
                <w:lang w:val="en-US" w:eastAsia="zh-CN"/>
              </w:rPr>
              <w:t>2019年扶持壮大村级集体经济市级财政补助资金保财农改[2019]5号</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ascii="Arial" w:hAnsi="Arial" w:cs="Arial"/>
                <w:color w:val="000000"/>
                <w:sz w:val="20"/>
                <w:szCs w:val="20"/>
              </w:rPr>
            </w:pPr>
            <w:r>
              <w:rPr>
                <w:rFonts w:hint="eastAsia" w:ascii="Arial" w:hAnsi="Arial" w:cs="Arial"/>
                <w:color w:val="000000"/>
                <w:sz w:val="20"/>
                <w:szCs w:val="20"/>
                <w:lang w:val="en-US" w:eastAsia="zh-CN"/>
              </w:rPr>
              <w:t>10.00</w:t>
            </w:r>
            <w:r>
              <w:rPr>
                <w:rFonts w:ascii="Arial" w:hAnsi="Arial" w:cs="Arial"/>
                <w:color w:val="000000"/>
                <w:sz w:val="20"/>
                <w:szCs w:val="20"/>
              </w:rPr>
              <w:t xml:space="preserve"> </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8</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cs="Arial"/>
                <w:color w:val="000000"/>
                <w:sz w:val="22"/>
                <w:lang w:val="en-US" w:eastAsia="zh-CN"/>
              </w:rPr>
            </w:pPr>
            <w:r>
              <w:rPr>
                <w:rFonts w:hint="eastAsia" w:cs="Arial"/>
                <w:color w:val="000000"/>
                <w:sz w:val="22"/>
                <w:lang w:val="en-US" w:eastAsia="zh-CN"/>
              </w:rPr>
              <w:t>2017年农村综合改革资金一事一议</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hint="default" w:ascii="Arial" w:hAnsi="Arial" w:cs="Arial" w:eastAsiaTheme="minorEastAsia"/>
                <w:color w:val="000000"/>
                <w:sz w:val="20"/>
                <w:szCs w:val="20"/>
                <w:lang w:val="en-US" w:eastAsia="zh-CN"/>
              </w:rPr>
            </w:pPr>
            <w:r>
              <w:rPr>
                <w:rFonts w:hint="eastAsia" w:ascii="Arial" w:hAnsi="Arial" w:cs="Arial"/>
                <w:color w:val="000000"/>
                <w:sz w:val="20"/>
                <w:szCs w:val="20"/>
                <w:lang w:val="en-US" w:eastAsia="zh-CN"/>
              </w:rPr>
              <w:t>10.00</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 xml:space="preserve"> √</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r>
              <w:rPr>
                <w:rFonts w:hint="eastAsia" w:ascii="宋体" w:hAnsi="宋体" w:cs="宋体"/>
                <w:kern w:val="0"/>
                <w:sz w:val="22"/>
              </w:rPr>
              <w:t xml:space="preserve">    </w:t>
            </w: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r>
              <w:rPr>
                <w:rFonts w:hint="eastAsia" w:ascii="宋体" w:hAnsi="宋体" w:cs="宋体"/>
                <w:kern w:val="0"/>
                <w:sz w:val="22"/>
              </w:rPr>
              <w:t xml:space="preserve">    </w:t>
            </w: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9</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cs="Arial"/>
                <w:color w:val="000000"/>
                <w:sz w:val="22"/>
                <w:lang w:val="en-US" w:eastAsia="zh-CN"/>
              </w:rPr>
            </w:pPr>
            <w:r>
              <w:rPr>
                <w:rFonts w:hint="eastAsia" w:cs="Arial"/>
                <w:color w:val="000000"/>
                <w:sz w:val="22"/>
                <w:lang w:val="en-US" w:eastAsia="zh-CN"/>
              </w:rPr>
              <w:t>村干部基础职务补贴</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hint="default" w:ascii="Arial" w:hAnsi="Arial" w:cs="Arial" w:eastAsiaTheme="minorEastAsia"/>
                <w:color w:val="000000"/>
                <w:sz w:val="20"/>
                <w:szCs w:val="20"/>
                <w:lang w:val="en-US" w:eastAsia="zh-CN"/>
              </w:rPr>
            </w:pPr>
            <w:r>
              <w:rPr>
                <w:rFonts w:hint="eastAsia" w:ascii="Arial" w:hAnsi="Arial" w:cs="Arial"/>
                <w:color w:val="000000"/>
                <w:sz w:val="20"/>
                <w:szCs w:val="20"/>
                <w:lang w:val="en-US" w:eastAsia="zh-CN"/>
              </w:rPr>
              <w:t>6.00</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 xml:space="preserve"> √</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ind w:firstLine="440" w:firstLineChars="200"/>
              <w:jc w:val="left"/>
              <w:rPr>
                <w:rFonts w:ascii="宋体" w:hAnsi="宋体" w:cs="宋体"/>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10</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cs="Arial"/>
                <w:color w:val="000000"/>
                <w:sz w:val="22"/>
                <w:lang w:val="en-US" w:eastAsia="zh-CN"/>
              </w:rPr>
            </w:pPr>
            <w:r>
              <w:rPr>
                <w:rFonts w:hint="eastAsia" w:cs="Arial"/>
                <w:color w:val="000000"/>
                <w:sz w:val="22"/>
                <w:lang w:val="en-US" w:eastAsia="zh-CN"/>
              </w:rPr>
              <w:t>基层组织运转经费和党建提升经费</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ascii="Arial" w:hAnsi="Arial" w:cs="Arial"/>
                <w:color w:val="000000"/>
                <w:sz w:val="20"/>
                <w:szCs w:val="20"/>
              </w:rPr>
            </w:pPr>
            <w:r>
              <w:rPr>
                <w:rFonts w:hint="eastAsia" w:ascii="Arial" w:hAnsi="Arial" w:cs="Arial"/>
                <w:color w:val="000000"/>
                <w:sz w:val="20"/>
                <w:szCs w:val="20"/>
                <w:lang w:val="en-US" w:eastAsia="zh-CN"/>
              </w:rPr>
              <w:t>10.70</w:t>
            </w:r>
            <w:r>
              <w:rPr>
                <w:rFonts w:ascii="Arial" w:hAnsi="Arial" w:cs="Arial"/>
                <w:color w:val="000000"/>
                <w:sz w:val="20"/>
                <w:szCs w:val="20"/>
              </w:rPr>
              <w:t xml:space="preserve"> </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11</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cs="Arial"/>
                <w:color w:val="000000"/>
                <w:sz w:val="22"/>
                <w:lang w:val="en-US" w:eastAsia="zh-CN"/>
              </w:rPr>
            </w:pPr>
            <w:r>
              <w:rPr>
                <w:rFonts w:hint="eastAsia" w:cs="Arial"/>
                <w:color w:val="000000"/>
                <w:sz w:val="22"/>
                <w:lang w:val="en-US" w:eastAsia="zh-CN"/>
              </w:rPr>
              <w:t>村干部保险</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ascii="Arial" w:hAnsi="Arial" w:cs="Arial"/>
                <w:color w:val="000000"/>
                <w:sz w:val="20"/>
                <w:szCs w:val="20"/>
              </w:rPr>
            </w:pPr>
            <w:r>
              <w:rPr>
                <w:rFonts w:hint="eastAsia" w:ascii="Arial" w:hAnsi="Arial" w:cs="Arial"/>
                <w:color w:val="000000"/>
                <w:sz w:val="20"/>
                <w:szCs w:val="20"/>
                <w:lang w:val="en-US" w:eastAsia="zh-CN"/>
              </w:rPr>
              <w:t>20.00</w:t>
            </w:r>
            <w:r>
              <w:rPr>
                <w:rFonts w:ascii="Arial" w:hAnsi="Arial" w:cs="Arial"/>
                <w:color w:val="000000"/>
                <w:sz w:val="20"/>
                <w:szCs w:val="20"/>
              </w:rPr>
              <w:t xml:space="preserve"> </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12</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cs="Arial"/>
                <w:color w:val="000000"/>
                <w:sz w:val="22"/>
                <w:lang w:val="en-US" w:eastAsia="zh-CN"/>
              </w:rPr>
            </w:pPr>
            <w:r>
              <w:rPr>
                <w:rFonts w:hint="eastAsia" w:cs="Arial"/>
                <w:color w:val="000000"/>
                <w:sz w:val="22"/>
                <w:lang w:val="en-US" w:eastAsia="zh-CN"/>
              </w:rPr>
              <w:t>2020年7-9月份区财政局农村“两委”干部补贴资金</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ascii="Arial" w:hAnsi="Arial" w:cs="Arial"/>
                <w:color w:val="000000"/>
                <w:sz w:val="20"/>
                <w:szCs w:val="20"/>
              </w:rPr>
            </w:pPr>
            <w:r>
              <w:rPr>
                <w:rFonts w:hint="eastAsia" w:ascii="Arial" w:hAnsi="Arial" w:cs="Arial"/>
                <w:color w:val="000000"/>
                <w:sz w:val="20"/>
                <w:szCs w:val="20"/>
                <w:lang w:val="en-US" w:eastAsia="zh-CN"/>
              </w:rPr>
              <w:t>21.54</w:t>
            </w:r>
            <w:r>
              <w:rPr>
                <w:rFonts w:ascii="Arial" w:hAnsi="Arial" w:cs="Arial"/>
                <w:color w:val="000000"/>
                <w:sz w:val="20"/>
                <w:szCs w:val="20"/>
              </w:rPr>
              <w:t xml:space="preserve"> </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cs="宋体" w:eastAsiaTheme="minorEastAsia"/>
                <w:color w:val="000000"/>
                <w:kern w:val="0"/>
                <w:sz w:val="22"/>
                <w:lang w:val="en-US" w:eastAsia="zh-CN"/>
              </w:rPr>
            </w:pPr>
            <w:r>
              <w:rPr>
                <w:rFonts w:hint="eastAsia" w:ascii="宋体" w:hAnsi="宋体" w:cs="宋体"/>
                <w:color w:val="000000"/>
                <w:kern w:val="0"/>
                <w:sz w:val="22"/>
                <w:lang w:val="en-US" w:eastAsia="zh-CN"/>
              </w:rPr>
              <w:t>13</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cs="Arial"/>
                <w:color w:val="000000"/>
                <w:sz w:val="22"/>
                <w:lang w:val="en-US" w:eastAsia="zh-CN"/>
              </w:rPr>
            </w:pPr>
            <w:r>
              <w:rPr>
                <w:rFonts w:hint="eastAsia" w:cs="Arial"/>
                <w:color w:val="000000"/>
                <w:sz w:val="22"/>
                <w:lang w:val="en-US" w:eastAsia="zh-CN"/>
              </w:rPr>
              <w:t>为服务群众专项、村级办公、党组织活动经费</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hint="default" w:ascii="Arial" w:hAnsi="Arial" w:cs="Arial" w:eastAsiaTheme="minorEastAsia"/>
                <w:color w:val="000000"/>
                <w:sz w:val="20"/>
                <w:szCs w:val="20"/>
                <w:lang w:val="en-US" w:eastAsia="zh-CN"/>
              </w:rPr>
            </w:pPr>
            <w:r>
              <w:rPr>
                <w:rFonts w:hint="eastAsia" w:ascii="Arial" w:hAnsi="Arial" w:cs="Arial"/>
                <w:color w:val="000000"/>
                <w:sz w:val="20"/>
                <w:szCs w:val="20"/>
                <w:lang w:val="en-US" w:eastAsia="zh-CN"/>
              </w:rPr>
              <w:t>81.59</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cs="宋体" w:eastAsiaTheme="minorEastAsia"/>
                <w:color w:val="000000"/>
                <w:kern w:val="0"/>
                <w:sz w:val="22"/>
                <w:lang w:val="en-US" w:eastAsia="zh-CN"/>
              </w:rPr>
            </w:pPr>
            <w:r>
              <w:rPr>
                <w:rFonts w:hint="eastAsia" w:ascii="宋体" w:hAnsi="宋体" w:cs="宋体"/>
                <w:color w:val="000000"/>
                <w:kern w:val="0"/>
                <w:sz w:val="22"/>
                <w:lang w:val="en-US" w:eastAsia="zh-CN"/>
              </w:rPr>
              <w:t>14</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cs="Arial"/>
                <w:color w:val="000000"/>
                <w:sz w:val="22"/>
                <w:lang w:val="en-US" w:eastAsia="zh-CN"/>
              </w:rPr>
            </w:pPr>
            <w:r>
              <w:rPr>
                <w:rFonts w:hint="eastAsia" w:cs="Arial"/>
                <w:color w:val="000000"/>
                <w:sz w:val="22"/>
                <w:lang w:val="en-US" w:eastAsia="zh-CN"/>
              </w:rPr>
              <w:t>正常离任村干部生活补贴</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hint="default" w:ascii="Arial" w:hAnsi="Arial" w:cs="Arial" w:eastAsiaTheme="minorEastAsia"/>
                <w:color w:val="000000"/>
                <w:sz w:val="20"/>
                <w:szCs w:val="20"/>
                <w:lang w:val="en-US" w:eastAsia="zh-CN"/>
              </w:rPr>
            </w:pPr>
            <w:r>
              <w:rPr>
                <w:rFonts w:hint="eastAsia" w:ascii="Arial" w:hAnsi="Arial" w:cs="Arial"/>
                <w:color w:val="000000"/>
                <w:sz w:val="20"/>
                <w:szCs w:val="20"/>
                <w:lang w:val="en-US" w:eastAsia="zh-CN"/>
              </w:rPr>
              <w:t>12.36</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cs="宋体" w:eastAsiaTheme="minorEastAsia"/>
                <w:color w:val="000000"/>
                <w:kern w:val="0"/>
                <w:sz w:val="22"/>
                <w:lang w:val="en-US" w:eastAsia="zh-CN"/>
              </w:rPr>
            </w:pPr>
            <w:r>
              <w:rPr>
                <w:rFonts w:hint="eastAsia" w:ascii="宋体" w:hAnsi="宋体" w:cs="宋体"/>
                <w:color w:val="000000"/>
                <w:kern w:val="0"/>
                <w:sz w:val="22"/>
                <w:lang w:val="en-US" w:eastAsia="zh-CN"/>
              </w:rPr>
              <w:t>15</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cs="Arial"/>
                <w:color w:val="000000"/>
                <w:sz w:val="22"/>
                <w:lang w:val="en-US" w:eastAsia="zh-CN"/>
              </w:rPr>
            </w:pPr>
            <w:r>
              <w:rPr>
                <w:rFonts w:hint="eastAsia" w:cs="Arial"/>
                <w:color w:val="000000"/>
                <w:sz w:val="22"/>
                <w:lang w:val="en-US" w:eastAsia="zh-CN"/>
              </w:rPr>
              <w:t>2019年下半年离任村书记离任生活补贴</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hint="default" w:ascii="Arial" w:hAnsi="Arial" w:cs="Arial" w:eastAsiaTheme="minorEastAsia"/>
                <w:color w:val="000000"/>
                <w:sz w:val="20"/>
                <w:szCs w:val="20"/>
                <w:lang w:val="en-US" w:eastAsia="zh-CN"/>
              </w:rPr>
            </w:pPr>
            <w:r>
              <w:rPr>
                <w:rFonts w:hint="eastAsia" w:ascii="Arial" w:hAnsi="Arial" w:cs="Arial"/>
                <w:color w:val="000000"/>
                <w:sz w:val="20"/>
                <w:szCs w:val="20"/>
                <w:lang w:val="en-US" w:eastAsia="zh-CN"/>
              </w:rPr>
              <w:t>4.19</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674"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cs="宋体" w:eastAsiaTheme="minorEastAsia"/>
                <w:color w:val="000000"/>
                <w:kern w:val="0"/>
                <w:sz w:val="22"/>
                <w:lang w:val="en-US" w:eastAsia="zh-CN"/>
              </w:rPr>
            </w:pPr>
            <w:r>
              <w:rPr>
                <w:rFonts w:hint="eastAsia" w:ascii="宋体" w:hAnsi="宋体" w:cs="宋体"/>
                <w:color w:val="000000"/>
                <w:kern w:val="0"/>
                <w:sz w:val="22"/>
                <w:lang w:val="en-US" w:eastAsia="zh-CN"/>
              </w:rPr>
              <w:t>16</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cs="Arial"/>
                <w:color w:val="000000"/>
                <w:sz w:val="22"/>
                <w:lang w:val="en-US" w:eastAsia="zh-CN"/>
              </w:rPr>
            </w:pPr>
            <w:r>
              <w:rPr>
                <w:rFonts w:hint="eastAsia" w:cs="Arial"/>
                <w:color w:val="000000"/>
                <w:sz w:val="22"/>
                <w:lang w:val="en-US" w:eastAsia="zh-CN"/>
              </w:rPr>
              <w:t>农业生产支持补贴</w:t>
            </w:r>
          </w:p>
        </w:tc>
        <w:tc>
          <w:tcPr>
            <w:tcW w:w="1225" w:type="dxa"/>
            <w:tcBorders>
              <w:top w:val="single" w:color="auto" w:sz="4" w:space="0"/>
              <w:left w:val="single" w:color="auto" w:sz="4" w:space="0"/>
              <w:bottom w:val="single" w:color="auto" w:sz="4" w:space="0"/>
              <w:right w:val="single" w:color="auto" w:sz="4" w:space="0"/>
            </w:tcBorders>
            <w:vAlign w:val="bottom"/>
          </w:tcPr>
          <w:p>
            <w:pPr>
              <w:widowControl/>
              <w:jc w:val="right"/>
              <w:rPr>
                <w:rFonts w:hint="eastAsia" w:cs="Arial"/>
                <w:color w:val="000000"/>
                <w:sz w:val="22"/>
                <w:lang w:val="en-US" w:eastAsia="zh-CN"/>
              </w:rPr>
            </w:pPr>
            <w:r>
              <w:rPr>
                <w:rFonts w:hint="eastAsia" w:cs="Arial"/>
                <w:color w:val="000000"/>
                <w:sz w:val="22"/>
                <w:lang w:val="en-US" w:eastAsia="zh-CN"/>
              </w:rPr>
              <w:t>228.92</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cs="Arial"/>
                <w:color w:val="000000"/>
                <w:sz w:val="22"/>
                <w:lang w:val="en-US" w:eastAsia="zh-CN"/>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kern w:val="0"/>
                <w:sz w:val="22"/>
              </w:rPr>
              <w:t xml:space="preserve"> </w:t>
            </w: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eastAsiaTheme="minorEastAsia"/>
                <w:color w:val="000000"/>
                <w:kern w:val="0"/>
                <w:sz w:val="22"/>
                <w:szCs w:val="24"/>
                <w:lang w:val="en-US" w:eastAsia="zh-CN" w:bidi="ar-SA"/>
              </w:rPr>
            </w:pPr>
            <w:r>
              <w:rPr>
                <w:rFonts w:hint="eastAsia" w:ascii="宋体" w:hAnsi="宋体" w:cs="宋体"/>
                <w:color w:val="000000"/>
                <w:kern w:val="0"/>
                <w:sz w:val="22"/>
              </w:rPr>
              <w:t>1</w:t>
            </w:r>
            <w:r>
              <w:rPr>
                <w:rFonts w:hint="eastAsia" w:ascii="宋体" w:hAnsi="宋体" w:cs="宋体"/>
                <w:color w:val="000000"/>
                <w:kern w:val="0"/>
                <w:sz w:val="22"/>
                <w:lang w:val="en-US" w:eastAsia="zh-CN"/>
              </w:rPr>
              <w:t>7</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cs="Arial" w:asciiTheme="minorHAnsi" w:hAnsiTheme="minorHAnsi" w:eastAsiaTheme="minorEastAsia"/>
                <w:color w:val="000000"/>
                <w:kern w:val="2"/>
                <w:sz w:val="22"/>
                <w:szCs w:val="24"/>
                <w:lang w:val="en-US" w:eastAsia="zh-CN" w:bidi="ar-SA"/>
              </w:rPr>
            </w:pPr>
            <w:r>
              <w:rPr>
                <w:rFonts w:hint="eastAsia" w:cs="Arial"/>
                <w:color w:val="000000"/>
                <w:sz w:val="22"/>
                <w:lang w:val="en-US" w:eastAsia="zh-CN"/>
              </w:rPr>
              <w:t>(综）河北京车110KV电力外源线路接入工程占地资金</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hint="default" w:ascii="Arial" w:hAnsi="Arial" w:cs="Arial" w:eastAsiaTheme="minorEastAsia"/>
                <w:color w:val="000000"/>
                <w:kern w:val="2"/>
                <w:sz w:val="20"/>
                <w:szCs w:val="20"/>
                <w:lang w:val="en-US" w:eastAsia="zh-CN" w:bidi="ar-SA"/>
              </w:rPr>
            </w:pPr>
            <w:r>
              <w:rPr>
                <w:rFonts w:hint="eastAsia" w:ascii="Arial" w:hAnsi="Arial" w:cs="Arial"/>
                <w:color w:val="000000"/>
                <w:sz w:val="20"/>
                <w:szCs w:val="20"/>
                <w:lang w:val="en-US" w:eastAsia="zh-CN"/>
              </w:rPr>
              <w:t>25.83</w:t>
            </w:r>
            <w:r>
              <w:rPr>
                <w:rFonts w:ascii="Arial" w:hAnsi="Arial" w:cs="Arial"/>
                <w:color w:val="000000"/>
                <w:sz w:val="20"/>
                <w:szCs w:val="20"/>
              </w:rPr>
              <w:t xml:space="preserve"> </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eastAsiaTheme="minorEastAsia"/>
                <w:color w:val="000000"/>
                <w:kern w:val="0"/>
                <w:sz w:val="22"/>
                <w:szCs w:val="24"/>
                <w:lang w:val="en-US" w:eastAsia="zh-CN" w:bidi="ar-SA"/>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r>
              <w:rPr>
                <w:rFonts w:hint="eastAsia" w:ascii="宋体" w:hAnsi="宋体" w:cs="宋体"/>
                <w:kern w:val="0"/>
                <w:sz w:val="22"/>
              </w:rPr>
              <w:t xml:space="preserve">    </w:t>
            </w: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eastAsiaTheme="minorEastAsia"/>
                <w:kern w:val="0"/>
                <w:sz w:val="22"/>
                <w:szCs w:val="24"/>
                <w:lang w:val="en-US" w:eastAsia="zh-CN" w:bidi="ar-SA"/>
              </w:rPr>
            </w:pPr>
            <w:r>
              <w:rPr>
                <w:rFonts w:hint="eastAsia" w:ascii="宋体" w:hAnsi="宋体" w:cs="宋体"/>
                <w:kern w:val="0"/>
                <w:sz w:val="22"/>
              </w:rPr>
              <w:t>1</w:t>
            </w:r>
            <w:r>
              <w:rPr>
                <w:rFonts w:hint="eastAsia" w:ascii="宋体" w:hAnsi="宋体" w:cs="宋体"/>
                <w:kern w:val="0"/>
                <w:sz w:val="22"/>
                <w:lang w:val="en-US" w:eastAsia="zh-CN"/>
              </w:rPr>
              <w:t>8</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cs="Arial" w:asciiTheme="minorHAnsi" w:hAnsiTheme="minorHAnsi" w:eastAsiaTheme="minorEastAsia"/>
                <w:color w:val="000000"/>
                <w:kern w:val="2"/>
                <w:sz w:val="22"/>
                <w:szCs w:val="24"/>
                <w:lang w:val="en-US" w:eastAsia="zh-CN" w:bidi="ar-SA"/>
              </w:rPr>
            </w:pPr>
            <w:r>
              <w:rPr>
                <w:rFonts w:hint="eastAsia" w:cs="Arial"/>
                <w:color w:val="000000"/>
                <w:sz w:val="22"/>
                <w:lang w:val="en-US" w:eastAsia="zh-CN"/>
              </w:rPr>
              <w:t>(综）京车110Kv线路安全围挡占地及采伐</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hint="eastAsia" w:ascii="Arial" w:hAnsi="Arial" w:cs="Arial" w:eastAsiaTheme="minorEastAsia"/>
                <w:color w:val="000000"/>
                <w:kern w:val="2"/>
                <w:sz w:val="20"/>
                <w:szCs w:val="20"/>
                <w:lang w:val="en-US" w:eastAsia="zh-CN" w:bidi="ar-SA"/>
              </w:rPr>
            </w:pPr>
            <w:r>
              <w:rPr>
                <w:rFonts w:hint="eastAsia" w:ascii="Arial" w:hAnsi="Arial" w:cs="Arial"/>
                <w:color w:val="000000"/>
                <w:sz w:val="20"/>
                <w:szCs w:val="20"/>
                <w:lang w:val="en-US" w:eastAsia="zh-CN"/>
              </w:rPr>
              <w:t>22.36</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eastAsiaTheme="minorEastAsia"/>
                <w:kern w:val="0"/>
                <w:sz w:val="22"/>
                <w:szCs w:val="24"/>
                <w:lang w:val="en-US" w:eastAsia="zh-CN" w:bidi="ar-SA"/>
              </w:rPr>
            </w:pPr>
            <w:r>
              <w:rPr>
                <w:rFonts w:hint="eastAsia" w:ascii="宋体" w:hAnsi="宋体" w:cs="宋体"/>
                <w:kern w:val="0"/>
                <w:sz w:val="22"/>
              </w:rPr>
              <w:t xml:space="preserve"> √</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bl>
    <w:p>
      <w:pPr>
        <w:numPr>
          <w:ilvl w:val="0"/>
          <w:numId w:val="0"/>
        </w:numPr>
        <w:adjustRightInd w:val="0"/>
        <w:snapToGrid w:val="0"/>
        <w:spacing w:line="600" w:lineRule="exact"/>
        <w:ind w:leftChars="200"/>
        <w:rPr>
          <w:rFonts w:hint="eastAsia" w:ascii="仿宋_GB2312" w:hAnsi="仿宋_GB2312" w:eastAsia="仿宋_GB2312" w:cs="仿宋_GB2312"/>
          <w:b/>
          <w:bCs/>
          <w:sz w:val="32"/>
          <w:szCs w:val="32"/>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三</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财政评价项目绩效评价结果</w:t>
      </w:r>
    </w:p>
    <w:p>
      <w:pPr>
        <w:adjustRightInd w:val="0"/>
        <w:snapToGrid w:val="0"/>
        <w:spacing w:line="60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无</w:t>
      </w: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本部门2020年度机关运行经费支出</w:t>
      </w:r>
      <w:r>
        <w:rPr>
          <w:rFonts w:hint="eastAsia" w:ascii="仿宋_GB2312" w:hAnsi="仿宋_GB2312" w:eastAsia="仿宋_GB2312" w:cs="仿宋_GB2312"/>
          <w:sz w:val="32"/>
          <w:szCs w:val="32"/>
          <w:lang w:val="en-US" w:eastAsia="zh-CN"/>
        </w:rPr>
        <w:t>104.77</w:t>
      </w:r>
      <w:r>
        <w:rPr>
          <w:rFonts w:hint="eastAsia" w:ascii="仿宋_GB2312" w:hAnsi="仿宋_GB2312" w:eastAsia="仿宋_GB2312" w:cs="仿宋_GB2312"/>
          <w:sz w:val="32"/>
          <w:szCs w:val="32"/>
        </w:rPr>
        <w:t>万元，比2019年度</w:t>
      </w:r>
      <w:r>
        <w:rPr>
          <w:rFonts w:hint="eastAsia" w:ascii="仿宋_GB2312" w:hAnsi="仿宋_GB2312" w:eastAsia="仿宋_GB2312" w:cs="仿宋_GB2312"/>
          <w:sz w:val="32"/>
          <w:szCs w:val="32"/>
          <w:lang w:val="en-US" w:eastAsia="zh-CN"/>
        </w:rPr>
        <w:t>增加13.46</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val="en-US" w:eastAsia="zh-CN"/>
        </w:rPr>
        <w:t>增长14.74</w:t>
      </w:r>
      <w:r>
        <w:rPr>
          <w:rFonts w:hint="eastAsia" w:ascii="仿宋_GB2312" w:hAnsi="仿宋_GB2312" w:eastAsia="仿宋_GB2312" w:cs="仿宋_GB2312"/>
          <w:sz w:val="32"/>
          <w:szCs w:val="32"/>
        </w:rPr>
        <w:t>%。主要原因是</w:t>
      </w:r>
      <w:r>
        <w:rPr>
          <w:rFonts w:hint="eastAsia" w:ascii="仿宋_GB2312" w:hAnsi="仿宋_GB2312" w:eastAsia="仿宋_GB2312" w:cs="仿宋_GB2312"/>
          <w:sz w:val="32"/>
          <w:szCs w:val="32"/>
          <w:lang w:val="en-US" w:eastAsia="zh-CN"/>
        </w:rPr>
        <w:t>人员增加造成机关运行经费随之增加</w:t>
      </w:r>
      <w:r>
        <w:rPr>
          <w:rFonts w:hint="eastAsia" w:ascii="仿宋_GB2312" w:hAnsi="仿宋_GB2312" w:eastAsia="仿宋_GB2312" w:cs="仿宋_GB2312"/>
          <w:sz w:val="32"/>
          <w:szCs w:val="32"/>
        </w:rPr>
        <w:t>。</w:t>
      </w:r>
    </w:p>
    <w:p>
      <w:pPr>
        <w:keepNext/>
        <w:keepLines/>
        <w:snapToGrid w:val="0"/>
        <w:spacing w:line="600" w:lineRule="exact"/>
        <w:ind w:firstLine="640" w:firstLineChars="200"/>
        <w:outlineLvl w:val="2"/>
        <w:rPr>
          <w:rFonts w:ascii="仿宋_GB2312" w:hAnsi="仿宋_GB2312" w:eastAsia="仿宋_GB2312" w:cs="仿宋_GB2312"/>
          <w:sz w:val="32"/>
          <w:szCs w:val="32"/>
        </w:rPr>
      </w:pPr>
      <w:r>
        <w:rPr>
          <w:rFonts w:hint="eastAsia" w:ascii="黑体" w:hAnsi="黑体" w:eastAsia="黑体" w:cs="黑体"/>
          <w:sz w:val="32"/>
          <w:szCs w:val="32"/>
        </w:rPr>
        <w:t>八、政府采购情况</w:t>
      </w:r>
    </w:p>
    <w:p>
      <w:pPr>
        <w:snapToGrid w:val="0"/>
        <w:spacing w:line="60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本部门2020年度政府采购支出总额</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万元，从采购类型来看，</w:t>
      </w:r>
      <w:r>
        <w:rPr>
          <w:rFonts w:hint="eastAsia"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万元、政府采购工程支出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万元、政府采购服务支出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万元。授予中小企业合同金</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%，其中授予小微企业合同金额</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截至2020年12月31日，本部门共有车辆</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辆，比上年增加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辆，主要是</w:t>
      </w:r>
      <w:r>
        <w:rPr>
          <w:rFonts w:hint="eastAsia" w:ascii="仿宋_GB2312" w:hAnsi="仿宋_GB2312" w:eastAsia="仿宋_GB2312" w:cs="仿宋_GB2312"/>
          <w:sz w:val="32"/>
          <w:szCs w:val="32"/>
          <w:lang w:val="en-US" w:eastAsia="zh-CN"/>
        </w:rPr>
        <w:t>未发生公务用车购置经费支出</w:t>
      </w:r>
      <w:r>
        <w:rPr>
          <w:rFonts w:hint="eastAsia" w:ascii="仿宋_GB2312" w:hAnsi="仿宋_GB2312" w:eastAsia="仿宋_GB2312" w:cs="仿宋_GB2312"/>
          <w:sz w:val="32"/>
          <w:szCs w:val="32"/>
        </w:rPr>
        <w:t>。其中，副部（省）级及以上领导用车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辆，主要领导干部用车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辆，机要通信用车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辆，应急保障用车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辆，执法执勤用车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辆，特种专业技术用车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辆，离退休干部用车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辆，其他用车</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辆，其他用车主要是</w:t>
      </w:r>
      <w:r>
        <w:rPr>
          <w:rFonts w:hint="eastAsia" w:ascii="仿宋_GB2312" w:hAnsi="仿宋_GB2312" w:eastAsia="仿宋_GB2312" w:cs="仿宋_GB2312"/>
          <w:sz w:val="32"/>
          <w:szCs w:val="32"/>
          <w:lang w:val="en-US" w:eastAsia="zh-CN"/>
        </w:rPr>
        <w:t>日常公用车</w:t>
      </w:r>
      <w:r>
        <w:rPr>
          <w:rFonts w:hint="eastAsia" w:ascii="仿宋_GB2312" w:hAnsi="仿宋_GB2312" w:eastAsia="仿宋_GB2312" w:cs="仿宋_GB2312"/>
          <w:sz w:val="32"/>
          <w:szCs w:val="32"/>
        </w:rPr>
        <w:t>；</w:t>
      </w:r>
    </w:p>
    <w:p>
      <w:pPr>
        <w:adjustRightInd w:val="0"/>
        <w:snapToGrid w:val="0"/>
        <w:spacing w:line="60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单位价值50万元以上通用设备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台（套），比上年增加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套，单位价值100万元以上专用设备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台（套）比上年增加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套，主要是</w:t>
      </w:r>
      <w:r>
        <w:rPr>
          <w:rFonts w:hint="eastAsia" w:ascii="仿宋_GB2312" w:hAnsi="仿宋_GB2312" w:eastAsia="仿宋_GB2312" w:cs="仿宋_GB2312"/>
          <w:sz w:val="32"/>
          <w:szCs w:val="32"/>
          <w:lang w:val="en-US" w:eastAsia="zh-CN"/>
        </w:rPr>
        <w:t>未发生单位价值100万元以上专用设备支出</w:t>
      </w:r>
      <w:r>
        <w:rPr>
          <w:rFonts w:hint="eastAsia" w:ascii="仿宋_GB2312" w:hAnsi="仿宋_GB2312" w:eastAsia="仿宋_GB2312" w:cs="仿宋_GB2312"/>
          <w:sz w:val="32"/>
          <w:szCs w:val="32"/>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 本部门2020年度未发生</w:t>
      </w:r>
      <w:r>
        <w:rPr>
          <w:rFonts w:hint="eastAsia" w:ascii="仿宋_GB2312" w:hAnsi="仿宋_GB2312" w:eastAsia="仿宋_GB2312" w:cs="仿宋_GB2312"/>
          <w:sz w:val="32"/>
          <w:szCs w:val="32"/>
          <w:highlight w:val="none"/>
        </w:rPr>
        <w:t>国有资金经营预算</w:t>
      </w:r>
      <w:r>
        <w:rPr>
          <w:rFonts w:hint="eastAsia" w:ascii="仿宋_GB2312" w:hAnsi="仿宋_GB2312" w:eastAsia="仿宋_GB2312" w:cs="仿宋_GB2312"/>
          <w:sz w:val="32"/>
          <w:szCs w:val="32"/>
        </w:rPr>
        <w:t>收支及结转结余情况，故国有资本经营预算财政拨款支出决算表以空表列示。</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hint="eastAsia"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1312" behindDoc="0" locked="0" layoutInCell="1" allowOverlap="1">
                <wp:simplePos x="0" y="0"/>
                <wp:positionH relativeFrom="column">
                  <wp:posOffset>-1022350</wp:posOffset>
                </wp:positionH>
                <wp:positionV relativeFrom="paragraph">
                  <wp:posOffset>201930</wp:posOffset>
                </wp:positionV>
                <wp:extent cx="7793355" cy="3341370"/>
                <wp:effectExtent l="4445" t="4445" r="508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6350">
                          <a:solidFill>
                            <a:schemeClr val="bg1">
                              <a:lumMod val="50000"/>
                            </a:schemeClr>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5pt;margin-top:15.9pt;height:263.1pt;width:613.65pt;z-index:251661312;v-text-anchor:middle;mso-width-relative:page;mso-height-relative:page;" fillcolor="#7F7F7F [1612]" filled="t" stroked="t" coordsize="21600,21600"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0jT7ZAAAADAEAAA8A&#10;AAAAAAAAAQAgAAAAIgAAAGRycy9kb3ducmV2LnhtbFBLAQIUABQAAAAIAIdO4kDBnZ8JiAIAAEwF&#10;AAAOAAAAAAAAAAEAIAAAACgBAABkcnMvZTJvRG9jLnhtbFBLBQYAAAAABgAGAFkBAAAiBgAAAAA=&#10;">
                <v:fill type="pattern" on="t" color2="#FFFFFF [3212]" o:title="5%" focussize="0,0" r:id="rId11"/>
                <v:stroke weight="0.5pt" color="#7F7F7F [1612]" joinstyle="round"/>
                <v:imagedata o:title=""/>
                <o:lock v:ext="edit" aspectratio="f"/>
                <v:textbo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8"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5408"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1" name="文本框 1"/>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ysClr val="window" lastClr="FFFFFF">
                              <a:lumMod val="50000"/>
                            </a:sysClr>
                          </a:fgClr>
                          <a:bgClr>
                            <a:sysClr val="window" lastClr="FFFFFF"/>
                          </a:bgClr>
                        </a:pattFill>
                        <a:ln w="12700" cmpd="sng">
                          <a:solidFill>
                            <a:sysClr val="window" lastClr="FFFFFF">
                              <a:lumMod val="65000"/>
                            </a:sysClr>
                          </a:solidFill>
                          <a:prstDash val="solid"/>
                        </a:ln>
                        <a:effectLst/>
                      </wps:spPr>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pt;margin-top:90.65pt;height:263.1pt;width:613.65pt;z-index:251665408;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fill type="pattern" on="t" color2="#FFFFFF" o:title="5%" focussize="0,0" r:id="rId11"/>
                <v:stroke weight="1pt" color="#A6A6A6"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v:textbox>
              </v:shape>
            </w:pict>
          </mc:Fallback>
        </mc:AlternateContent>
      </w:r>
    </w:p>
    <w:tbl>
      <w:tblPr>
        <w:tblStyle w:val="5"/>
        <w:tblpPr w:leftFromText="180" w:rightFromText="180" w:vertAnchor="text" w:horzAnchor="page" w:tblpXSpec="center" w:tblpY="31"/>
        <w:tblOverlap w:val="never"/>
        <w:tblW w:w="9434" w:type="dxa"/>
        <w:jc w:val="center"/>
        <w:tblLayout w:type="fixed"/>
        <w:tblCellMar>
          <w:top w:w="0" w:type="dxa"/>
          <w:left w:w="0" w:type="dxa"/>
          <w:bottom w:w="0" w:type="dxa"/>
          <w:right w:w="0" w:type="dxa"/>
        </w:tblCellMar>
      </w:tblPr>
      <w:tblGrid>
        <w:gridCol w:w="3207"/>
        <w:gridCol w:w="588"/>
        <w:gridCol w:w="822"/>
        <w:gridCol w:w="3443"/>
        <w:gridCol w:w="536"/>
        <w:gridCol w:w="838"/>
      </w:tblGrid>
      <w:tr>
        <w:tblPrEx>
          <w:tblCellMar>
            <w:top w:w="0" w:type="dxa"/>
            <w:left w:w="0" w:type="dxa"/>
            <w:bottom w:w="0" w:type="dxa"/>
            <w:right w:w="0" w:type="dxa"/>
          </w:tblCellMar>
        </w:tblPrEx>
        <w:trPr>
          <w:trHeight w:val="499"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bottom"/>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收入支出决算总表</w:t>
            </w:r>
          </w:p>
        </w:tc>
      </w:tr>
      <w:tr>
        <w:tblPrEx>
          <w:tblCellMar>
            <w:top w:w="0" w:type="dxa"/>
            <w:left w:w="0" w:type="dxa"/>
            <w:bottom w:w="0" w:type="dxa"/>
            <w:right w:w="0" w:type="dxa"/>
          </w:tblCellMar>
        </w:tblPrEx>
        <w:trPr>
          <w:trHeight w:val="209"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588"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822"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公开01表</w:t>
            </w:r>
          </w:p>
        </w:tc>
      </w:tr>
      <w:tr>
        <w:tblPrEx>
          <w:tblCellMar>
            <w:top w:w="0" w:type="dxa"/>
            <w:left w:w="0" w:type="dxa"/>
            <w:bottom w:w="0" w:type="dxa"/>
            <w:right w:w="0" w:type="dxa"/>
          </w:tblCellMar>
        </w:tblPrEx>
        <w:trPr>
          <w:trHeight w:val="430"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588"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822"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290" w:hRule="atLeast"/>
          <w:jc w:val="center"/>
        </w:trPr>
        <w:tc>
          <w:tcPr>
            <w:tcW w:w="461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收入</w:t>
            </w:r>
          </w:p>
        </w:tc>
        <w:tc>
          <w:tcPr>
            <w:tcW w:w="4817"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支出</w:t>
            </w:r>
          </w:p>
        </w:tc>
      </w:tr>
      <w:tr>
        <w:tblPrEx>
          <w:tblCellMar>
            <w:top w:w="0" w:type="dxa"/>
            <w:left w:w="0" w:type="dxa"/>
            <w:bottom w:w="0" w:type="dxa"/>
            <w:right w:w="0" w:type="dxa"/>
          </w:tblCellMar>
        </w:tblPrEx>
        <w:trPr>
          <w:trHeight w:val="37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项目</w:t>
            </w: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行次</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金额</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项目</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行次</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金额</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栏次</w:t>
            </w: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栏次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一、一般公共预算财政拨款收入</w:t>
            </w: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1,252.22</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一、一般公共服务支出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635.20</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二、政府性基金预算财政拨款收入</w:t>
            </w: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53.76</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二、外交支出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185"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三、国有资本经营预算财政拨款收入</w:t>
            </w: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三、国防支出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四、上级补助收入</w:t>
            </w: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四、公共安全支出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五、事业收入</w:t>
            </w: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五、教育支出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六、经营收入</w:t>
            </w: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6</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六、科学技术支出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七、附属单位上缴收入</w:t>
            </w: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七、文化旅游体育与传媒支出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38</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7.00</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八、其他收入</w:t>
            </w: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8</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八、社会保障和就业支出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77.95</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9</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九、卫生健康支出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32.94</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10</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十、节能环保支出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11</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十一、城乡社区支出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53.76</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12</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十二、农林水支出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465.09</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13</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十三、交通运输支出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14</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十四、资源勘探工业信息等支出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15</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十五、商业服务业等支出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16</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十六、金融支出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17</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十七、援助其他地区支出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48</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18</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十八、自然资源海洋气象等支出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19</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十九、住房保障支出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34.04</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二十、粮油物资储备支出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二十一、国有资本经营预算支出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22</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二十二、灾害防治及应急管理支出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23</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二十三、其他支出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24</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二十四、债务还本支出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25</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二十五、债务付息支出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26</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二十六、抗疫特别国债安排的支出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本年收入合计</w:t>
            </w: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27</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1,305.98</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本年支出合计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58</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1,305.98</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使用非财政拨款结余</w:t>
            </w: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28</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结余分配</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年初结转和结余</w:t>
            </w: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29</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年末结转和结余</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60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30</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61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总计</w:t>
            </w: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31</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1,305.98</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总计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62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1,305.98</w:t>
            </w:r>
          </w:p>
        </w:tc>
      </w:tr>
      <w:tr>
        <w:tblPrEx>
          <w:tblCellMar>
            <w:top w:w="0" w:type="dxa"/>
            <w:left w:w="0" w:type="dxa"/>
            <w:bottom w:w="0" w:type="dxa"/>
            <w:right w:w="0" w:type="dxa"/>
          </w:tblCellMar>
        </w:tblPrEx>
        <w:trPr>
          <w:trHeight w:val="217"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color w:val="000000"/>
                <w:kern w:val="0"/>
                <w:sz w:val="18"/>
                <w:szCs w:val="18"/>
                <w:lang w:bidi="ar"/>
              </w:rPr>
              <w:t>注：本表反映部门本年度的总收支和年末结转结余情况。</w:t>
            </w:r>
          </w:p>
          <w:p>
            <w:pPr>
              <w:widowControl/>
              <w:jc w:val="left"/>
              <w:textAlignment w:val="center"/>
              <w:rPr>
                <w:rFonts w:ascii="宋体" w:hAnsi="宋体" w:eastAsia="宋体" w:cs="宋体"/>
                <w:color w:val="000000"/>
                <w:kern w:val="0"/>
                <w:sz w:val="18"/>
                <w:szCs w:val="18"/>
                <w:lang w:bidi="ar"/>
              </w:rPr>
            </w:pPr>
          </w:p>
        </w:tc>
      </w:tr>
      <w:tr>
        <w:tblPrEx>
          <w:tblCellMar>
            <w:top w:w="0" w:type="dxa"/>
            <w:left w:w="0" w:type="dxa"/>
            <w:bottom w:w="0" w:type="dxa"/>
            <w:right w:w="0" w:type="dxa"/>
          </w:tblCellMar>
        </w:tblPrEx>
        <w:trPr>
          <w:trHeight w:val="217"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kern w:val="0"/>
                <w:sz w:val="18"/>
                <w:szCs w:val="18"/>
                <w:lang w:bidi="ar"/>
              </w:rPr>
            </w:pPr>
          </w:p>
        </w:tc>
      </w:tr>
    </w:tbl>
    <w:tbl>
      <w:tblPr>
        <w:tblStyle w:val="5"/>
        <w:tblW w:w="9792" w:type="dxa"/>
        <w:jc w:val="center"/>
        <w:tblLayout w:type="fixed"/>
        <w:tblCellMar>
          <w:top w:w="0" w:type="dxa"/>
          <w:left w:w="0" w:type="dxa"/>
          <w:bottom w:w="0" w:type="dxa"/>
          <w:right w:w="0" w:type="dxa"/>
        </w:tblCellMar>
      </w:tblPr>
      <w:tblGrid>
        <w:gridCol w:w="1033"/>
        <w:gridCol w:w="59"/>
        <w:gridCol w:w="59"/>
        <w:gridCol w:w="1822"/>
        <w:gridCol w:w="1350"/>
        <w:gridCol w:w="1350"/>
        <w:gridCol w:w="823"/>
        <w:gridCol w:w="823"/>
        <w:gridCol w:w="823"/>
        <w:gridCol w:w="823"/>
        <w:gridCol w:w="827"/>
      </w:tblGrid>
      <w:tr>
        <w:tblPrEx>
          <w:tblCellMar>
            <w:top w:w="0" w:type="dxa"/>
            <w:left w:w="0" w:type="dxa"/>
            <w:bottom w:w="0" w:type="dxa"/>
            <w:right w:w="0" w:type="dxa"/>
          </w:tblCellMar>
        </w:tblPrEx>
        <w:trPr>
          <w:trHeight w:val="670" w:hRule="atLeast"/>
          <w:jc w:val="center"/>
        </w:trPr>
        <w:tc>
          <w:tcPr>
            <w:tcW w:w="9792" w:type="dxa"/>
            <w:gridSpan w:val="11"/>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收入决算表</w:t>
            </w:r>
          </w:p>
        </w:tc>
      </w:tr>
      <w:tr>
        <w:tblPrEx>
          <w:tblCellMar>
            <w:top w:w="0" w:type="dxa"/>
            <w:left w:w="0" w:type="dxa"/>
            <w:bottom w:w="0" w:type="dxa"/>
            <w:right w:w="0" w:type="dxa"/>
          </w:tblCellMar>
        </w:tblPrEx>
        <w:trPr>
          <w:trHeight w:val="357" w:hRule="atLeast"/>
          <w:jc w:val="center"/>
        </w:trPr>
        <w:tc>
          <w:tcPr>
            <w:tcW w:w="103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82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3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3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2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2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2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650"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公开02表</w:t>
            </w:r>
          </w:p>
        </w:tc>
      </w:tr>
      <w:tr>
        <w:tblPrEx>
          <w:tblCellMar>
            <w:top w:w="0" w:type="dxa"/>
            <w:left w:w="0" w:type="dxa"/>
            <w:bottom w:w="0" w:type="dxa"/>
            <w:right w:w="0" w:type="dxa"/>
          </w:tblCellMar>
        </w:tblPrEx>
        <w:trPr>
          <w:trHeight w:val="357" w:hRule="atLeast"/>
          <w:jc w:val="center"/>
        </w:trPr>
        <w:tc>
          <w:tcPr>
            <w:tcW w:w="1033"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82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3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3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2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2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473"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385" w:hRule="atLeast"/>
          <w:jc w:val="center"/>
        </w:trPr>
        <w:tc>
          <w:tcPr>
            <w:tcW w:w="297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3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本年收入合计</w:t>
            </w:r>
          </w:p>
        </w:tc>
        <w:tc>
          <w:tcPr>
            <w:tcW w:w="13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财政拨款收入</w:t>
            </w:r>
          </w:p>
        </w:tc>
        <w:tc>
          <w:tcPr>
            <w:tcW w:w="82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上级补助收入</w:t>
            </w:r>
          </w:p>
        </w:tc>
        <w:tc>
          <w:tcPr>
            <w:tcW w:w="82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事业收入</w:t>
            </w:r>
          </w:p>
        </w:tc>
        <w:tc>
          <w:tcPr>
            <w:tcW w:w="82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经营收入</w:t>
            </w:r>
          </w:p>
        </w:tc>
        <w:tc>
          <w:tcPr>
            <w:tcW w:w="82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附属单位上缴收入</w:t>
            </w:r>
          </w:p>
        </w:tc>
        <w:tc>
          <w:tcPr>
            <w:tcW w:w="827"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其他收入</w:t>
            </w:r>
          </w:p>
        </w:tc>
      </w:tr>
      <w:tr>
        <w:tblPrEx>
          <w:tblCellMar>
            <w:top w:w="0" w:type="dxa"/>
            <w:left w:w="0" w:type="dxa"/>
            <w:bottom w:w="0" w:type="dxa"/>
            <w:right w:w="0" w:type="dxa"/>
          </w:tblCellMar>
        </w:tblPrEx>
        <w:trPr>
          <w:trHeight w:val="380" w:hRule="atLeast"/>
          <w:jc w:val="center"/>
        </w:trPr>
        <w:tc>
          <w:tcPr>
            <w:tcW w:w="1151"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1822"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3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13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2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r>
      <w:tr>
        <w:tblPrEx>
          <w:tblCellMar>
            <w:top w:w="0" w:type="dxa"/>
            <w:left w:w="0" w:type="dxa"/>
            <w:bottom w:w="0" w:type="dxa"/>
            <w:right w:w="0" w:type="dxa"/>
          </w:tblCellMar>
        </w:tblPrEx>
        <w:trPr>
          <w:trHeight w:val="380" w:hRule="atLeast"/>
          <w:jc w:val="center"/>
        </w:trPr>
        <w:tc>
          <w:tcPr>
            <w:tcW w:w="1151"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822"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3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3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1151"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822"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3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3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297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3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3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8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8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8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8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82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w:t>
            </w:r>
          </w:p>
        </w:tc>
      </w:tr>
      <w:tr>
        <w:tblPrEx>
          <w:tblCellMar>
            <w:top w:w="0" w:type="dxa"/>
            <w:left w:w="0" w:type="dxa"/>
            <w:bottom w:w="0" w:type="dxa"/>
            <w:right w:w="0" w:type="dxa"/>
          </w:tblCellMar>
        </w:tblPrEx>
        <w:trPr>
          <w:trHeight w:val="385" w:hRule="atLeast"/>
          <w:jc w:val="center"/>
        </w:trPr>
        <w:tc>
          <w:tcPr>
            <w:tcW w:w="297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1305.98</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1305.98</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90"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一般公共服务支出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635.20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635.20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政府办公厅（室）及相关机构事务</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635.20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635.20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行政运行</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243.97</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243.97</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2010302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一般行政管理事务</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38.55</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38.55</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2010308</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信访事务</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7.81</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7.81</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2010350</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事业运行</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331.06</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331.06</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2010399</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其他政府办公厅（室）及相关机构事务支出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13.80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13.80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207</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文化旅游体育与传媒支出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7.00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7.00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20701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文化和旅游</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7.00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7.00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2070109</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群众文化</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7.00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7.00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社会保障和就业支出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77.95</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77.95</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行政事业单位养老支出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77.95</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77.95</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行政单位离退休</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1.44</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1.44</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2080502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事业单位离退休</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1.71</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1.71</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2080505</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机关事业单位基本养老保险缴费支出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65.42</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65.42</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2080506</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机关事业单位职业年金缴费支出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9.39</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9.39</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卫生健康支出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32.94</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32.94</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21004</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公共卫生</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10.00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10.00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2100409</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重大公共卫生服务</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10.00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10.00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21011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行政事业单位医疗</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22.94</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22.94</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2101101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行政单位医疗</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10.43</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10.43</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2101102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事业单位医疗</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12.50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12.50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城乡社区支出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53.76</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53.76</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21208</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国有土地使用权出让收入安排的支出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53.76</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53.76</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2120801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征地和拆迁补偿支出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29.50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29.50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2120804</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农村基础设施建设支出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24.26</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24.26</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农林水支出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465.09</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465.09</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农业农村</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250.62</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250.62</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2130122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农业生产发展</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228.92</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228.92</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2130126</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农村社会事业</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21.70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21.70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林业和草原</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34.19</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34.19</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2130205</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森林资源培育</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34.19</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34.19</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21307</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农村综合改革</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180.28</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180.28</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2130701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对村级一事一议的补助</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7.61</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7.61</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2130705</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对村民委员会和村党支部的补助</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122.67</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122.67</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2130706</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对村集体经济组织的补助</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50.00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50.00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221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住房保障支出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34.04</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34.04</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22102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住房改革支出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34.04</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34.04</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2210201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住房公积金</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34.04</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34.04</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792" w:type="dxa"/>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注：本表反映部门本年度取得的各项收入情况。</w:t>
            </w:r>
          </w:p>
        </w:tc>
      </w:tr>
    </w:tbl>
    <w:p>
      <w:pPr>
        <w:jc w:val="left"/>
      </w:pPr>
    </w:p>
    <w:p>
      <w:r>
        <w:br w:type="page"/>
      </w:r>
    </w:p>
    <w:tbl>
      <w:tblPr>
        <w:tblStyle w:val="5"/>
        <w:tblW w:w="9680" w:type="dxa"/>
        <w:jc w:val="center"/>
        <w:tblLayout w:type="fixed"/>
        <w:tblCellMar>
          <w:top w:w="0" w:type="dxa"/>
          <w:left w:w="0" w:type="dxa"/>
          <w:bottom w:w="0" w:type="dxa"/>
          <w:right w:w="0" w:type="dxa"/>
        </w:tblCellMar>
      </w:tblPr>
      <w:tblGrid>
        <w:gridCol w:w="941"/>
        <w:gridCol w:w="53"/>
        <w:gridCol w:w="111"/>
        <w:gridCol w:w="1359"/>
        <w:gridCol w:w="1161"/>
        <w:gridCol w:w="1161"/>
        <w:gridCol w:w="1161"/>
        <w:gridCol w:w="1161"/>
        <w:gridCol w:w="1161"/>
        <w:gridCol w:w="1411"/>
      </w:tblGrid>
      <w:tr>
        <w:tblPrEx>
          <w:tblCellMar>
            <w:top w:w="0" w:type="dxa"/>
            <w:left w:w="0" w:type="dxa"/>
            <w:bottom w:w="0" w:type="dxa"/>
            <w:right w:w="0" w:type="dxa"/>
          </w:tblCellMar>
        </w:tblPrEx>
        <w:trPr>
          <w:trHeight w:val="612"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lang w:bidi="ar"/>
              </w:rPr>
              <w:t>支出决算表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411" w:type="dxa"/>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公开03表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572"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23" w:hRule="atLeast"/>
          <w:jc w:val="center"/>
        </w:trPr>
        <w:tc>
          <w:tcPr>
            <w:tcW w:w="24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本年支出合计</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上缴上级支出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经营支出</w:t>
            </w:r>
          </w:p>
        </w:tc>
        <w:tc>
          <w:tcPr>
            <w:tcW w:w="141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对附属单位补助支出</w:t>
            </w:r>
          </w:p>
        </w:tc>
      </w:tr>
      <w:tr>
        <w:tblPrEx>
          <w:tblCellMar>
            <w:top w:w="0" w:type="dxa"/>
            <w:left w:w="0" w:type="dxa"/>
            <w:bottom w:w="0" w:type="dxa"/>
            <w:right w:w="0" w:type="dxa"/>
          </w:tblCellMar>
        </w:tblPrEx>
        <w:trPr>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135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r>
      <w:tr>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35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35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246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r>
      <w:tr>
        <w:tblPrEx>
          <w:tblCellMar>
            <w:top w:w="0" w:type="dxa"/>
            <w:left w:w="0" w:type="dxa"/>
            <w:bottom w:w="0" w:type="dxa"/>
            <w:right w:w="0" w:type="dxa"/>
          </w:tblCellMar>
        </w:tblPrEx>
        <w:trPr>
          <w:trHeight w:val="323" w:hRule="atLeast"/>
          <w:jc w:val="center"/>
        </w:trPr>
        <w:tc>
          <w:tcPr>
            <w:tcW w:w="246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1305.98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770.13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535.85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一般公共服务支出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635.20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635.20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政府办公厅（室）及相关机构事务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635.20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635.20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行政运行</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243.97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243.97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一般行政管理事务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38.55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38.55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2010308</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信访事务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7.81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7.81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2010350</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事业运行</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331.06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331.06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2010399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其他政府办公厅（室）及相关机构事务支出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13.80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13.80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207</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文化旅游体育与传媒支出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7.00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7.00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20701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文化和旅游</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7.00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7.00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2070109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群众文化</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7.00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7.00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社会保障和就业支出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77.95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77.95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行政事业单位养老支出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77.95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77.95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行政单位离退休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1.44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1.44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事业单位离退休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1.71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1.71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机关事业单位基本养老保险缴费支出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65.42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65.42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2080506</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机关事业单位职业年金缴费支出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9.39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9.39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卫生健康支出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32.94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22.94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21004</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公共卫生</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2100409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重大公共卫生服务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21011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行政事业单位医疗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22.94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22.94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2101101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行政单位医疗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10.43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10.43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2101102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事业单位医疗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12.50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12.50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城乡社区支出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53.76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53.76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21208</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国有土地使用权出让收入安排的支出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53.76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53.76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2120801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征地和拆迁补偿支出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29.50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29.50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2120804</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农村基础设施建设支出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24.26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24.26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农林水支出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465.09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465.09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农业农村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250.62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250.62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2130122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农业生产发展</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228.92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228.92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2130126</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农村社会事业</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21.70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21.70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林业和草原</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34.19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34.19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2130205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森林资源培育</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34.19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34.19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21307</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农村综合改革</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180.28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180.28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2130701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对村级一事一议的补助</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7.61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7.61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2130705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对村民委员会和村党支部的补助</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122.67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122.67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2130706</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对村集体经济组织的补助</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50.00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50.00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4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221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住房保障支出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34.04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34.04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22102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住房改革支出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34.04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34.04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2210201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住房公积金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34.04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34.04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注：本表反映部门本年度各项支出情况。</w:t>
            </w:r>
          </w:p>
        </w:tc>
      </w:tr>
    </w:tbl>
    <w:p>
      <w:r>
        <w:br w:type="page"/>
      </w:r>
    </w:p>
    <w:tbl>
      <w:tblPr>
        <w:tblStyle w:val="5"/>
        <w:tblW w:w="9990" w:type="dxa"/>
        <w:jc w:val="center"/>
        <w:tblLayout w:type="fixed"/>
        <w:tblCellMar>
          <w:top w:w="0" w:type="dxa"/>
          <w:left w:w="0" w:type="dxa"/>
          <w:bottom w:w="0" w:type="dxa"/>
          <w:right w:w="0" w:type="dxa"/>
        </w:tblCellMar>
      </w:tblPr>
      <w:tblGrid>
        <w:gridCol w:w="1174"/>
        <w:gridCol w:w="67"/>
        <w:gridCol w:w="67"/>
        <w:gridCol w:w="1695"/>
        <w:gridCol w:w="2329"/>
        <w:gridCol w:w="2329"/>
        <w:gridCol w:w="1859"/>
        <w:gridCol w:w="470"/>
      </w:tblGrid>
      <w:tr>
        <w:tblPrEx>
          <w:tblCellMar>
            <w:top w:w="0" w:type="dxa"/>
            <w:left w:w="0" w:type="dxa"/>
            <w:bottom w:w="0" w:type="dxa"/>
            <w:right w:w="0" w:type="dxa"/>
          </w:tblCellMar>
        </w:tblPrEx>
        <w:trPr>
          <w:gridAfter w:val="1"/>
          <w:wAfter w:w="470" w:type="dxa"/>
          <w:trHeight w:val="406" w:hRule="atLeast"/>
          <w:jc w:val="center"/>
        </w:trPr>
        <w:tc>
          <w:tcPr>
            <w:tcW w:w="9520" w:type="dxa"/>
            <w:gridSpan w:val="7"/>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黑体" w:hAnsi="宋体" w:eastAsia="黑体" w:cs="黑体"/>
                <w:color w:val="000000"/>
                <w:sz w:val="32"/>
                <w:szCs w:val="32"/>
              </w:rPr>
            </w:pPr>
            <w:r>
              <w:rPr>
                <w:rFonts w:hint="eastAsia" w:ascii="黑体" w:hAnsi="宋体" w:eastAsia="黑体" w:cs="黑体"/>
                <w:color w:val="000000"/>
                <w:kern w:val="0"/>
                <w:sz w:val="32"/>
                <w:szCs w:val="32"/>
                <w:lang w:bidi="ar"/>
              </w:rPr>
              <w:t>财政拨款收入支出决算总表</w:t>
            </w:r>
          </w:p>
        </w:tc>
      </w:tr>
      <w:tr>
        <w:tblPrEx>
          <w:tblCellMar>
            <w:top w:w="0" w:type="dxa"/>
            <w:left w:w="0" w:type="dxa"/>
            <w:bottom w:w="0" w:type="dxa"/>
            <w:right w:w="0" w:type="dxa"/>
          </w:tblCellMar>
        </w:tblPrEx>
        <w:trPr>
          <w:trHeight w:val="600" w:hRule="atLeast"/>
          <w:jc w:val="center"/>
        </w:trPr>
        <w:tc>
          <w:tcPr>
            <w:tcW w:w="9990" w:type="dxa"/>
            <w:gridSpan w:val="8"/>
            <w:tcBorders>
              <w:top w:val="nil"/>
              <w:left w:val="nil"/>
              <w:bottom w:val="nil"/>
              <w:right w:val="nil"/>
            </w:tcBorders>
            <w:shd w:val="clear" w:color="auto" w:fill="auto"/>
            <w:noWrap/>
            <w:tcMar>
              <w:top w:w="15" w:type="dxa"/>
              <w:left w:w="15" w:type="dxa"/>
              <w:right w:w="15" w:type="dxa"/>
            </w:tcMar>
            <w:vAlign w:val="center"/>
          </w:tcPr>
          <w:tbl>
            <w:tblPr>
              <w:tblStyle w:val="5"/>
              <w:tblW w:w="9736" w:type="dxa"/>
              <w:tblInd w:w="0" w:type="dxa"/>
              <w:tblLayout w:type="fixed"/>
              <w:tblCellMar>
                <w:top w:w="0" w:type="dxa"/>
                <w:left w:w="108" w:type="dxa"/>
                <w:bottom w:w="0" w:type="dxa"/>
                <w:right w:w="108" w:type="dxa"/>
              </w:tblCellMar>
            </w:tblPr>
            <w:tblGrid>
              <w:gridCol w:w="2317"/>
              <w:gridCol w:w="465"/>
              <w:gridCol w:w="748"/>
              <w:gridCol w:w="2456"/>
              <w:gridCol w:w="446"/>
              <w:gridCol w:w="791"/>
              <w:gridCol w:w="810"/>
              <w:gridCol w:w="750"/>
              <w:gridCol w:w="701"/>
              <w:gridCol w:w="252"/>
            </w:tblGrid>
            <w:tr>
              <w:tblPrEx>
                <w:tblCellMar>
                  <w:top w:w="0" w:type="dxa"/>
                  <w:left w:w="108" w:type="dxa"/>
                  <w:bottom w:w="0" w:type="dxa"/>
                  <w:right w:w="108" w:type="dxa"/>
                </w:tblCellMar>
              </w:tblPrEx>
              <w:trPr>
                <w:gridAfter w:val="1"/>
                <w:wAfter w:w="252" w:type="dxa"/>
                <w:trHeight w:val="180" w:hRule="atLeast"/>
              </w:trPr>
              <w:tc>
                <w:tcPr>
                  <w:tcW w:w="2317" w:type="dxa"/>
                  <w:tcBorders>
                    <w:top w:val="nil"/>
                    <w:left w:val="nil"/>
                    <w:bottom w:val="nil"/>
                    <w:right w:val="nil"/>
                  </w:tcBorders>
                  <w:shd w:val="clear" w:color="auto" w:fill="auto"/>
                  <w:vAlign w:val="bottom"/>
                </w:tcPr>
                <w:p>
                  <w:pPr>
                    <w:widowControl/>
                    <w:spacing w:line="240" w:lineRule="exact"/>
                    <w:jc w:val="left"/>
                    <w:rPr>
                      <w:rFonts w:ascii="宋体" w:hAnsi="宋体" w:eastAsia="宋体" w:cs="宋体"/>
                      <w:kern w:val="0"/>
                      <w:sz w:val="15"/>
                      <w:szCs w:val="15"/>
                    </w:rPr>
                  </w:pPr>
                </w:p>
              </w:tc>
              <w:tc>
                <w:tcPr>
                  <w:tcW w:w="46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91"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261" w:type="dxa"/>
                  <w:gridSpan w:val="3"/>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公开04表</w:t>
                  </w:r>
                </w:p>
              </w:tc>
            </w:tr>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部门：</w:t>
                  </w:r>
                </w:p>
              </w:tc>
              <w:tc>
                <w:tcPr>
                  <w:tcW w:w="465"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91"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10"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451" w:type="dxa"/>
                  <w:gridSpan w:val="2"/>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金额单位：万元</w:t>
                  </w:r>
                </w:p>
              </w:tc>
            </w:tr>
            <w:tr>
              <w:tblPrEx>
                <w:tblCellMar>
                  <w:top w:w="0" w:type="dxa"/>
                  <w:left w:w="108" w:type="dxa"/>
                  <w:bottom w:w="0" w:type="dxa"/>
                  <w:right w:w="108" w:type="dxa"/>
                </w:tblCellMar>
              </w:tblPrEx>
              <w:trPr>
                <w:gridAfter w:val="1"/>
                <w:wAfter w:w="252" w:type="dxa"/>
                <w:trHeight w:val="90" w:hRule="atLeast"/>
              </w:trPr>
              <w:tc>
                <w:tcPr>
                  <w:tcW w:w="35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5954"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gridAfter w:val="1"/>
                <w:wAfter w:w="252" w:type="dxa"/>
                <w:trHeight w:val="312" w:hRule="atLeast"/>
              </w:trPr>
              <w:tc>
                <w:tcPr>
                  <w:tcW w:w="2317"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65"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48"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2456"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46"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91"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810"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750"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701"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trHeight w:val="90" w:hRule="atLeast"/>
              </w:trPr>
              <w:tc>
                <w:tcPr>
                  <w:tcW w:w="2317"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65"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48"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456"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46"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91"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810"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50"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01"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52" w:type="dxa"/>
                  <w:tcBorders>
                    <w:top w:val="nil"/>
                    <w:left w:val="nil"/>
                    <w:bottom w:val="nil"/>
                    <w:right w:val="nil"/>
                  </w:tcBorders>
                  <w:shd w:val="clear" w:color="auto" w:fill="auto"/>
                  <w:noWrap/>
                  <w:vAlign w:val="bottom"/>
                </w:tcPr>
                <w:p>
                  <w:pPr>
                    <w:widowControl/>
                    <w:jc w:val="center"/>
                    <w:rPr>
                      <w:rFonts w:hint="eastAsia"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栏次</w:t>
                  </w:r>
                </w:p>
              </w:tc>
              <w:tc>
                <w:tcPr>
                  <w:tcW w:w="465"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748"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w:t>
                  </w:r>
                </w:p>
              </w:tc>
              <w:tc>
                <w:tcPr>
                  <w:tcW w:w="245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栏次</w:t>
                  </w:r>
                </w:p>
              </w:tc>
              <w:tc>
                <w:tcPr>
                  <w:tcW w:w="44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79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w:t>
                  </w:r>
                </w:p>
              </w:tc>
              <w:tc>
                <w:tcPr>
                  <w:tcW w:w="81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w:t>
                  </w:r>
                </w:p>
              </w:tc>
              <w:tc>
                <w:tcPr>
                  <w:tcW w:w="75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w:t>
                  </w:r>
                </w:p>
              </w:tc>
              <w:tc>
                <w:tcPr>
                  <w:tcW w:w="70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w:t>
                  </w:r>
                </w:p>
              </w:tc>
              <w:tc>
                <w:tcPr>
                  <w:tcW w:w="252" w:type="dxa"/>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一、一般公共预算财政拨款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w:t>
                  </w:r>
                </w:p>
              </w:tc>
              <w:tc>
                <w:tcPr>
                  <w:tcW w:w="748"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1252.22</w:t>
                  </w:r>
                </w:p>
              </w:tc>
              <w:tc>
                <w:tcPr>
                  <w:tcW w:w="245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一、一般公共服务支出</w:t>
                  </w:r>
                </w:p>
              </w:tc>
              <w:tc>
                <w:tcPr>
                  <w:tcW w:w="44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33</w:t>
                  </w:r>
                </w:p>
              </w:tc>
              <w:tc>
                <w:tcPr>
                  <w:tcW w:w="79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635.20</w:t>
                  </w:r>
                </w:p>
              </w:tc>
              <w:tc>
                <w:tcPr>
                  <w:tcW w:w="81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635.20</w:t>
                  </w:r>
                </w:p>
              </w:tc>
              <w:tc>
                <w:tcPr>
                  <w:tcW w:w="75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w:t>
                  </w:r>
                </w:p>
              </w:tc>
              <w:tc>
                <w:tcPr>
                  <w:tcW w:w="748"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53.76</w:t>
                  </w:r>
                </w:p>
              </w:tc>
              <w:tc>
                <w:tcPr>
                  <w:tcW w:w="245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二、外交支出</w:t>
                  </w:r>
                </w:p>
              </w:tc>
              <w:tc>
                <w:tcPr>
                  <w:tcW w:w="44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34</w:t>
                  </w:r>
                </w:p>
              </w:tc>
              <w:tc>
                <w:tcPr>
                  <w:tcW w:w="79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三、国有资本经营财政拨款</w:t>
                  </w:r>
                </w:p>
              </w:tc>
              <w:tc>
                <w:tcPr>
                  <w:tcW w:w="465"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w:t>
                  </w:r>
                </w:p>
              </w:tc>
              <w:tc>
                <w:tcPr>
                  <w:tcW w:w="748"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三、国防支出</w:t>
                  </w:r>
                </w:p>
              </w:tc>
              <w:tc>
                <w:tcPr>
                  <w:tcW w:w="44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35</w:t>
                  </w:r>
                </w:p>
              </w:tc>
              <w:tc>
                <w:tcPr>
                  <w:tcW w:w="79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四、公共安全支出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36</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五、教育支出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37</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6</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六、科学技术支出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38</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七、文化旅游体育与传媒支出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39</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7.00</w:t>
                  </w: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7.00</w:t>
                  </w: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8</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八、社会保障和就业支出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40</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77.95</w:t>
                  </w: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77.95</w:t>
                  </w: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9</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九、卫生健康支出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41</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32.94</w:t>
                  </w: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32.94</w:t>
                  </w: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10</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十、节能环保支出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42</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0.00</w:t>
                  </w: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11</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十一、城乡社区支出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43</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53.76</w:t>
                  </w: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53.76</w:t>
                  </w: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12</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十二、农林水支出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44</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465.09</w:t>
                  </w: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465.09</w:t>
                  </w: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13</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十三、交通运输支出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45</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14</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十四、资源勘探工业信息等支出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46</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15</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十五、商业服务业等支出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47</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16</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十六、金融支出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48</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17</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十七、援助其他地区支出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49</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18</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十八、自然资源海洋气象等支出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50</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19</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十九、住房保障支出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51</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34.04</w:t>
                  </w: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34.04</w:t>
                  </w: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二十、粮油物资储备支出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52</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二十一、国有资本经营预算支出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53</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22</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二十二、灾害防治及应急管理支出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54</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262"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23</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二十三、其他支出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55</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24</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二十四、债务还本支出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56</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25</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二十五、债务付息支出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57</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292"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26</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二十六、抗疫特别国债安排的支出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58</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本年收入合计</w:t>
                  </w:r>
                </w:p>
              </w:tc>
              <w:tc>
                <w:tcPr>
                  <w:tcW w:w="465"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27</w:t>
                  </w:r>
                </w:p>
              </w:tc>
              <w:tc>
                <w:tcPr>
                  <w:tcW w:w="748"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1305.98</w:t>
                  </w:r>
                </w:p>
              </w:tc>
              <w:tc>
                <w:tcPr>
                  <w:tcW w:w="245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本年支出合计</w:t>
                  </w:r>
                </w:p>
              </w:tc>
              <w:tc>
                <w:tcPr>
                  <w:tcW w:w="44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59</w:t>
                  </w:r>
                </w:p>
              </w:tc>
              <w:tc>
                <w:tcPr>
                  <w:tcW w:w="79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1305.98</w:t>
                  </w:r>
                </w:p>
              </w:tc>
              <w:tc>
                <w:tcPr>
                  <w:tcW w:w="81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12,52.22</w:t>
                  </w:r>
                </w:p>
              </w:tc>
              <w:tc>
                <w:tcPr>
                  <w:tcW w:w="75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53.76</w:t>
                  </w:r>
                </w:p>
              </w:tc>
              <w:tc>
                <w:tcPr>
                  <w:tcW w:w="70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年初财政拨款结转和结余</w:t>
                  </w:r>
                </w:p>
              </w:tc>
              <w:tc>
                <w:tcPr>
                  <w:tcW w:w="465"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28</w:t>
                  </w:r>
                </w:p>
              </w:tc>
              <w:tc>
                <w:tcPr>
                  <w:tcW w:w="748"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年末财政拨款结转和结余</w:t>
                  </w:r>
                </w:p>
              </w:tc>
              <w:tc>
                <w:tcPr>
                  <w:tcW w:w="44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60</w:t>
                  </w:r>
                </w:p>
              </w:tc>
              <w:tc>
                <w:tcPr>
                  <w:tcW w:w="79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29</w:t>
                  </w:r>
                </w:p>
              </w:tc>
              <w:tc>
                <w:tcPr>
                  <w:tcW w:w="748"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44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61</w:t>
                  </w:r>
                </w:p>
              </w:tc>
              <w:tc>
                <w:tcPr>
                  <w:tcW w:w="79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30</w:t>
                  </w:r>
                </w:p>
              </w:tc>
              <w:tc>
                <w:tcPr>
                  <w:tcW w:w="748"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44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62</w:t>
                  </w:r>
                </w:p>
              </w:tc>
              <w:tc>
                <w:tcPr>
                  <w:tcW w:w="79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国有资本经营预算财政拨款</w:t>
                  </w:r>
                </w:p>
              </w:tc>
              <w:tc>
                <w:tcPr>
                  <w:tcW w:w="465" w:type="dxa"/>
                  <w:tcBorders>
                    <w:top w:val="nil"/>
                    <w:left w:val="nil"/>
                    <w:bottom w:val="single" w:color="000000" w:sz="8"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31</w:t>
                  </w:r>
                </w:p>
              </w:tc>
              <w:tc>
                <w:tcPr>
                  <w:tcW w:w="748"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18"/>
                      <w:szCs w:val="18"/>
                      <w:lang w:val="en-US" w:eastAsia="zh-CN" w:bidi="ar"/>
                    </w:rPr>
                  </w:pPr>
                </w:p>
              </w:tc>
              <w:tc>
                <w:tcPr>
                  <w:tcW w:w="44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63</w:t>
                  </w:r>
                </w:p>
              </w:tc>
              <w:tc>
                <w:tcPr>
                  <w:tcW w:w="79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auto"/>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18"/>
                      <w:szCs w:val="18"/>
                      <w:lang w:val="en-US" w:eastAsia="zh-CN" w:bidi="ar"/>
                    </w:rPr>
                  </w:pPr>
                </w:p>
              </w:tc>
              <w:tc>
                <w:tcPr>
                  <w:tcW w:w="252" w:type="dxa"/>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总计</w:t>
                  </w:r>
                </w:p>
              </w:tc>
              <w:tc>
                <w:tcPr>
                  <w:tcW w:w="465" w:type="dxa"/>
                  <w:tcBorders>
                    <w:top w:val="nil"/>
                    <w:left w:val="nil"/>
                    <w:bottom w:val="single" w:color="000000" w:sz="8"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32</w:t>
                  </w:r>
                </w:p>
              </w:tc>
              <w:tc>
                <w:tcPr>
                  <w:tcW w:w="748"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1305.98</w:t>
                  </w:r>
                </w:p>
              </w:tc>
              <w:tc>
                <w:tcPr>
                  <w:tcW w:w="245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总计</w:t>
                  </w:r>
                </w:p>
              </w:tc>
              <w:tc>
                <w:tcPr>
                  <w:tcW w:w="44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64</w:t>
                  </w:r>
                </w:p>
              </w:tc>
              <w:tc>
                <w:tcPr>
                  <w:tcW w:w="79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1305.98</w:t>
                  </w:r>
                </w:p>
              </w:tc>
              <w:tc>
                <w:tcPr>
                  <w:tcW w:w="81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12,52.22</w:t>
                  </w:r>
                </w:p>
              </w:tc>
              <w:tc>
                <w:tcPr>
                  <w:tcW w:w="75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53.76</w:t>
                  </w:r>
                </w:p>
              </w:tc>
              <w:tc>
                <w:tcPr>
                  <w:tcW w:w="70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18"/>
                      <w:szCs w:val="18"/>
                      <w:lang w:val="en-US" w:eastAsia="zh-CN" w:bidi="ar"/>
                    </w:rPr>
                  </w:pPr>
                </w:p>
              </w:tc>
              <w:tc>
                <w:tcPr>
                  <w:tcW w:w="252" w:type="dxa"/>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一般公共预算财政拨款支出决算表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公开05表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300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6987"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w:t>
            </w:r>
          </w:p>
        </w:tc>
      </w:tr>
      <w:tr>
        <w:tblPrEx>
          <w:tblCellMar>
            <w:top w:w="0" w:type="dxa"/>
            <w:left w:w="0" w:type="dxa"/>
            <w:bottom w:w="0" w:type="dxa"/>
            <w:right w:w="0" w:type="dxa"/>
          </w:tblCellMar>
        </w:tblPrEx>
        <w:trPr>
          <w:trHeight w:val="312" w:hRule="atLeast"/>
          <w:jc w:val="center"/>
        </w:trPr>
        <w:tc>
          <w:tcPr>
            <w:tcW w:w="130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1695"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小计</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232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300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r>
      <w:tr>
        <w:tblPrEx>
          <w:tblCellMar>
            <w:top w:w="0" w:type="dxa"/>
            <w:left w:w="0" w:type="dxa"/>
            <w:bottom w:w="0" w:type="dxa"/>
            <w:right w:w="0" w:type="dxa"/>
          </w:tblCellMar>
        </w:tblPrEx>
        <w:trPr>
          <w:trHeight w:val="308" w:hRule="atLeast"/>
          <w:jc w:val="center"/>
        </w:trPr>
        <w:tc>
          <w:tcPr>
            <w:tcW w:w="300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1252.22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770.13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482.09</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一般公共服务支出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635.20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635.20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20103</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政府办公厅（室）及相关机构事务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635.20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635.20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2010301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行政运行</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243.97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243.97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2010302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一般行政管理事务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38.55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38.55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2010308</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信访事务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7.81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7.81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2010350</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事业运行</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331.06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331.06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2010399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其他政府办公厅（室）及相关机构事务支出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13.80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13.80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207</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文化旅游体育与传媒支出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7.00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7.00 </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20701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文化和旅游</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7.00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7.00 </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2070109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群众文化</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7.00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7.00 </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208</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社会保障和就业支出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77.95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77.95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20805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行政事业单位养老支出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77.95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77.95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2080501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行政单位离退休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1.44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1.44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2080502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事业单位离退休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1.71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1.71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2080505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机关事业单位基本养老保险缴费支出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65.42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65.42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2080506</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机关事业单位职业年金缴费支出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9.39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9.39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210</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卫生健康支出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32.94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22.94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10.00 </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21004</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公共卫生</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10.00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10.00 </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2100409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重大公共卫生服务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10.00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10.00 </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21011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行政事业单位医疗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default"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22.94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22.94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2101101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行政单位医疗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10.43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10.43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2101102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事业单位医疗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12.50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12.50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213</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农林水支出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465.09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465.09 </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21301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农业农村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250.62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250.62 </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2130122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农业生产发展</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228.92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228.92 </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2130126</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农村社会事业</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21.70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21.70 </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21302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林业和草原</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34.19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34.19 </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2130205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森林资源培育</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34.19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34.19 </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21307</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农村综合改革</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180.28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180.28 </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2130701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对村级一事一议的补助</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7.61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7.61 </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2130705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对村民委员会和村党支部的补助</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122.67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122.67 </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2130706</w:t>
            </w:r>
          </w:p>
        </w:tc>
        <w:tc>
          <w:tcPr>
            <w:tcW w:w="169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对村集体经济组织的补助</w:t>
            </w:r>
          </w:p>
        </w:tc>
        <w:tc>
          <w:tcPr>
            <w:tcW w:w="2329" w:type="dxa"/>
            <w:tcBorders>
              <w:top w:val="nil"/>
              <w:left w:val="nil"/>
              <w:bottom w:val="single" w:color="auto"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50.00 </w:t>
            </w:r>
          </w:p>
        </w:tc>
        <w:tc>
          <w:tcPr>
            <w:tcW w:w="2329" w:type="dxa"/>
            <w:tcBorders>
              <w:top w:val="nil"/>
              <w:left w:val="nil"/>
              <w:bottom w:val="single" w:color="auto"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c>
          <w:tcPr>
            <w:tcW w:w="2329" w:type="dxa"/>
            <w:gridSpan w:val="2"/>
            <w:tcBorders>
              <w:top w:val="nil"/>
              <w:left w:val="nil"/>
              <w:bottom w:val="single" w:color="auto"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50.00 </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221</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住房保障支出</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34.04 </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34.04 </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22102</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住房改革支出</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34.04 </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34.04 </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2210201</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住房公积金</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34.04 </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34.04 </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bl>
    <w:p>
      <w:r>
        <w:br w:type="page"/>
      </w:r>
    </w:p>
    <w:p>
      <w:pPr>
        <w:widowControl/>
        <w:jc w:val="center"/>
        <w:textAlignment w:val="center"/>
        <w:rPr>
          <w:rFonts w:ascii="黑体" w:hAnsi="宋体" w:eastAsia="黑体" w:cs="黑体"/>
          <w:color w:val="000000"/>
          <w:kern w:val="0"/>
          <w:sz w:val="28"/>
          <w:szCs w:val="28"/>
          <w:lang w:bidi="ar"/>
        </w:rPr>
        <w:sectPr>
          <w:pgSz w:w="11906" w:h="16838"/>
          <w:pgMar w:top="2098" w:right="1531" w:bottom="1984" w:left="1531" w:header="851" w:footer="992" w:gutter="0"/>
          <w:cols w:space="425" w:num="1"/>
          <w:docGrid w:type="lines" w:linePitch="312" w:charSpace="0"/>
        </w:sectPr>
      </w:pPr>
    </w:p>
    <w:tbl>
      <w:tblPr>
        <w:tblStyle w:val="5"/>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lang w:bidi="ar"/>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公开06表</w:t>
            </w:r>
          </w:p>
        </w:tc>
      </w:tr>
      <w:tr>
        <w:tblPrEx>
          <w:tblCellMar>
            <w:top w:w="0" w:type="dxa"/>
            <w:left w:w="0" w:type="dxa"/>
            <w:bottom w:w="0" w:type="dxa"/>
            <w:right w:w="0" w:type="dxa"/>
          </w:tblCellMar>
        </w:tblPrEx>
        <w:trPr>
          <w:trHeight w:val="61"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部门：</w:t>
            </w: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637.12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default"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104.77 </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269.45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36.93 </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43.39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16.77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79.44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63.69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10.55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11.94 </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22.56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9.00 </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2.10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34.04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9.00 </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95.12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28.24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3.06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30217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24.18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11.31 </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2.24 </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1.00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6.00 </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30311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代缴社会保险费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13.46 </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 </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6"/>
                <w:szCs w:val="16"/>
              </w:rPr>
            </w:pPr>
          </w:p>
        </w:tc>
        <w:tc>
          <w:tcPr>
            <w:tcW w:w="247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6"/>
                <w:szCs w:val="16"/>
              </w:rPr>
            </w:pPr>
          </w:p>
        </w:tc>
        <w:tc>
          <w:tcPr>
            <w:tcW w:w="1317"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6"/>
                <w:szCs w:val="16"/>
                <w:lang w:val="en-US" w:eastAsia="zh-CN"/>
              </w:rPr>
            </w:pPr>
          </w:p>
        </w:tc>
        <w:tc>
          <w:tcPr>
            <w:tcW w:w="913"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30299</w:t>
            </w:r>
          </w:p>
        </w:tc>
        <w:tc>
          <w:tcPr>
            <w:tcW w:w="2463"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其他商品和服务支出</w:t>
            </w:r>
          </w:p>
        </w:tc>
        <w:tc>
          <w:tcPr>
            <w:tcW w:w="966" w:type="dxa"/>
            <w:tcBorders>
              <w:top w:val="nil"/>
              <w:left w:val="nil"/>
              <w:bottom w:val="single" w:color="auto"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4.89 </w:t>
            </w:r>
          </w:p>
        </w:tc>
        <w:tc>
          <w:tcPr>
            <w:tcW w:w="861"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6"/>
                <w:szCs w:val="16"/>
              </w:rPr>
            </w:pPr>
          </w:p>
        </w:tc>
        <w:tc>
          <w:tcPr>
            <w:tcW w:w="3028"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6"/>
                <w:szCs w:val="16"/>
              </w:rPr>
            </w:pPr>
          </w:p>
        </w:tc>
        <w:tc>
          <w:tcPr>
            <w:tcW w:w="800"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372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人员经费合计</w:t>
            </w:r>
          </w:p>
        </w:tc>
        <w:tc>
          <w:tcPr>
            <w:tcW w:w="1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6"/>
                <w:szCs w:val="16"/>
                <w:lang w:val="en-US" w:eastAsia="zh-CN"/>
              </w:rPr>
            </w:pPr>
            <w:r>
              <w:rPr>
                <w:rFonts w:hint="eastAsia" w:ascii="宋体" w:hAnsi="宋体" w:eastAsia="宋体" w:cs="宋体"/>
                <w:i w:val="0"/>
                <w:iCs w:val="0"/>
                <w:color w:val="000000"/>
                <w:kern w:val="0"/>
                <w:sz w:val="22"/>
                <w:szCs w:val="22"/>
                <w:u w:val="none"/>
                <w:lang w:val="en-US" w:eastAsia="zh-CN" w:bidi="ar"/>
              </w:rPr>
              <w:t>665.36</w:t>
            </w:r>
          </w:p>
        </w:tc>
        <w:tc>
          <w:tcPr>
            <w:tcW w:w="8231"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公用经费合计</w:t>
            </w:r>
          </w:p>
        </w:tc>
        <w:tc>
          <w:tcPr>
            <w:tcW w:w="80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 w:val="16"/>
                <w:szCs w:val="16"/>
                <w:lang w:val="en-US" w:eastAsia="zh-CN"/>
              </w:rPr>
            </w:pPr>
            <w:r>
              <w:rPr>
                <w:rFonts w:hint="eastAsia"/>
              </w:rPr>
              <w:t>104.77</w:t>
            </w:r>
          </w:p>
        </w:tc>
      </w:tr>
    </w:tbl>
    <w:p>
      <w:pPr>
        <w:widowControl/>
        <w:jc w:val="center"/>
        <w:textAlignment w:val="center"/>
        <w:sectPr>
          <w:pgSz w:w="16838" w:h="11906" w:orient="landscape"/>
          <w:pgMar w:top="1531" w:right="2098" w:bottom="1531" w:left="1984" w:header="851" w:footer="992" w:gutter="0"/>
          <w:cols w:space="425" w:num="1"/>
          <w:docGrid w:type="lines" w:linePitch="312" w:charSpace="0"/>
        </w:sectPr>
      </w:pPr>
    </w:p>
    <w:tbl>
      <w:tblPr>
        <w:tblStyle w:val="5"/>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lang w:bidi="ar"/>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公开07表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3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6.00</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6.00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6.00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6.00</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6.00</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6.00</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5"/>
        <w:tblW w:w="9664" w:type="dxa"/>
        <w:jc w:val="center"/>
        <w:tblLayout w:type="fixed"/>
        <w:tblCellMar>
          <w:top w:w="0" w:type="dxa"/>
          <w:left w:w="0" w:type="dxa"/>
          <w:bottom w:w="0" w:type="dxa"/>
          <w:right w:w="0" w:type="dxa"/>
        </w:tblCellMar>
      </w:tblPr>
      <w:tblGrid>
        <w:gridCol w:w="967"/>
        <w:gridCol w:w="61"/>
        <w:gridCol w:w="61"/>
        <w:gridCol w:w="2051"/>
        <w:gridCol w:w="1006"/>
        <w:gridCol w:w="1169"/>
        <w:gridCol w:w="1169"/>
        <w:gridCol w:w="1006"/>
        <w:gridCol w:w="1169"/>
        <w:gridCol w:w="1005"/>
      </w:tblGrid>
      <w:tr>
        <w:tblPrEx>
          <w:tblCellMar>
            <w:top w:w="0" w:type="dxa"/>
            <w:left w:w="0" w:type="dxa"/>
            <w:bottom w:w="0" w:type="dxa"/>
            <w:right w:w="0" w:type="dxa"/>
          </w:tblCellMar>
        </w:tblPrEx>
        <w:trPr>
          <w:trHeight w:val="780" w:hRule="atLeast"/>
          <w:jc w:val="center"/>
        </w:trPr>
        <w:tc>
          <w:tcPr>
            <w:tcW w:w="9664"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政府性基金预算财政拨款收入支出决算表</w:t>
            </w:r>
          </w:p>
        </w:tc>
      </w:tr>
      <w:tr>
        <w:tblPrEx>
          <w:tblCellMar>
            <w:top w:w="0" w:type="dxa"/>
            <w:left w:w="0" w:type="dxa"/>
            <w:bottom w:w="0" w:type="dxa"/>
            <w:right w:w="0" w:type="dxa"/>
          </w:tblCellMar>
        </w:tblPrEx>
        <w:trPr>
          <w:trHeight w:val="255" w:hRule="atLeast"/>
          <w:jc w:val="center"/>
        </w:trPr>
        <w:tc>
          <w:tcPr>
            <w:tcW w:w="9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0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0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0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174"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公开08表</w:t>
            </w:r>
          </w:p>
        </w:tc>
      </w:tr>
      <w:tr>
        <w:tblPrEx>
          <w:tblCellMar>
            <w:top w:w="0" w:type="dxa"/>
            <w:left w:w="0" w:type="dxa"/>
            <w:bottom w:w="0" w:type="dxa"/>
            <w:right w:w="0" w:type="dxa"/>
          </w:tblCellMar>
        </w:tblPrEx>
        <w:trPr>
          <w:trHeight w:val="255" w:hRule="atLeast"/>
          <w:jc w:val="center"/>
        </w:trPr>
        <w:tc>
          <w:tcPr>
            <w:tcW w:w="9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0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0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0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174"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31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00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年初结转和结余</w:t>
            </w:r>
          </w:p>
        </w:tc>
        <w:tc>
          <w:tcPr>
            <w:tcW w:w="116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w:t>
            </w:r>
          </w:p>
        </w:tc>
        <w:tc>
          <w:tcPr>
            <w:tcW w:w="3344"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c>
          <w:tcPr>
            <w:tcW w:w="100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年末结转和结余</w:t>
            </w:r>
          </w:p>
        </w:tc>
      </w:tr>
      <w:tr>
        <w:tblPrEx>
          <w:tblCellMar>
            <w:top w:w="0" w:type="dxa"/>
            <w:left w:w="0" w:type="dxa"/>
            <w:bottom w:w="0" w:type="dxa"/>
            <w:right w:w="0" w:type="dxa"/>
          </w:tblCellMar>
        </w:tblPrEx>
        <w:trPr>
          <w:trHeight w:val="312" w:hRule="atLeast"/>
          <w:jc w:val="center"/>
        </w:trPr>
        <w:tc>
          <w:tcPr>
            <w:tcW w:w="1089"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2051"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00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00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16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089"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2051"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00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0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089"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2051"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00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0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314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栏次</w:t>
            </w: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308" w:hRule="atLeast"/>
          <w:jc w:val="center"/>
        </w:trPr>
        <w:tc>
          <w:tcPr>
            <w:tcW w:w="314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合计</w:t>
            </w: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Cs w:val="22"/>
                <w:lang w:val="en-US" w:eastAsia="zh-CN"/>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Cs w:val="22"/>
                <w:lang w:val="en-US" w:eastAsia="zh-CN"/>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Cs w:val="22"/>
                <w:lang w:val="en-US" w:eastAsia="zh-CN"/>
              </w:rPr>
            </w:pP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r>
      <w:tr>
        <w:tblPrEx>
          <w:tblCellMar>
            <w:top w:w="0" w:type="dxa"/>
            <w:left w:w="0" w:type="dxa"/>
            <w:bottom w:w="0" w:type="dxa"/>
            <w:right w:w="0" w:type="dxa"/>
          </w:tblCellMar>
        </w:tblPrEx>
        <w:trPr>
          <w:trHeight w:val="308" w:hRule="atLeast"/>
          <w:jc w:val="center"/>
        </w:trPr>
        <w:tc>
          <w:tcPr>
            <w:tcW w:w="108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color w:val="000000"/>
                <w:szCs w:val="22"/>
                <w:lang w:val="en-US" w:eastAsia="zh-CN"/>
              </w:rPr>
            </w:pPr>
            <w:r>
              <w:rPr>
                <w:rFonts w:hint="eastAsia" w:ascii="宋体" w:hAnsi="宋体" w:eastAsia="宋体" w:cs="宋体"/>
                <w:i w:val="0"/>
                <w:iCs w:val="0"/>
                <w:color w:val="000000"/>
                <w:kern w:val="0"/>
                <w:sz w:val="22"/>
                <w:szCs w:val="22"/>
                <w:u w:val="none"/>
                <w:lang w:val="en-US" w:eastAsia="zh-CN" w:bidi="ar"/>
              </w:rPr>
              <w:t>212</w:t>
            </w:r>
          </w:p>
        </w:tc>
        <w:tc>
          <w:tcPr>
            <w:tcW w:w="20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城乡社区支出</w:t>
            </w: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r>
              <w:rPr>
                <w:rFonts w:hint="eastAsia" w:ascii="宋体" w:hAnsi="宋体" w:eastAsia="宋体" w:cs="宋体"/>
                <w:i w:val="0"/>
                <w:iCs w:val="0"/>
                <w:color w:val="000000"/>
                <w:kern w:val="0"/>
                <w:sz w:val="22"/>
                <w:szCs w:val="22"/>
                <w:u w:val="none"/>
                <w:lang w:val="en-US" w:eastAsia="zh-CN" w:bidi="ar"/>
              </w:rPr>
              <w:t>53.76</w:t>
            </w: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r>
              <w:rPr>
                <w:rFonts w:hint="eastAsia" w:ascii="宋体" w:hAnsi="宋体" w:eastAsia="宋体" w:cs="宋体"/>
                <w:i w:val="0"/>
                <w:iCs w:val="0"/>
                <w:color w:val="000000"/>
                <w:kern w:val="0"/>
                <w:sz w:val="22"/>
                <w:szCs w:val="22"/>
                <w:u w:val="none"/>
                <w:lang w:val="en-US" w:eastAsia="zh-CN" w:bidi="ar"/>
              </w:rPr>
              <w:t>53.76</w:t>
            </w: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r>
              <w:rPr>
                <w:rFonts w:hint="eastAsia" w:ascii="宋体" w:hAnsi="宋体" w:eastAsia="宋体" w:cs="宋体"/>
                <w:i w:val="0"/>
                <w:iCs w:val="0"/>
                <w:color w:val="000000"/>
                <w:kern w:val="0"/>
                <w:sz w:val="22"/>
                <w:szCs w:val="22"/>
                <w:u w:val="none"/>
                <w:lang w:val="en-US" w:eastAsia="zh-CN" w:bidi="ar"/>
              </w:rPr>
              <w:t>53.76</w:t>
            </w: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bookmarkStart w:id="0" w:name="_GoBack"/>
            <w:bookmarkEnd w:id="0"/>
          </w:p>
        </w:tc>
      </w:tr>
      <w:tr>
        <w:tblPrEx>
          <w:tblCellMar>
            <w:top w:w="0" w:type="dxa"/>
            <w:left w:w="0" w:type="dxa"/>
            <w:bottom w:w="0" w:type="dxa"/>
            <w:right w:w="0" w:type="dxa"/>
          </w:tblCellMar>
        </w:tblPrEx>
        <w:trPr>
          <w:trHeight w:val="308" w:hRule="atLeast"/>
          <w:jc w:val="center"/>
        </w:trPr>
        <w:tc>
          <w:tcPr>
            <w:tcW w:w="108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21208</w:t>
            </w:r>
          </w:p>
        </w:tc>
        <w:tc>
          <w:tcPr>
            <w:tcW w:w="20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国有土地使用权出让收入安排的支出</w:t>
            </w: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53.76</w:t>
            </w: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53.76</w:t>
            </w: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53.76</w:t>
            </w: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08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2120801</w:t>
            </w:r>
          </w:p>
        </w:tc>
        <w:tc>
          <w:tcPr>
            <w:tcW w:w="20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 xml:space="preserve">  征地和拆迁补偿支出</w:t>
            </w: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r>
              <w:rPr>
                <w:rFonts w:hint="eastAsia" w:ascii="宋体" w:hAnsi="宋体" w:eastAsia="宋体" w:cs="宋体"/>
                <w:i w:val="0"/>
                <w:iCs w:val="0"/>
                <w:color w:val="000000"/>
                <w:kern w:val="0"/>
                <w:sz w:val="22"/>
                <w:szCs w:val="22"/>
                <w:u w:val="none"/>
                <w:lang w:val="en-US" w:eastAsia="zh-CN" w:bidi="ar"/>
              </w:rPr>
              <w:t>29.50</w:t>
            </w: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r>
              <w:rPr>
                <w:rFonts w:hint="eastAsia" w:ascii="宋体" w:hAnsi="宋体" w:eastAsia="宋体" w:cs="宋体"/>
                <w:i w:val="0"/>
                <w:iCs w:val="0"/>
                <w:color w:val="000000"/>
                <w:kern w:val="0"/>
                <w:sz w:val="22"/>
                <w:szCs w:val="22"/>
                <w:u w:val="none"/>
                <w:lang w:val="en-US" w:eastAsia="zh-CN" w:bidi="ar"/>
              </w:rPr>
              <w:t>29.50</w:t>
            </w: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r>
              <w:rPr>
                <w:rFonts w:hint="eastAsia" w:ascii="宋体" w:hAnsi="宋体" w:eastAsia="宋体" w:cs="宋体"/>
                <w:i w:val="0"/>
                <w:iCs w:val="0"/>
                <w:color w:val="000000"/>
                <w:kern w:val="0"/>
                <w:sz w:val="22"/>
                <w:szCs w:val="22"/>
                <w:u w:val="none"/>
                <w:lang w:val="en-US" w:eastAsia="zh-CN" w:bidi="ar"/>
              </w:rPr>
              <w:t>29.50</w:t>
            </w: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08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2120804</w:t>
            </w:r>
          </w:p>
        </w:tc>
        <w:tc>
          <w:tcPr>
            <w:tcW w:w="20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color w:val="000000"/>
                <w:szCs w:val="22"/>
                <w:lang w:val="en-US" w:eastAsia="zh-CN"/>
              </w:rPr>
            </w:pPr>
            <w:r>
              <w:rPr>
                <w:rFonts w:hint="eastAsia" w:ascii="宋体" w:hAnsi="宋体" w:eastAsia="宋体" w:cs="宋体"/>
                <w:i w:val="0"/>
                <w:iCs w:val="0"/>
                <w:color w:val="000000"/>
                <w:kern w:val="0"/>
                <w:sz w:val="22"/>
                <w:szCs w:val="22"/>
                <w:u w:val="none"/>
                <w:lang w:val="en-US" w:eastAsia="zh-CN" w:bidi="ar"/>
              </w:rPr>
              <w:t xml:space="preserve">  农村基础设施建设支出</w:t>
            </w: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rPr>
            </w:pPr>
            <w:r>
              <w:rPr>
                <w:rFonts w:hint="eastAsia" w:ascii="宋体" w:hAnsi="宋体" w:eastAsia="宋体" w:cs="宋体"/>
                <w:i w:val="0"/>
                <w:iCs w:val="0"/>
                <w:color w:val="000000"/>
                <w:kern w:val="0"/>
                <w:sz w:val="22"/>
                <w:szCs w:val="22"/>
                <w:u w:val="none"/>
                <w:lang w:val="en-US" w:eastAsia="zh-CN" w:bidi="ar"/>
              </w:rPr>
              <w:t>24.26</w:t>
            </w: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24.26</w:t>
            </w: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24.26</w:t>
            </w: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08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20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b/>
          <w:sz w:val="20"/>
          <w:szCs w:val="22"/>
          <w:highlight w:val="yellow"/>
        </w:rPr>
      </w:pPr>
      <w:r>
        <w:rPr>
          <w:rFonts w:hint="eastAsia" w:ascii="宋体" w:hAnsi="宋体" w:eastAsia="宋体" w:cs="宋体"/>
          <w:sz w:val="20"/>
          <w:szCs w:val="22"/>
        </w:rPr>
        <w:t>注：本表反映部门本年度政府性基金预算财政拨款收入、支出及结转结余情况。</w:t>
      </w:r>
      <w:r>
        <w:rPr>
          <w:b/>
          <w:sz w:val="20"/>
          <w:szCs w:val="22"/>
          <w:highlight w:val="yellow"/>
        </w:rPr>
        <w:br w:type="page"/>
      </w:r>
    </w:p>
    <w:tbl>
      <w:tblPr>
        <w:tblStyle w:val="5"/>
        <w:tblW w:w="9064" w:type="dxa"/>
        <w:tblInd w:w="0" w:type="dxa"/>
        <w:tblLayout w:type="fixed"/>
        <w:tblCellMar>
          <w:top w:w="0" w:type="dxa"/>
          <w:left w:w="0" w:type="dxa"/>
          <w:bottom w:w="0" w:type="dxa"/>
          <w:right w:w="0" w:type="dxa"/>
        </w:tblCellMar>
      </w:tblPr>
      <w:tblGrid>
        <w:gridCol w:w="63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国有资本经营预算财政拨款支出决算表</w:t>
            </w:r>
          </w:p>
        </w:tc>
      </w:tr>
      <w:tr>
        <w:tblPrEx>
          <w:tblCellMar>
            <w:top w:w="0" w:type="dxa"/>
            <w:left w:w="0" w:type="dxa"/>
            <w:bottom w:w="0" w:type="dxa"/>
            <w:right w:w="0" w:type="dxa"/>
          </w:tblCellMar>
        </w:tblPrEx>
        <w:trPr>
          <w:trHeight w:val="250" w:hRule="atLeast"/>
        </w:trPr>
        <w:tc>
          <w:tcPr>
            <w:tcW w:w="63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250" w:hRule="atLeast"/>
        </w:trPr>
        <w:tc>
          <w:tcPr>
            <w:tcW w:w="630"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ascii="黑体" w:hAnsi="黑体" w:eastAsia="黑体" w:cs="黑体"/>
          <w:sz w:val="56"/>
          <w:szCs w:val="72"/>
          <w:highlight w:val="none"/>
        </w:rPr>
      </w:pPr>
      <w:r>
        <w:rPr>
          <w:rFonts w:hint="eastAsia" w:ascii="宋体" w:hAnsi="宋体" w:eastAsia="宋体" w:cs="宋体"/>
        </w:rPr>
        <w:t>注：本表反映部门本年度国有资本经营预算财政拨款收入、支出及结转结余情况。</w:t>
      </w:r>
      <w:r>
        <w:rPr>
          <w:rFonts w:hint="eastAsia" w:ascii="宋体" w:hAnsi="宋体" w:eastAsia="宋体" w:cs="宋体"/>
          <w:b/>
          <w:highlight w:val="none"/>
        </w:rPr>
        <w:t>本部门本年度无相关支出情况，按要求以空表列示。</w:t>
      </w: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mc:AlternateContent>
          <mc:Choice Requires="wps">
            <w:drawing>
              <wp:anchor distT="0" distB="0" distL="114300" distR="114300" simplePos="0" relativeHeight="251664384" behindDoc="0" locked="0" layoutInCell="1" allowOverlap="1">
                <wp:simplePos x="0" y="0"/>
                <wp:positionH relativeFrom="column">
                  <wp:posOffset>-993140</wp:posOffset>
                </wp:positionH>
                <wp:positionV relativeFrom="paragraph">
                  <wp:posOffset>-1353820</wp:posOffset>
                </wp:positionV>
                <wp:extent cx="7632700" cy="10695940"/>
                <wp:effectExtent l="0" t="0" r="2540" b="2540"/>
                <wp:wrapNone/>
                <wp:docPr id="3"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2pt;margin-top:-106.6pt;height:842.2pt;width:601pt;z-index:251664384;v-text-anchor:middle;mso-width-relative:page;mso-height-relative:page;" fillcolor="#BDD7EE [1300]" filled="t" stroked="f" coordsize="21600,21600"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aR&#10;7+fcAAAADwEAAA8AAAAAAAAAAQAgAAAAIgAAAGRycy9kb3ducmV2LnhtbFBLAQIUABQAAAAIAIdO&#10;4kBIxKP9kQIAABEFAAAOAAAAAAAAAAEAIAAAACsBAABkcnMvZTJvRG9jLnhtbFBLBQYAAAAABgAG&#10;AFkBAAAuBgAAAAA=&#10;">
                <v:fill on="t" focussize="0,0"/>
                <v:stroke on="f" weight="1pt" miterlimit="8" joinstyle="miter"/>
                <v:imagedata o:title=""/>
                <o:lock v:ext="edit" aspectratio="f"/>
              </v:rect>
            </w:pict>
          </mc:Fallback>
        </mc:AlternateConten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Cambria">
    <w:panose1 w:val="02040503050406030204"/>
    <w:charset w:val="00"/>
    <w:family w:val="roman"/>
    <w:pitch w:val="default"/>
    <w:sig w:usb0="E00006FF" w:usb1="420024FF" w:usb2="02000000" w:usb3="00000000" w:csb0="2000019F" w:csb1="00000000"/>
  </w:font>
  <w:font w:name="Mongolian Baiti">
    <w:panose1 w:val="03000500000000000000"/>
    <w:charset w:val="00"/>
    <w:family w:val="script"/>
    <w:pitch w:val="default"/>
    <w:sig w:usb0="80000023"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59950409"/>
    <w:multiLevelType w:val="singleLevel"/>
    <w:tmpl w:val="59950409"/>
    <w:lvl w:ilvl="0" w:tentative="0">
      <w:start w:val="1"/>
      <w:numFmt w:val="decimal"/>
      <w:suff w:val="space"/>
      <w:lvlText w:val="%1."/>
      <w:lvlJc w:val="left"/>
    </w:lvl>
  </w:abstractNum>
  <w:abstractNum w:abstractNumId="2">
    <w:nsid w:val="78C1413D"/>
    <w:multiLevelType w:val="singleLevel"/>
    <w:tmpl w:val="78C1413D"/>
    <w:lvl w:ilvl="0" w:tentative="0">
      <w:start w:val="1"/>
      <w:numFmt w:val="decimal"/>
      <w:suff w:val="space"/>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61A05"/>
    <w:rsid w:val="0018668E"/>
    <w:rsid w:val="001B73D2"/>
    <w:rsid w:val="001E62BF"/>
    <w:rsid w:val="00293E7B"/>
    <w:rsid w:val="002D1F4F"/>
    <w:rsid w:val="00366D90"/>
    <w:rsid w:val="003D678E"/>
    <w:rsid w:val="00723724"/>
    <w:rsid w:val="00801F66"/>
    <w:rsid w:val="009334BF"/>
    <w:rsid w:val="00EE5ABD"/>
    <w:rsid w:val="01994291"/>
    <w:rsid w:val="058B71E0"/>
    <w:rsid w:val="05D435BA"/>
    <w:rsid w:val="07C470B3"/>
    <w:rsid w:val="09E12740"/>
    <w:rsid w:val="0EA325C9"/>
    <w:rsid w:val="12B53C3F"/>
    <w:rsid w:val="14BE4DF7"/>
    <w:rsid w:val="298F56E8"/>
    <w:rsid w:val="2BF44B44"/>
    <w:rsid w:val="2F2A75ED"/>
    <w:rsid w:val="2FB96948"/>
    <w:rsid w:val="303E5E56"/>
    <w:rsid w:val="3327616A"/>
    <w:rsid w:val="34BE0531"/>
    <w:rsid w:val="34C45458"/>
    <w:rsid w:val="35C83C42"/>
    <w:rsid w:val="35E93E28"/>
    <w:rsid w:val="37BD32C2"/>
    <w:rsid w:val="38995613"/>
    <w:rsid w:val="42925E4B"/>
    <w:rsid w:val="48660211"/>
    <w:rsid w:val="49752067"/>
    <w:rsid w:val="4A9C625A"/>
    <w:rsid w:val="4F565509"/>
    <w:rsid w:val="50F80101"/>
    <w:rsid w:val="55863126"/>
    <w:rsid w:val="5C916D48"/>
    <w:rsid w:val="5D0C63C4"/>
    <w:rsid w:val="65BE3337"/>
    <w:rsid w:val="6A0F3D2E"/>
    <w:rsid w:val="710C77C5"/>
    <w:rsid w:val="73D824BD"/>
    <w:rsid w:val="7B2E57E1"/>
    <w:rsid w:val="7BDA329F"/>
    <w:rsid w:val="7CAC3A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bmp"/><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1732</Words>
  <Characters>9876</Characters>
  <Lines>82</Lines>
  <Paragraphs>23</Paragraphs>
  <TotalTime>7</TotalTime>
  <ScaleCrop>false</ScaleCrop>
  <LinksUpToDate>false</LinksUpToDate>
  <CharactersWithSpaces>11585</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晁宇</cp:lastModifiedBy>
  <dcterms:modified xsi:type="dcterms:W3CDTF">2021-10-11T08:48:36Z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11FC6F19ABA5476EBBE896240C88D8A7</vt:lpwstr>
  </property>
</Properties>
</file>