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highlight w:val="yellow"/>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满城区南韩村镇人民政府</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ascii="黑体" w:hAnsi="黑体" w:eastAsia="黑体" w:cs="黑体"/>
          <w:sz w:val="72"/>
          <w:szCs w:val="96"/>
          <w:highlight w:val="yellow"/>
        </w:rPr>
      </w:pPr>
      <w:r>
        <w:rPr>
          <w:rFonts w:hint="eastAsia" w:ascii="黑体" w:hAnsi="黑体" w:eastAsia="黑体" w:cs="黑体"/>
          <w:sz w:val="72"/>
          <w:szCs w:val="96"/>
          <w:lang w:eastAsia="zh-CN"/>
        </w:rPr>
        <w:t>满城区南韩村镇人民政府</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rPr>
          <w:rFonts w:ascii="黑体" w:hAnsi="Times New Roman" w:eastAsia="黑体" w:cs="Times New Roman"/>
          <w:sz w:val="48"/>
          <w:szCs w:val="48"/>
        </w:rPr>
      </w:pPr>
      <w:r>
        <w:rPr>
          <w:rFonts w:hint="eastAsia" w:ascii="黑体" w:hAnsi="Times New Roman" w:eastAsia="黑体" w:cs="Times New Roman"/>
          <w:sz w:val="48"/>
          <w:szCs w:val="48"/>
        </w:rPr>
        <w:br w:type="page"/>
      </w: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widowControl/>
        <w:spacing w:line="54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满城区南韩村镇人民政府由行政编制和事业编制组成。满城区南韩村镇人民政府内设人大监督、人大代表活动、司法工作、计划生育、统计工作、财政工作民政事务管理、信访活动、安保工作等各部门。主要职责是：</w:t>
      </w:r>
    </w:p>
    <w:p>
      <w:pPr>
        <w:widowControl/>
        <w:spacing w:line="54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1、人大监督，围绕政府工作报告监督组织实施。</w:t>
      </w:r>
    </w:p>
    <w:p>
      <w:pPr>
        <w:widowControl/>
        <w:spacing w:line="54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2、人大代表活动，对法律实施情况进行检查，开展代表建议督办活动。</w:t>
      </w:r>
    </w:p>
    <w:p>
      <w:pPr>
        <w:widowControl/>
        <w:spacing w:line="54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3、会议召开，人大会议，换届选举会议。保证会议顺利召开，完成会议议程。</w:t>
      </w:r>
    </w:p>
    <w:p>
      <w:pPr>
        <w:widowControl/>
        <w:spacing w:line="540" w:lineRule="exact"/>
        <w:ind w:firstLine="640" w:firstLineChars="200"/>
        <w:rPr>
          <w:rFonts w:hint="eastAsia" w:ascii="仿宋_GB2312" w:hAnsi="Calibri" w:eastAsia="仿宋_GB2312" w:cs="Arial Black"/>
          <w:kern w:val="0"/>
          <w:sz w:val="32"/>
          <w:szCs w:val="32"/>
          <w:lang w:val="en-US" w:eastAsia="zh-CN"/>
        </w:rPr>
      </w:pPr>
      <w:r>
        <w:rPr>
          <w:rFonts w:hint="eastAsia" w:ascii="仿宋_GB2312" w:hAnsi="Calibri" w:eastAsia="仿宋_GB2312" w:cs="Arial Black"/>
          <w:kern w:val="0"/>
          <w:sz w:val="32"/>
          <w:szCs w:val="32"/>
        </w:rPr>
        <w:t>4、办案问责，受理信访、举报等案件，组织协调案件的查办，调查、审查违纪违法案件，对案件审理提出处理意见</w:t>
      </w:r>
      <w:r>
        <w:rPr>
          <w:rFonts w:hint="eastAsia" w:ascii="仿宋_GB2312" w:hAnsi="Calibri" w:eastAsia="仿宋_GB2312" w:cs="Arial Black"/>
          <w:kern w:val="0"/>
          <w:sz w:val="32"/>
          <w:szCs w:val="32"/>
          <w:lang w:eastAsia="zh-CN"/>
        </w:rPr>
        <w:t>。</w:t>
      </w:r>
    </w:p>
    <w:p>
      <w:pPr>
        <w:widowControl/>
        <w:spacing w:line="54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5、党风廉政建设及监督检查，加强党风廉政建设，营造风清气正、干事创业的工作氛围，加大问责力度，促进“两个责任”有效落实。</w:t>
      </w:r>
    </w:p>
    <w:p>
      <w:pPr>
        <w:widowControl/>
        <w:spacing w:line="54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6、司法工作，开展公民普法教育，调节群众矛盾纠纷，提高群众的法律意识。</w:t>
      </w:r>
    </w:p>
    <w:p>
      <w:pPr>
        <w:widowControl/>
        <w:spacing w:line="54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7、计划生育，提供各类计划生育技术服务，建立利益导向机制，开展出生人口性别比的治理及流动人口计划生育管理等各项工作。提高妇女生殖健康水平，降低出生缺陷的发生。</w:t>
      </w:r>
    </w:p>
    <w:p>
      <w:pPr>
        <w:widowControl/>
        <w:spacing w:line="54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8、统计工作 ，组织人口、农业等部门专项统计调查检测。发布普查的主要数据公报，完成普查工作。</w:t>
      </w:r>
    </w:p>
    <w:p>
      <w:pPr>
        <w:widowControl/>
        <w:spacing w:line="54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9、财政工作 加强财务会计管理工作，依法按照财经制度管理会计事务，做到量入微出。维护财经制度，办理好各项财经事项。</w:t>
      </w:r>
    </w:p>
    <w:p>
      <w:pPr>
        <w:widowControl/>
        <w:spacing w:line="54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10、民政事务管理，做好对五保户、低保户、贫困户、大病医疗救助、防灾、减灾、救灾工作。做好对五保户、低保户贫困户、大病医疗救助、防灾、减灾、救灾款项的及时发放。</w:t>
      </w:r>
    </w:p>
    <w:p>
      <w:pPr>
        <w:widowControl/>
        <w:spacing w:line="54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11、信访活动安保工作  接待和处理人民群众反映的情况和问题。确保乡镇治安防控工作到位，社会稳定、政治稳定、治安秩序良好。</w:t>
      </w:r>
    </w:p>
    <w:p>
      <w:pPr>
        <w:widowControl/>
        <w:spacing w:line="580" w:lineRule="exact"/>
        <w:ind w:firstLine="640" w:firstLineChars="200"/>
        <w:rPr>
          <w:rFonts w:ascii="仿宋_GB2312" w:hAnsi="Calibri" w:eastAsia="仿宋_GB2312" w:cs="Arial Black"/>
          <w:kern w:val="0"/>
          <w:sz w:val="32"/>
          <w:szCs w:val="32"/>
        </w:rPr>
      </w:pP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lang w:eastAsia="zh-CN"/>
              </w:rPr>
              <w:t>满城区南韩村镇人民政府</w:t>
            </w:r>
          </w:p>
        </w:tc>
        <w:tc>
          <w:tcPr>
            <w:tcW w:w="2404" w:type="dxa"/>
          </w:tcPr>
          <w:p>
            <w:pPr>
              <w:spacing w:line="560" w:lineRule="exact"/>
              <w:jc w:val="center"/>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lang w:eastAsia="zh-CN"/>
              </w:rPr>
              <w:t>行政</w:t>
            </w:r>
          </w:p>
        </w:tc>
        <w:tc>
          <w:tcPr>
            <w:tcW w:w="2622" w:type="dxa"/>
          </w:tcPr>
          <w:p>
            <w:pPr>
              <w:spacing w:line="560" w:lineRule="exact"/>
              <w:jc w:val="center"/>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ind w:firstLine="570"/>
        <w:rPr>
          <w:rFonts w:ascii="黑体" w:hAnsi="Calibri" w:eastAsia="黑体" w:cs="Times New Roman"/>
          <w:sz w:val="32"/>
          <w:szCs w:val="32"/>
        </w:rPr>
      </w:pPr>
      <w:r>
        <w:rPr>
          <w:rFonts w:hint="eastAsia" w:ascii="仿宋_GB2312" w:hAnsi="Times New Roman" w:eastAsia="仿宋_GB2312" w:cs="Wingdings"/>
          <w:sz w:val="32"/>
          <w:szCs w:val="32"/>
        </w:rPr>
        <w:t>本部门2020年度收、支总计（含结转和结余）</w:t>
      </w:r>
      <w:r>
        <w:rPr>
          <w:rFonts w:hint="eastAsia" w:ascii="仿宋_GB2312" w:hAnsi="Times New Roman" w:eastAsia="仿宋_GB2312" w:cs="Wingdings"/>
          <w:sz w:val="32"/>
          <w:szCs w:val="32"/>
          <w:lang w:val="en-US" w:eastAsia="zh-CN"/>
        </w:rPr>
        <w:t>2302.81</w:t>
      </w:r>
      <w:r>
        <w:rPr>
          <w:rFonts w:hint="eastAsia" w:ascii="仿宋_GB2312" w:hAnsi="Times New Roman" w:eastAsia="仿宋_GB2312" w:cs="Wingdings"/>
          <w:sz w:val="32"/>
          <w:szCs w:val="32"/>
        </w:rPr>
        <w:t>万元。与2019年度决算相比，收支各增加</w:t>
      </w:r>
      <w:r>
        <w:rPr>
          <w:rFonts w:hint="eastAsia" w:ascii="仿宋_GB2312" w:hAnsi="Times New Roman" w:eastAsia="仿宋_GB2312" w:cs="Wingdings"/>
          <w:sz w:val="32"/>
          <w:szCs w:val="32"/>
          <w:lang w:val="en-US" w:eastAsia="zh-CN"/>
        </w:rPr>
        <w:t>933.62</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68.19</w:t>
      </w:r>
      <w:r>
        <w:rPr>
          <w:rFonts w:hint="eastAsia" w:ascii="仿宋_GB2312" w:hAnsi="Times New Roman" w:eastAsia="仿宋_GB2312" w:cs="Wingdings"/>
          <w:sz w:val="32"/>
          <w:szCs w:val="32"/>
        </w:rPr>
        <w:t>%，主要原因是</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增加了农业支持补贴及美丽乡村建设等项目，其中：专户拨各乡镇耕地地力保护补贴资金</w:t>
      </w:r>
      <w:r>
        <w:rPr>
          <w:rFonts w:hint="eastAsia" w:ascii="仿宋_GB2312" w:hAnsi="仿宋_GB2312" w:eastAsia="仿宋_GB2312" w:cs="仿宋_GB2312"/>
          <w:sz w:val="32"/>
          <w:szCs w:val="32"/>
          <w:lang w:val="en-US" w:eastAsia="zh-CN"/>
        </w:rPr>
        <w:t>485.31</w:t>
      </w:r>
      <w:r>
        <w:rPr>
          <w:rFonts w:hint="eastAsia" w:ascii="仿宋_GB2312" w:hAnsi="仿宋_GB2312" w:eastAsia="仿宋_GB2312" w:cs="仿宋_GB2312"/>
          <w:sz w:val="32"/>
          <w:szCs w:val="32"/>
          <w:lang w:eastAsia="zh-CN"/>
        </w:rPr>
        <w:t>万元，对村级一事一议的补助及美丽乡村建设资金</w:t>
      </w:r>
      <w:r>
        <w:rPr>
          <w:rFonts w:hint="eastAsia" w:ascii="仿宋_GB2312" w:hAnsi="仿宋_GB2312" w:eastAsia="仿宋_GB2312" w:cs="仿宋_GB2312"/>
          <w:sz w:val="32"/>
          <w:szCs w:val="32"/>
          <w:highlight w:val="none"/>
          <w:lang w:val="en-US" w:eastAsia="zh-CN"/>
        </w:rPr>
        <w:t>453.87</w:t>
      </w:r>
      <w:r>
        <w:rPr>
          <w:rFonts w:hint="eastAsia" w:ascii="仿宋_GB2312" w:hAnsi="仿宋_GB2312" w:eastAsia="仿宋_GB2312" w:cs="仿宋_GB2312"/>
          <w:sz w:val="32"/>
          <w:szCs w:val="32"/>
          <w:lang w:val="en-US" w:eastAsia="zh-CN"/>
        </w:rPr>
        <w:t>万元。</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黑体" w:hAnsi="Calibri" w:eastAsia="黑体" w:cs="Times New Roman"/>
          <w:sz w:val="32"/>
          <w:szCs w:val="32"/>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2302.81</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2302.81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黑体" w:hAnsi="Calibri" w:eastAsia="黑体" w:cs="Times New Roman"/>
          <w:b/>
          <w:bC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2302.81</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950.04</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41.3</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1352.77</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58.7</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仿宋_GB2312" w:eastAsia="仿宋_GB2312" w:cs="仿宋_GB2312"/>
          <w:sz w:val="32"/>
          <w:szCs w:val="32"/>
          <w:lang w:val="en-US" w:eastAsia="zh-CN"/>
        </w:rPr>
        <w:t>2302.81</w:t>
      </w:r>
      <w:r>
        <w:rPr>
          <w:rFonts w:hint="eastAsia" w:ascii="仿宋_GB2312" w:hAnsi="Times New Roman" w:eastAsia="仿宋_GB2312" w:cs="Wingdings"/>
          <w:sz w:val="32"/>
          <w:szCs w:val="32"/>
        </w:rPr>
        <w:t>万元,比2019年度增加</w:t>
      </w:r>
      <w:r>
        <w:rPr>
          <w:rFonts w:hint="eastAsia" w:ascii="仿宋_GB2312" w:hAnsi="仿宋_GB2312" w:eastAsia="仿宋_GB2312" w:cs="仿宋_GB2312"/>
          <w:sz w:val="32"/>
          <w:szCs w:val="32"/>
          <w:lang w:val="en-US" w:eastAsia="zh-CN"/>
        </w:rPr>
        <w:t>933.62</w:t>
      </w:r>
      <w:r>
        <w:rPr>
          <w:rFonts w:hint="eastAsia" w:ascii="仿宋_GB2312" w:hAnsi="Times New Roman" w:eastAsia="仿宋_GB2312" w:cs="Wingdings"/>
          <w:sz w:val="32"/>
          <w:szCs w:val="32"/>
        </w:rPr>
        <w:t>万元，增长</w:t>
      </w:r>
      <w:r>
        <w:rPr>
          <w:rFonts w:hint="eastAsia" w:ascii="仿宋_GB2312" w:hAnsi="仿宋_GB2312" w:eastAsia="仿宋_GB2312" w:cs="仿宋_GB2312"/>
          <w:sz w:val="32"/>
          <w:szCs w:val="32"/>
          <w:lang w:val="en-US" w:eastAsia="zh-CN"/>
        </w:rPr>
        <w:t>68.19</w:t>
      </w:r>
      <w:r>
        <w:rPr>
          <w:rFonts w:hint="eastAsia" w:ascii="仿宋_GB2312" w:hAnsi="Times New Roman" w:eastAsia="仿宋_GB2312" w:cs="Wingdings"/>
          <w:sz w:val="32"/>
          <w:szCs w:val="32"/>
        </w:rPr>
        <w:t>%，主要是</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增加了农业支持补贴及美丽乡村建设等项目，其中：专户拨各乡镇耕地地力保护补贴资金</w:t>
      </w:r>
      <w:r>
        <w:rPr>
          <w:rFonts w:hint="eastAsia" w:ascii="仿宋_GB2312" w:hAnsi="仿宋_GB2312" w:eastAsia="仿宋_GB2312" w:cs="仿宋_GB2312"/>
          <w:sz w:val="32"/>
          <w:szCs w:val="32"/>
          <w:lang w:val="en-US" w:eastAsia="zh-CN"/>
        </w:rPr>
        <w:t>485.31</w:t>
      </w:r>
      <w:r>
        <w:rPr>
          <w:rFonts w:hint="eastAsia" w:ascii="仿宋_GB2312" w:hAnsi="仿宋_GB2312" w:eastAsia="仿宋_GB2312" w:cs="仿宋_GB2312"/>
          <w:sz w:val="32"/>
          <w:szCs w:val="32"/>
          <w:lang w:eastAsia="zh-CN"/>
        </w:rPr>
        <w:t>万元，对村级一事一议的补助及美丽乡村建设资金</w:t>
      </w:r>
      <w:r>
        <w:rPr>
          <w:rFonts w:hint="eastAsia" w:ascii="仿宋_GB2312" w:hAnsi="仿宋_GB2312" w:eastAsia="仿宋_GB2312" w:cs="仿宋_GB2312"/>
          <w:sz w:val="32"/>
          <w:szCs w:val="32"/>
          <w:highlight w:val="none"/>
          <w:lang w:val="en-US" w:eastAsia="zh-CN"/>
        </w:rPr>
        <w:t>453.87</w:t>
      </w:r>
      <w:r>
        <w:rPr>
          <w:rFonts w:hint="eastAsia" w:ascii="仿宋_GB2312" w:hAnsi="仿宋_GB2312" w:eastAsia="仿宋_GB2312" w:cs="仿宋_GB2312"/>
          <w:sz w:val="32"/>
          <w:szCs w:val="32"/>
          <w:lang w:val="en-US" w:eastAsia="zh-CN"/>
        </w:rPr>
        <w:t>万元，2020年增加了这部分支出。</w:t>
      </w:r>
      <w:r>
        <w:rPr>
          <w:rFonts w:hint="eastAsia" w:ascii="仿宋_GB2312" w:hAnsi="Times New Roman" w:eastAsia="仿宋_GB2312" w:cs="Wingdings"/>
          <w:sz w:val="32"/>
          <w:szCs w:val="32"/>
        </w:rPr>
        <w:t>本年支出</w:t>
      </w:r>
      <w:r>
        <w:rPr>
          <w:rFonts w:hint="eastAsia" w:ascii="仿宋_GB2312" w:hAnsi="仿宋_GB2312" w:eastAsia="仿宋_GB2312" w:cs="仿宋_GB2312"/>
          <w:sz w:val="32"/>
          <w:szCs w:val="32"/>
          <w:lang w:val="en-US" w:eastAsia="zh-CN"/>
        </w:rPr>
        <w:t>2302.81</w:t>
      </w:r>
      <w:r>
        <w:rPr>
          <w:rFonts w:hint="eastAsia" w:ascii="仿宋_GB2312" w:hAnsi="Times New Roman" w:eastAsia="仿宋_GB2312" w:cs="Wingdings"/>
          <w:sz w:val="32"/>
          <w:szCs w:val="32"/>
        </w:rPr>
        <w:t>万元，增加</w:t>
      </w:r>
      <w:r>
        <w:rPr>
          <w:rFonts w:hint="eastAsia" w:ascii="仿宋_GB2312" w:hAnsi="仿宋_GB2312" w:eastAsia="仿宋_GB2312" w:cs="仿宋_GB2312"/>
          <w:sz w:val="32"/>
          <w:szCs w:val="32"/>
          <w:lang w:val="en-US" w:eastAsia="zh-CN"/>
        </w:rPr>
        <w:t>933.62</w:t>
      </w:r>
      <w:r>
        <w:rPr>
          <w:rFonts w:hint="eastAsia" w:ascii="仿宋_GB2312" w:hAnsi="仿宋_GB2312" w:eastAsia="仿宋_GB2312" w:cs="仿宋_GB2312"/>
          <w:sz w:val="32"/>
          <w:szCs w:val="32"/>
        </w:rPr>
        <w:t>万</w:t>
      </w:r>
      <w:r>
        <w:rPr>
          <w:rFonts w:hint="eastAsia" w:ascii="仿宋_GB2312" w:hAnsi="Times New Roman" w:eastAsia="仿宋_GB2312" w:cs="Wingdings"/>
          <w:sz w:val="32"/>
          <w:szCs w:val="32"/>
        </w:rPr>
        <w:t>万元，增长</w:t>
      </w:r>
      <w:r>
        <w:rPr>
          <w:rFonts w:hint="eastAsia" w:ascii="仿宋_GB2312" w:hAnsi="仿宋_GB2312" w:eastAsia="仿宋_GB2312" w:cs="仿宋_GB2312"/>
          <w:sz w:val="32"/>
          <w:szCs w:val="32"/>
          <w:lang w:val="en-US" w:eastAsia="zh-CN"/>
        </w:rPr>
        <w:t>68.19</w:t>
      </w:r>
      <w:r>
        <w:rPr>
          <w:rFonts w:hint="eastAsia" w:ascii="仿宋_GB2312" w:hAnsi="Times New Roman" w:eastAsia="仿宋_GB2312" w:cs="Wingdings"/>
          <w:sz w:val="32"/>
          <w:szCs w:val="32"/>
        </w:rPr>
        <w:t>%，主要是</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增加了农业支持补贴及美丽乡村建设等项目，其中：专户拨各乡镇耕地地力保护补贴资金</w:t>
      </w:r>
      <w:r>
        <w:rPr>
          <w:rFonts w:hint="eastAsia" w:ascii="仿宋_GB2312" w:hAnsi="仿宋_GB2312" w:eastAsia="仿宋_GB2312" w:cs="仿宋_GB2312"/>
          <w:sz w:val="32"/>
          <w:szCs w:val="32"/>
          <w:lang w:val="en-US" w:eastAsia="zh-CN"/>
        </w:rPr>
        <w:t>485.31</w:t>
      </w:r>
      <w:r>
        <w:rPr>
          <w:rFonts w:hint="eastAsia" w:ascii="仿宋_GB2312" w:hAnsi="仿宋_GB2312" w:eastAsia="仿宋_GB2312" w:cs="仿宋_GB2312"/>
          <w:sz w:val="32"/>
          <w:szCs w:val="32"/>
          <w:lang w:eastAsia="zh-CN"/>
        </w:rPr>
        <w:t>万元，对村级一事一议的补助及美丽乡村建设资金</w:t>
      </w:r>
      <w:r>
        <w:rPr>
          <w:rFonts w:hint="eastAsia" w:ascii="仿宋_GB2312" w:hAnsi="仿宋_GB2312" w:eastAsia="仿宋_GB2312" w:cs="仿宋_GB2312"/>
          <w:sz w:val="32"/>
          <w:szCs w:val="32"/>
          <w:highlight w:val="none"/>
          <w:lang w:val="en-US" w:eastAsia="zh-CN"/>
        </w:rPr>
        <w:t>453.87</w:t>
      </w:r>
      <w:r>
        <w:rPr>
          <w:rFonts w:hint="eastAsia" w:ascii="仿宋_GB2312" w:hAnsi="仿宋_GB2312" w:eastAsia="仿宋_GB2312" w:cs="仿宋_GB2312"/>
          <w:sz w:val="32"/>
          <w:szCs w:val="32"/>
          <w:lang w:val="en-US" w:eastAsia="zh-CN"/>
        </w:rPr>
        <w:t>万元，2020年增加了这部分支出</w:t>
      </w:r>
      <w:r>
        <w:rPr>
          <w:rFonts w:hint="eastAsia" w:ascii="仿宋_GB2312" w:hAnsi="Times New Roman" w:eastAsia="仿宋_GB2312" w:cs="Wingdings"/>
          <w:sz w:val="32"/>
          <w:szCs w:val="32"/>
        </w:rPr>
        <w:t>。具体情况如下：</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w:t>
      </w:r>
      <w:r>
        <w:rPr>
          <w:rFonts w:hint="default" w:ascii="仿宋_GB2312" w:hAnsi="Times New Roman" w:eastAsia="仿宋_GB2312" w:cs="Wingdings"/>
          <w:sz w:val="32"/>
          <w:szCs w:val="32"/>
        </w:rPr>
        <w:t>2277.54</w:t>
      </w:r>
      <w:r>
        <w:rPr>
          <w:rFonts w:hint="eastAsia" w:ascii="仿宋_GB2312" w:hAnsi="Times New Roman" w:eastAsia="仿宋_GB2312" w:cs="Wingdings"/>
          <w:sz w:val="32"/>
          <w:szCs w:val="32"/>
        </w:rPr>
        <w:t>万元，比上年增加</w:t>
      </w:r>
      <w:r>
        <w:rPr>
          <w:rFonts w:hint="default" w:ascii="仿宋_GB2312" w:hAnsi="Times New Roman" w:eastAsia="仿宋_GB2312" w:cs="Wingdings"/>
          <w:sz w:val="32"/>
          <w:szCs w:val="32"/>
        </w:rPr>
        <w:t>908.35</w:t>
      </w:r>
      <w:r>
        <w:rPr>
          <w:rFonts w:hint="eastAsia" w:ascii="仿宋_GB2312" w:hAnsi="Times New Roman" w:eastAsia="仿宋_GB2312" w:cs="Wingdings"/>
          <w:sz w:val="32"/>
          <w:szCs w:val="32"/>
        </w:rPr>
        <w:t>万元；主要是增加农业支持补贴及美丽乡村建设等项目；本年支出</w:t>
      </w:r>
      <w:r>
        <w:rPr>
          <w:rFonts w:hint="eastAsia" w:ascii="仿宋_GB2312" w:hAnsi="仿宋" w:eastAsia="仿宋_GB2312"/>
          <w:b w:val="0"/>
          <w:bCs/>
          <w:sz w:val="32"/>
          <w:szCs w:val="32"/>
          <w:lang w:val="en-US" w:eastAsia="zh-CN"/>
        </w:rPr>
        <w:t>2277.54</w:t>
      </w:r>
      <w:r>
        <w:rPr>
          <w:rFonts w:hint="eastAsia" w:ascii="仿宋_GB2312" w:hAnsi="Times New Roman" w:eastAsia="仿宋_GB2312" w:cs="Wingdings"/>
          <w:sz w:val="32"/>
          <w:szCs w:val="32"/>
        </w:rPr>
        <w:t>万元，比上年增加</w:t>
      </w:r>
      <w:r>
        <w:rPr>
          <w:rFonts w:hint="default" w:ascii="仿宋_GB2312" w:hAnsi="Times New Roman" w:eastAsia="仿宋_GB2312" w:cs="Wingdings"/>
          <w:sz w:val="32"/>
          <w:szCs w:val="32"/>
          <w:lang w:eastAsia="zh-CN"/>
        </w:rPr>
        <w:t>908.35</w:t>
      </w:r>
      <w:r>
        <w:rPr>
          <w:rFonts w:hint="eastAsia" w:ascii="仿宋_GB2312" w:hAnsi="Times New Roman" w:eastAsia="仿宋_GB2312" w:cs="Wingdings"/>
          <w:sz w:val="32"/>
          <w:szCs w:val="32"/>
        </w:rPr>
        <w:t>万元，增长</w:t>
      </w:r>
      <w:r>
        <w:rPr>
          <w:rFonts w:hint="default" w:ascii="仿宋_GB2312" w:hAnsi="Times New Roman" w:eastAsia="仿宋_GB2312" w:cs="Wingdings"/>
          <w:sz w:val="32"/>
          <w:szCs w:val="32"/>
        </w:rPr>
        <w:t>66.34</w:t>
      </w:r>
      <w:r>
        <w:rPr>
          <w:rFonts w:hint="eastAsia" w:ascii="仿宋_GB2312" w:hAnsi="Times New Roman" w:eastAsia="仿宋_GB2312" w:cs="Wingdings"/>
          <w:sz w:val="32"/>
          <w:szCs w:val="32"/>
        </w:rPr>
        <w:t>%，主要是增加农业支持补贴及美丽乡村建设等项目。</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w:t>
      </w:r>
      <w:r>
        <w:rPr>
          <w:rFonts w:hint="default" w:ascii="仿宋_GB2312" w:hAnsi="Times New Roman" w:eastAsia="仿宋_GB2312" w:cs="Wingdings"/>
          <w:sz w:val="32"/>
          <w:szCs w:val="32"/>
        </w:rPr>
        <w:t>25.27</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25.27</w:t>
      </w:r>
      <w:r>
        <w:rPr>
          <w:rFonts w:hint="eastAsia" w:ascii="仿宋_GB2312" w:hAnsi="Times New Roman" w:eastAsia="仿宋_GB2312" w:cs="Wingdings"/>
          <w:sz w:val="32"/>
          <w:szCs w:val="32"/>
        </w:rPr>
        <w:t>万元，主要原因是增加农村基础设施建设；本年支出</w:t>
      </w:r>
      <w:r>
        <w:rPr>
          <w:rFonts w:hint="eastAsia" w:ascii="仿宋_GB2312" w:hAnsi="Times New Roman" w:eastAsia="仿宋_GB2312" w:cs="Wingdings"/>
          <w:sz w:val="32"/>
          <w:szCs w:val="32"/>
          <w:lang w:val="en-US" w:eastAsia="zh-CN"/>
        </w:rPr>
        <w:t>25.27</w:t>
      </w:r>
      <w:r>
        <w:rPr>
          <w:rFonts w:hint="eastAsia" w:ascii="仿宋_GB2312" w:hAnsi="Times New Roman" w:eastAsia="仿宋_GB2312" w:cs="Wingdings"/>
          <w:sz w:val="32"/>
          <w:szCs w:val="32"/>
        </w:rPr>
        <w:t>万元，比上年增加</w:t>
      </w:r>
      <w:r>
        <w:rPr>
          <w:rFonts w:hint="default" w:ascii="仿宋_GB2312" w:hAnsi="Times New Roman" w:eastAsia="仿宋_GB2312" w:cs="Wingdings"/>
          <w:sz w:val="32"/>
          <w:szCs w:val="32"/>
        </w:rPr>
        <w:t>25.27</w:t>
      </w:r>
      <w:r>
        <w:rPr>
          <w:rFonts w:hint="eastAsia" w:ascii="仿宋_GB2312" w:hAnsi="Times New Roman" w:eastAsia="仿宋_GB2312" w:cs="Wingdings"/>
          <w:sz w:val="32"/>
          <w:szCs w:val="32"/>
        </w:rPr>
        <w:t>万元，主要是增加农村基础设施建设。</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仿宋_GB2312" w:eastAsia="仿宋_GB2312" w:cs="仿宋_GB2312"/>
          <w:sz w:val="32"/>
          <w:szCs w:val="32"/>
          <w:lang w:val="en-US" w:eastAsia="zh-CN"/>
        </w:rPr>
        <w:t>2302.81</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157.40</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839.87</w:t>
      </w:r>
      <w:r>
        <w:rPr>
          <w:rFonts w:hint="eastAsia" w:ascii="仿宋_GB2312" w:hAnsi="Times New Roman" w:eastAsia="仿宋_GB2312" w:cs="Wingdings"/>
          <w:sz w:val="32"/>
          <w:szCs w:val="32"/>
        </w:rPr>
        <w:t>万元，决算数大于预算数主要原因是</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增加了农业支持补贴及美丽乡村建设等项目</w:t>
      </w:r>
      <w:r>
        <w:rPr>
          <w:rFonts w:hint="eastAsia" w:ascii="仿宋_GB2312" w:hAnsi="Times New Roman" w:eastAsia="仿宋_GB2312" w:cs="Wingdings"/>
          <w:sz w:val="32"/>
          <w:szCs w:val="32"/>
        </w:rPr>
        <w:t>；本年支出</w:t>
      </w:r>
      <w:r>
        <w:rPr>
          <w:rFonts w:hint="eastAsia" w:ascii="仿宋_GB2312" w:hAnsi="仿宋_GB2312" w:eastAsia="仿宋_GB2312" w:cs="仿宋_GB2312"/>
          <w:sz w:val="32"/>
          <w:szCs w:val="32"/>
          <w:lang w:val="en-US" w:eastAsia="zh-CN"/>
        </w:rPr>
        <w:t>2302.81</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157.40</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839.87</w:t>
      </w:r>
      <w:r>
        <w:rPr>
          <w:rFonts w:hint="eastAsia" w:ascii="仿宋_GB2312" w:hAnsi="Times New Roman" w:eastAsia="仿宋_GB2312" w:cs="Wingdings"/>
          <w:sz w:val="32"/>
          <w:szCs w:val="32"/>
        </w:rPr>
        <w:t>万元，决算数大于预算数主要原因是主要是</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增加了农业支持补贴及美丽乡村建设等项目</w:t>
      </w:r>
      <w:r>
        <w:rPr>
          <w:rFonts w:hint="eastAsia" w:ascii="仿宋_GB2312" w:hAnsi="Times New Roman" w:eastAsia="仿宋_GB2312" w:cs="Wingdings"/>
          <w:sz w:val="32"/>
          <w:szCs w:val="32"/>
        </w:rPr>
        <w:t>。具体情况如下：</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一般公共预算财政拨款本年收入完成年初预算</w:t>
      </w:r>
      <w:r>
        <w:rPr>
          <w:rFonts w:hint="default" w:ascii="仿宋_GB2312" w:hAnsi="Times New Roman" w:eastAsia="仿宋_GB2312" w:cs="Wingdings"/>
          <w:sz w:val="32"/>
          <w:szCs w:val="32"/>
        </w:rPr>
        <w:t>155.68</w:t>
      </w:r>
      <w:r>
        <w:rPr>
          <w:rFonts w:hint="eastAsia" w:ascii="仿宋_GB2312" w:hAnsi="Times New Roman" w:eastAsia="仿宋_GB2312" w:cs="Wingdings"/>
          <w:sz w:val="32"/>
          <w:szCs w:val="32"/>
        </w:rPr>
        <w:t>%，比年初预算增加</w:t>
      </w:r>
      <w:r>
        <w:rPr>
          <w:rFonts w:hint="default" w:ascii="仿宋_GB2312" w:hAnsi="Times New Roman" w:eastAsia="仿宋_GB2312" w:cs="Wingdings"/>
          <w:sz w:val="32"/>
          <w:szCs w:val="32"/>
        </w:rPr>
        <w:t>814.6</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万元，主要是增加农业支持补贴及美丽乡村建设等项目；支出完成年初预算</w:t>
      </w:r>
      <w:r>
        <w:rPr>
          <w:rFonts w:hint="default" w:ascii="仿宋_GB2312" w:hAnsi="Times New Roman" w:eastAsia="仿宋_GB2312" w:cs="Wingdings"/>
          <w:sz w:val="32"/>
          <w:szCs w:val="32"/>
        </w:rPr>
        <w:t>155.68</w:t>
      </w:r>
      <w:r>
        <w:rPr>
          <w:rFonts w:hint="eastAsia" w:ascii="仿宋_GB2312" w:hAnsi="Times New Roman" w:eastAsia="仿宋_GB2312" w:cs="Wingdings"/>
          <w:sz w:val="32"/>
          <w:szCs w:val="32"/>
        </w:rPr>
        <w:t>%，比年初预算增加</w:t>
      </w:r>
      <w:r>
        <w:rPr>
          <w:rFonts w:hint="default" w:ascii="仿宋_GB2312" w:hAnsi="Times New Roman" w:eastAsia="仿宋_GB2312" w:cs="Wingdings"/>
          <w:sz w:val="32"/>
          <w:szCs w:val="32"/>
        </w:rPr>
        <w:t>814.6</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万元，主要是增加农业支持补贴及美丽乡村建设等项目。</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政府性基金预算财政拨款年初预算</w:t>
      </w:r>
      <w:r>
        <w:rPr>
          <w:rFonts w:hint="default" w:ascii="仿宋_GB2312" w:hAnsi="Times New Roman" w:eastAsia="仿宋_GB2312" w:cs="Wingdings"/>
          <w:sz w:val="32"/>
          <w:szCs w:val="32"/>
        </w:rPr>
        <w:t>0万元</w:t>
      </w:r>
      <w:r>
        <w:rPr>
          <w:rFonts w:hint="eastAsia" w:ascii="仿宋_GB2312" w:hAnsi="Times New Roman" w:eastAsia="仿宋_GB2312" w:cs="Wingdings"/>
          <w:sz w:val="32"/>
          <w:szCs w:val="32"/>
        </w:rPr>
        <w:t>，比年初预算增加</w:t>
      </w:r>
      <w:r>
        <w:rPr>
          <w:rFonts w:hint="default" w:ascii="仿宋_GB2312" w:hAnsi="Times New Roman" w:eastAsia="仿宋_GB2312" w:cs="Wingdings"/>
          <w:sz w:val="32"/>
          <w:szCs w:val="32"/>
        </w:rPr>
        <w:t>25.27</w:t>
      </w:r>
      <w:r>
        <w:rPr>
          <w:rFonts w:hint="eastAsia" w:ascii="仿宋_GB2312" w:hAnsi="Times New Roman" w:eastAsia="仿宋_GB2312" w:cs="Wingdings"/>
          <w:sz w:val="32"/>
          <w:szCs w:val="32"/>
        </w:rPr>
        <w:t>万元，主要是增加农村基础设施建设；支出比年初预算增加</w:t>
      </w:r>
      <w:r>
        <w:rPr>
          <w:rFonts w:hint="default" w:ascii="仿宋_GB2312" w:hAnsi="Times New Roman" w:eastAsia="仿宋_GB2312" w:cs="Wingdings"/>
          <w:sz w:val="32"/>
          <w:szCs w:val="32"/>
        </w:rPr>
        <w:t>25.27</w:t>
      </w:r>
      <w:r>
        <w:rPr>
          <w:rFonts w:hint="eastAsia" w:ascii="仿宋_GB2312" w:hAnsi="Times New Roman" w:eastAsia="仿宋_GB2312" w:cs="Wingdings"/>
          <w:sz w:val="32"/>
          <w:szCs w:val="32"/>
        </w:rPr>
        <w:t>万元，主要是增加农村基础设施建设。</w:t>
      </w:r>
    </w:p>
    <w:p>
      <w:pPr>
        <w:numPr>
          <w:ilvl w:val="0"/>
          <w:numId w:val="3"/>
        </w:numPr>
        <w:adjustRightInd w:val="0"/>
        <w:snapToGrid w:val="0"/>
        <w:spacing w:line="600" w:lineRule="exact"/>
        <w:ind w:left="840" w:leftChars="0" w:firstLineChars="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楷体_GB2312" w:hAnsi="Times New Roman" w:eastAsia="楷体_GB2312" w:cs="Mongolian Baiti"/>
          <w:b/>
          <w:bCs/>
          <w:sz w:val="32"/>
          <w:szCs w:val="32"/>
        </w:rPr>
      </w:pPr>
      <w:r>
        <w:rPr>
          <w:rFonts w:hint="eastAsia" w:ascii="仿宋_GB2312" w:hAnsi="Times New Roman" w:eastAsia="仿宋_GB2312" w:cs="Wingdings"/>
          <w:sz w:val="32"/>
          <w:szCs w:val="32"/>
        </w:rPr>
        <w:t>2020 年度财政拨款支出</w:t>
      </w:r>
      <w:r>
        <w:rPr>
          <w:rFonts w:hint="eastAsia" w:ascii="仿宋_GB2312" w:hAnsi="仿宋_GB2312" w:eastAsia="仿宋_GB2312" w:cs="仿宋_GB2312"/>
          <w:sz w:val="32"/>
          <w:szCs w:val="32"/>
          <w:lang w:val="en-US" w:eastAsia="zh-CN"/>
        </w:rPr>
        <w:t>2302.81</w:t>
      </w:r>
      <w:r>
        <w:rPr>
          <w:rFonts w:hint="eastAsia" w:ascii="仿宋_GB2312" w:hAnsi="Times New Roman" w:eastAsia="仿宋_GB2312" w:cs="Wingdings"/>
          <w:sz w:val="32"/>
          <w:szCs w:val="32"/>
        </w:rPr>
        <w:t>万元，主要用于以下方面</w:t>
      </w:r>
      <w:r>
        <w:rPr>
          <w:rFonts w:hint="eastAsia" w:ascii="仿宋_GB2312" w:hAnsi="仿宋" w:eastAsia="仿宋_GB2312"/>
          <w:b w:val="0"/>
          <w:bCs/>
          <w:sz w:val="32"/>
          <w:szCs w:val="32"/>
          <w:lang w:val="en-US" w:eastAsia="zh-CN"/>
        </w:rPr>
        <w:t>其中一般公共服务支出2277.54万元，占总支出的99.00%，其中文化旅游体育与传媒支出24.00万元，占总支出的1.00%，社会保障和就业支出 99.90万元，占总支出的4.34%，卫生健康支出37.69万元，占总支出的1.63%，农林水支出1289.48万元，占总支出的56%，住房保障支出39.49万元，占总支出的1.71%</w:t>
      </w:r>
      <w:r>
        <w:rPr>
          <w:rFonts w:hint="eastAsia" w:ascii="仿宋_GB2312" w:hAnsi="Times New Roman" w:eastAsia="仿宋_GB2312" w:cs="Wingdings"/>
          <w:sz w:val="32"/>
          <w:szCs w:val="32"/>
        </w:rPr>
        <w:t>。</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2277.54</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1682.21</w:t>
      </w:r>
      <w:r>
        <w:rPr>
          <w:rFonts w:hint="eastAsia" w:ascii="仿宋_GB2312" w:hAnsi="Times New Roman" w:eastAsia="仿宋_GB2312" w:cs="Wingdings"/>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hAnsi="Times New Roman" w:eastAsia="仿宋_GB2312" w:cs="Wingdings"/>
          <w:sz w:val="32"/>
          <w:szCs w:val="32"/>
          <w:lang w:val="en-US" w:eastAsia="zh-CN"/>
        </w:rPr>
        <w:t>131.69</w:t>
      </w:r>
      <w:r>
        <w:rPr>
          <w:rFonts w:hint="eastAsia" w:ascii="仿宋_GB2312" w:hAnsi="Times New Roman" w:eastAsia="仿宋_GB2312" w:cs="Wingdings"/>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r>
        <w:rPr>
          <w:rFonts w:hint="eastAsia" w:ascii="仿宋_GB2312" w:hAnsi="Times New Roman" w:eastAsia="仿宋_GB2312" w:cs="Wingdings"/>
          <w:sz w:val="32"/>
          <w:szCs w:val="32"/>
          <w:lang w:eastAsia="zh-CN"/>
        </w:rPr>
        <w:t>资本性支出</w:t>
      </w:r>
      <w:r>
        <w:rPr>
          <w:rFonts w:hint="eastAsia" w:ascii="仿宋_GB2312" w:hAnsi="Times New Roman" w:eastAsia="仿宋_GB2312" w:cs="Wingdings"/>
          <w:sz w:val="32"/>
          <w:szCs w:val="32"/>
          <w:lang w:val="en-US" w:eastAsia="zh-CN"/>
        </w:rPr>
        <w:t>463.37万元，主要包括房屋建筑物购建、办公设备购置、基础设施建设。</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default" w:ascii="仿宋_GB2312" w:hAnsi="Times New Roman" w:eastAsia="仿宋_GB2312" w:cs="Wingdings"/>
          <w:sz w:val="32"/>
          <w:szCs w:val="32"/>
        </w:rPr>
        <w:t>6</w:t>
      </w:r>
      <w:r>
        <w:rPr>
          <w:rFonts w:hint="eastAsia" w:ascii="仿宋_GB2312" w:hAnsi="Times New Roman" w:eastAsia="仿宋_GB2312" w:cs="Wingdings"/>
          <w:sz w:val="32"/>
          <w:szCs w:val="32"/>
          <w:lang w:val="en-US" w:eastAsia="zh-CN"/>
        </w:rPr>
        <w:t>.00</w:t>
      </w:r>
      <w:r>
        <w:rPr>
          <w:rFonts w:hint="eastAsia" w:ascii="仿宋_GB2312" w:hAnsi="Times New Roman" w:eastAsia="仿宋_GB2312" w:cs="Wingdings"/>
          <w:sz w:val="32"/>
          <w:szCs w:val="32"/>
        </w:rPr>
        <w:t>万元，支出决算为</w:t>
      </w:r>
      <w:r>
        <w:rPr>
          <w:rFonts w:hint="default" w:ascii="仿宋_GB2312" w:hAnsi="Times New Roman" w:eastAsia="仿宋_GB2312" w:cs="Wingdings"/>
          <w:sz w:val="32"/>
          <w:szCs w:val="32"/>
        </w:rPr>
        <w:t>4.16</w:t>
      </w:r>
      <w:r>
        <w:rPr>
          <w:rFonts w:hint="eastAsia" w:ascii="仿宋_GB2312" w:hAnsi="Times New Roman" w:eastAsia="仿宋_GB2312" w:cs="Wingdings"/>
          <w:sz w:val="32"/>
          <w:szCs w:val="32"/>
        </w:rPr>
        <w:t>元，完成预算的</w:t>
      </w:r>
      <w:r>
        <w:rPr>
          <w:rFonts w:hint="default" w:ascii="仿宋_GB2312" w:hAnsi="Times New Roman" w:eastAsia="仿宋_GB2312" w:cs="Wingdings"/>
          <w:sz w:val="32"/>
          <w:szCs w:val="32"/>
        </w:rPr>
        <w:t>69.33</w:t>
      </w:r>
      <w:r>
        <w:rPr>
          <w:rFonts w:hint="eastAsia" w:ascii="仿宋_GB2312" w:hAnsi="Times New Roman" w:eastAsia="仿宋_GB2312" w:cs="Wingdings"/>
          <w:sz w:val="32"/>
          <w:szCs w:val="32"/>
        </w:rPr>
        <w:t>%,较预算减少</w:t>
      </w:r>
      <w:r>
        <w:rPr>
          <w:rFonts w:hint="default" w:ascii="仿宋_GB2312" w:hAnsi="Times New Roman" w:eastAsia="仿宋_GB2312" w:cs="Wingdings"/>
          <w:sz w:val="32"/>
          <w:szCs w:val="32"/>
        </w:rPr>
        <w:t>1.84</w:t>
      </w:r>
      <w:r>
        <w:rPr>
          <w:rFonts w:hint="eastAsia" w:ascii="仿宋_GB2312" w:hAnsi="Times New Roman" w:eastAsia="仿宋_GB2312" w:cs="Wingdings"/>
          <w:sz w:val="32"/>
          <w:szCs w:val="32"/>
        </w:rPr>
        <w:t>万元，降低</w:t>
      </w:r>
      <w:r>
        <w:rPr>
          <w:rFonts w:hint="default" w:ascii="仿宋_GB2312" w:hAnsi="Times New Roman" w:eastAsia="仿宋_GB2312" w:cs="Wingdings"/>
          <w:sz w:val="32"/>
          <w:szCs w:val="32"/>
        </w:rPr>
        <w:t>30.67</w:t>
      </w:r>
      <w:r>
        <w:rPr>
          <w:rFonts w:hint="eastAsia" w:ascii="仿宋_GB2312" w:hAnsi="Times New Roman" w:eastAsia="仿宋_GB2312" w:cs="Wingdings"/>
          <w:sz w:val="32"/>
          <w:szCs w:val="32"/>
        </w:rPr>
        <w:t>%，主要是主要是</w:t>
      </w:r>
      <w:r>
        <w:rPr>
          <w:rFonts w:hint="eastAsia" w:ascii="仿宋_GB2312" w:hAnsi="仿宋_GB2312" w:eastAsia="仿宋_GB2312" w:cs="仿宋_GB2312"/>
          <w:sz w:val="32"/>
          <w:szCs w:val="32"/>
        </w:rPr>
        <w:t>厉行节约，压缩三公经费支出</w:t>
      </w:r>
      <w:r>
        <w:rPr>
          <w:rFonts w:hint="eastAsia" w:ascii="仿宋_GB2312" w:hAnsi="Times New Roman" w:eastAsia="仿宋_GB2312" w:cs="Wingdings"/>
          <w:sz w:val="32"/>
          <w:szCs w:val="32"/>
        </w:rPr>
        <w:t>；较2019年度减少</w:t>
      </w:r>
      <w:r>
        <w:rPr>
          <w:rFonts w:hint="eastAsia" w:ascii="仿宋_GB2312" w:hAnsi="Times New Roman" w:eastAsia="仿宋_GB2312" w:cs="Wingdings"/>
          <w:sz w:val="32"/>
          <w:szCs w:val="32"/>
          <w:lang w:val="en-US" w:eastAsia="zh-CN"/>
        </w:rPr>
        <w:t>1.44</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25.75</w:t>
      </w:r>
      <w:r>
        <w:rPr>
          <w:rFonts w:hint="eastAsia" w:ascii="仿宋_GB2312" w:hAnsi="Times New Roman" w:eastAsia="仿宋_GB2312" w:cs="Wingdings"/>
          <w:sz w:val="32"/>
          <w:szCs w:val="32"/>
        </w:rPr>
        <w:t>%，主要是</w:t>
      </w:r>
      <w:r>
        <w:rPr>
          <w:rFonts w:hint="eastAsia" w:ascii="仿宋_GB2312" w:hAnsi="仿宋_GB2312" w:eastAsia="仿宋_GB2312" w:cs="仿宋_GB2312"/>
          <w:sz w:val="32"/>
          <w:szCs w:val="32"/>
        </w:rPr>
        <w:t>厉行节约，压缩三公经费支出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sz w:val="32"/>
          <w:szCs w:val="32"/>
        </w:rPr>
        <w:t>本部门2020年因公出国（境）费支出0万元，完成预算的100%。</w:t>
      </w:r>
      <w:r>
        <w:rPr>
          <w:rFonts w:hint="eastAsia" w:ascii="仿宋_GB2312" w:hAnsi="Times New Roman" w:eastAsia="仿宋_GB2312" w:cs="Wingdings"/>
          <w:sz w:val="32"/>
          <w:szCs w:val="32"/>
        </w:rPr>
        <w:t>因公出国（境）团组0个、共0人、参加其他单位组织的因公出国（境）团组0个、共0人，无本单位组织的出国（境）团组。因公出国（境）费支出较预算无变化。</w:t>
      </w:r>
    </w:p>
    <w:p>
      <w:pPr>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4.16</w:t>
      </w:r>
      <w:r>
        <w:rPr>
          <w:rFonts w:hint="eastAsia" w:ascii="仿宋_GB2312" w:hAnsi="仿宋_GB2312" w:eastAsia="仿宋_GB2312" w:cs="仿宋_GB2312"/>
          <w:b w:val="0"/>
          <w:bCs w:val="0"/>
          <w:sz w:val="32"/>
          <w:szCs w:val="32"/>
          <w:lang w:eastAsia="zh-CN"/>
        </w:rPr>
        <w:t>万元，完成预算的</w:t>
      </w:r>
      <w:r>
        <w:rPr>
          <w:rFonts w:hint="eastAsia" w:ascii="仿宋_GB2312" w:hAnsi="Times New Roman" w:eastAsia="仿宋_GB2312" w:cs="Wingdings"/>
          <w:sz w:val="32"/>
          <w:szCs w:val="32"/>
          <w:lang w:val="en-US" w:eastAsia="zh-CN"/>
        </w:rPr>
        <w:t>69.33</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1.84</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30.67</w:t>
      </w:r>
      <w:r>
        <w:rPr>
          <w:rFonts w:hint="eastAsia" w:ascii="仿宋_GB2312" w:hAnsi="Times New Roman" w:eastAsia="仿宋_GB2312" w:cs="Wingdings"/>
          <w:sz w:val="32"/>
          <w:szCs w:val="32"/>
        </w:rPr>
        <w:t>%,主要是</w:t>
      </w:r>
      <w:r>
        <w:rPr>
          <w:rFonts w:hint="eastAsia" w:ascii="仿宋_GB2312" w:hAnsi="仿宋_GB2312" w:eastAsia="仿宋_GB2312" w:cs="仿宋_GB2312"/>
          <w:sz w:val="32"/>
          <w:szCs w:val="32"/>
        </w:rPr>
        <w:t>厉行节约，压缩三公经费支出</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1.44</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25.75</w:t>
      </w:r>
      <w:r>
        <w:rPr>
          <w:rFonts w:hint="eastAsia" w:ascii="仿宋_GB2312" w:hAnsi="Times New Roman" w:eastAsia="仿宋_GB2312" w:cs="Wingdings"/>
          <w:sz w:val="32"/>
          <w:szCs w:val="32"/>
        </w:rPr>
        <w:t>%,主要是</w:t>
      </w:r>
      <w:r>
        <w:rPr>
          <w:rFonts w:hint="eastAsia" w:ascii="仿宋_GB2312" w:hAnsi="仿宋_GB2312" w:eastAsia="仿宋_GB2312" w:cs="仿宋_GB2312"/>
          <w:sz w:val="32"/>
          <w:szCs w:val="32"/>
        </w:rPr>
        <w:t>厉行节约，压缩三公经费支出。</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本部门2020年度公务用车购置量0辆，发生“公务用车购置”经费支出0万元。公务用车购置费支出较预算无变化；较上年无变化。</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,发生运行维护费支出4.16万元，</w:t>
      </w:r>
      <w:r>
        <w:rPr>
          <w:rFonts w:hint="eastAsia" w:ascii="仿宋_GB2312" w:hAnsi="Times New Roman" w:eastAsia="仿宋_GB2312" w:cs="Wingdings"/>
          <w:sz w:val="32"/>
          <w:szCs w:val="32"/>
        </w:rPr>
        <w:t>。公车运行维护费支出较预算减少</w:t>
      </w:r>
      <w:r>
        <w:rPr>
          <w:rFonts w:hint="eastAsia" w:ascii="仿宋_GB2312" w:hAnsi="Times New Roman" w:eastAsia="仿宋_GB2312" w:cs="Wingdings"/>
          <w:sz w:val="32"/>
          <w:szCs w:val="32"/>
          <w:lang w:val="en-US" w:eastAsia="zh-CN"/>
        </w:rPr>
        <w:t>1.84</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30.67</w:t>
      </w:r>
      <w:r>
        <w:rPr>
          <w:rFonts w:hint="eastAsia" w:ascii="仿宋_GB2312" w:hAnsi="Times New Roman" w:eastAsia="仿宋_GB2312" w:cs="Wingdings"/>
          <w:sz w:val="32"/>
          <w:szCs w:val="32"/>
        </w:rPr>
        <w:t>%,主要是</w:t>
      </w:r>
      <w:r>
        <w:rPr>
          <w:rFonts w:hint="eastAsia" w:ascii="仿宋_GB2312" w:hAnsi="仿宋_GB2312" w:eastAsia="仿宋_GB2312" w:cs="仿宋_GB2312"/>
          <w:sz w:val="32"/>
          <w:szCs w:val="32"/>
        </w:rPr>
        <w:t>厉行节约，压缩三公经费支出</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1.44</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25.75</w:t>
      </w:r>
      <w:r>
        <w:rPr>
          <w:rFonts w:hint="eastAsia" w:ascii="仿宋_GB2312" w:hAnsi="Times New Roman" w:eastAsia="仿宋_GB2312" w:cs="Wingdings"/>
          <w:sz w:val="32"/>
          <w:szCs w:val="32"/>
        </w:rPr>
        <w:t>%,主要是</w:t>
      </w:r>
      <w:r>
        <w:rPr>
          <w:rFonts w:hint="eastAsia" w:ascii="仿宋_GB2312" w:hAnsi="仿宋_GB2312" w:eastAsia="仿宋_GB2312" w:cs="仿宋_GB2312"/>
          <w:sz w:val="32"/>
          <w:szCs w:val="32"/>
        </w:rPr>
        <w:t>厉行节约，压缩三公经费支出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sz w:val="32"/>
          <w:szCs w:val="32"/>
        </w:rPr>
        <w:t>本部门2020年公务</w:t>
      </w:r>
      <w:r>
        <w:rPr>
          <w:rFonts w:hint="eastAsia" w:ascii="仿宋_GB2312" w:hAnsi="仿宋_GB2312" w:eastAsia="仿宋_GB2312" w:cs="仿宋_GB2312"/>
          <w:sz w:val="32"/>
          <w:szCs w:val="32"/>
          <w:lang w:val="en-US" w:eastAsia="zh-CN"/>
        </w:rPr>
        <w:t>接待</w:t>
      </w:r>
      <w:r>
        <w:rPr>
          <w:rFonts w:hint="eastAsia" w:ascii="仿宋_GB2312" w:hAnsi="仿宋_GB2312" w:eastAsia="仿宋_GB2312" w:cs="仿宋_GB2312"/>
          <w:sz w:val="32"/>
          <w:szCs w:val="32"/>
        </w:rPr>
        <w:t>费支出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万元。发生</w:t>
      </w:r>
      <w:r>
        <w:rPr>
          <w:rFonts w:hint="eastAsia" w:ascii="仿宋_GB2312" w:hAnsi="Times New Roman" w:eastAsia="仿宋_GB2312" w:cs="Wingdings"/>
          <w:sz w:val="32"/>
          <w:szCs w:val="32"/>
        </w:rPr>
        <w:t>公务接待共0批次、0人次。公务接待费支出较预算减少0.94万元，降低100%,主要是没有发生公务接待；较上年度减少0万元，降低0%,主要是2019年、2020年均未发生公务接待。</w:t>
      </w:r>
    </w:p>
    <w:p>
      <w:pPr>
        <w:adjustRightInd w:val="0"/>
        <w:snapToGrid w:val="0"/>
        <w:spacing w:line="600" w:lineRule="exact"/>
        <w:ind w:firstLine="640" w:firstLineChars="200"/>
        <w:rPr>
          <w:rFonts w:ascii="仿宋_GB2312" w:hAnsi="Times New Roman" w:eastAsia="仿宋_GB2312" w:cs="Wingdings"/>
          <w:sz w:val="32"/>
          <w:szCs w:val="32"/>
          <w:highlight w:val="yellow"/>
        </w:rPr>
      </w:pP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1327.50</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；政府性基金预算一级项目</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25.27</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组织对南辛庄村2018年扶持集体经济发展项目</w:t>
      </w:r>
      <w:r>
        <w:rPr>
          <w:rFonts w:hint="eastAsia" w:ascii="仿宋_GB2312" w:hAnsi="仿宋_GB2312" w:eastAsia="仿宋_GB2312" w:cs="仿宋_GB2312"/>
          <w:sz w:val="32"/>
          <w:szCs w:val="32"/>
          <w:lang w:eastAsia="zh-CN"/>
        </w:rPr>
        <w:t>，南辛庄村2018年美丽乡村样板村建设，2018年良贾村活动场所建设，种粮一次性补贴，维稳经费，重点信访人、涉军人员的信访稳定经费，2017年南韩村镇一事一议项目，东村曹立华困难救助款，完善镇政府配套设施（</w:t>
      </w:r>
      <w:r>
        <w:rPr>
          <w:rFonts w:hint="eastAsia" w:ascii="仿宋_GB2312" w:hAnsi="仿宋_GB2312" w:eastAsia="仿宋_GB2312" w:cs="仿宋_GB2312"/>
          <w:sz w:val="32"/>
          <w:szCs w:val="32"/>
          <w:lang w:val="en-US" w:eastAsia="zh-CN"/>
        </w:rPr>
        <w:t>2个</w:t>
      </w:r>
      <w:r>
        <w:rPr>
          <w:rFonts w:hint="eastAsia" w:ascii="仿宋_GB2312" w:hAnsi="仿宋_GB2312" w:eastAsia="仿宋_GB2312" w:cs="仿宋_GB2312"/>
          <w:sz w:val="32"/>
          <w:szCs w:val="32"/>
          <w:lang w:eastAsia="zh-CN"/>
        </w:rPr>
        <w:t>），2019年省级农村综合改革转移支付资金保财农改[2019]1号，2019年中央农村综合改革转移支付资金保财农改[2019]4号（</w:t>
      </w:r>
      <w:r>
        <w:rPr>
          <w:rFonts w:hint="eastAsia" w:ascii="仿宋_GB2312" w:hAnsi="仿宋_GB2312" w:eastAsia="仿宋_GB2312" w:cs="仿宋_GB2312"/>
          <w:sz w:val="32"/>
          <w:szCs w:val="32"/>
          <w:lang w:val="en-US" w:eastAsia="zh-CN"/>
        </w:rPr>
        <w:t>2个</w:t>
      </w:r>
      <w:r>
        <w:rPr>
          <w:rFonts w:hint="eastAsia" w:ascii="仿宋_GB2312" w:hAnsi="仿宋_GB2312" w:eastAsia="仿宋_GB2312" w:cs="仿宋_GB2312"/>
          <w:sz w:val="32"/>
          <w:szCs w:val="32"/>
          <w:lang w:eastAsia="zh-CN"/>
        </w:rPr>
        <w:t>），2019年扶持壮大村级集体经济市级财政补助资金保财农改[2019]5号，2020年7-9月份财政局农村“两委”干部补贴资金，追加9月份农村“两委”干部补贴，韩村镇防控经费，(综）南辛庄村2014年美丽乡村建设排水管道及路测石，村官工资保险，村干部基础职务补贴，正常离任村干部生活补贴，村干部保险，服务群众专项、村级办公、党组织活动经费，基层组织运转经费和党建提升，东村曹立华困难救助款农村文化建设资金，</w:t>
      </w:r>
      <w:r>
        <w:rPr>
          <w:rFonts w:hint="eastAsia" w:ascii="仿宋_GB2312" w:hAnsi="仿宋_GB2312" w:eastAsia="仿宋_GB2312" w:cs="仿宋_GB2312"/>
          <w:sz w:val="32"/>
          <w:szCs w:val="32"/>
        </w:rPr>
        <w:t>一级项目开展了部门评价，涉及一般公共预算支出</w:t>
      </w:r>
      <w:r>
        <w:rPr>
          <w:rFonts w:hint="eastAsia" w:ascii="仿宋_GB2312" w:hAnsi="仿宋_GB2312" w:eastAsia="仿宋_GB2312" w:cs="仿宋_GB2312"/>
          <w:sz w:val="32"/>
          <w:szCs w:val="32"/>
          <w:lang w:val="en-US" w:eastAsia="zh-CN"/>
        </w:rPr>
        <w:t>1327.50</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25.27</w:t>
      </w:r>
      <w:r>
        <w:rPr>
          <w:rFonts w:hint="eastAsia" w:ascii="仿宋_GB2312" w:hAnsi="仿宋_GB2312" w:eastAsia="仿宋_GB2312" w:cs="仿宋_GB2312"/>
          <w:sz w:val="32"/>
          <w:szCs w:val="32"/>
        </w:rPr>
        <w:t>万元。</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 南辛庄村2018年扶持集体经济发展项目项目及</w:t>
      </w:r>
      <w:r>
        <w:rPr>
          <w:rFonts w:hint="eastAsia" w:ascii="仿宋_GB2312" w:hAnsi="仿宋_GB2312" w:eastAsia="仿宋_GB2312" w:cs="仿宋_GB2312"/>
          <w:sz w:val="32"/>
          <w:szCs w:val="32"/>
          <w:lang w:eastAsia="zh-CN"/>
        </w:rPr>
        <w:t>维稳经费</w:t>
      </w:r>
      <w:r>
        <w:rPr>
          <w:rFonts w:hint="eastAsia" w:ascii="仿宋_GB2312" w:hAnsi="仿宋_GB2312" w:eastAsia="仿宋_GB2312" w:cs="仿宋_GB2312"/>
          <w:sz w:val="32"/>
          <w:szCs w:val="32"/>
        </w:rPr>
        <w:t xml:space="preserve"> 项目等</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个项目绩效自评结果。</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南辛庄村2018年扶持集体经济发展项目自评综述：根据年初设定的绩效目标，全年预算数为</w:t>
      </w:r>
      <w:r>
        <w:rPr>
          <w:rFonts w:hint="eastAsia" w:ascii="仿宋_GB2312" w:hAnsi="仿宋_GB2312" w:eastAsia="仿宋_GB2312" w:cs="仿宋_GB2312"/>
          <w:sz w:val="32"/>
          <w:szCs w:val="32"/>
          <w:lang w:val="en-US" w:eastAsia="zh-CN"/>
        </w:rPr>
        <w:t>97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97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南辛庄村2018年美丽乡村样板村建设项目自评综述：根据年初设定的绩效目标，全年预算数为</w:t>
      </w:r>
      <w:r>
        <w:rPr>
          <w:rFonts w:hint="eastAsia" w:ascii="仿宋_GB2312" w:hAnsi="仿宋_GB2312" w:eastAsia="仿宋_GB2312" w:cs="仿宋_GB2312"/>
          <w:sz w:val="32"/>
          <w:szCs w:val="32"/>
          <w:lang w:val="en-US" w:eastAsia="zh-CN"/>
        </w:rPr>
        <w:t>299.11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299.11</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2018年良贾村活动场所建设项目自评综述：根据年初设定的绩效目标，全年预算数为</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种粮一次性补贴</w:t>
      </w:r>
      <w:r>
        <w:rPr>
          <w:rFonts w:hint="eastAsia" w:ascii="仿宋_GB2312" w:hAnsi="仿宋_GB2312" w:eastAsia="仿宋_GB2312" w:cs="仿宋_GB2312"/>
          <w:sz w:val="32"/>
          <w:szCs w:val="32"/>
        </w:rPr>
        <w:t>项目自评综述：根据年初设定的绩效目标，全年预算数为</w:t>
      </w:r>
      <w:r>
        <w:rPr>
          <w:rFonts w:hint="eastAsia" w:ascii="仿宋_GB2312" w:hAnsi="仿宋_GB2312" w:eastAsia="仿宋_GB2312" w:cs="仿宋_GB2312"/>
          <w:sz w:val="32"/>
          <w:szCs w:val="32"/>
          <w:lang w:val="en-US" w:eastAsia="zh-CN"/>
        </w:rPr>
        <w:t>485.31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485.31</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维稳经费项目自评综述：根据年初设定的绩效目标，全年预算数为</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重点信访人、涉军人员的信访稳定经费项目自评综述：根据年初设定的绩效目标，全年预算数为</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由于财政未拨付，</w:t>
      </w:r>
      <w:r>
        <w:rPr>
          <w:rFonts w:hint="eastAsia" w:ascii="仿宋_GB2312" w:hAnsi="仿宋_GB2312" w:eastAsia="仿宋_GB2312" w:cs="仿宋_GB2312"/>
          <w:sz w:val="32"/>
          <w:szCs w:val="32"/>
        </w:rPr>
        <w:t>执行数为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2017年南韩村镇一事一议项目自评综述：根据年初设定的绩效目标，全年预算数为</w:t>
      </w:r>
      <w:r>
        <w:rPr>
          <w:rFonts w:hint="eastAsia" w:ascii="仿宋_GB2312" w:hAnsi="仿宋_GB2312" w:eastAsia="仿宋_GB2312" w:cs="仿宋_GB2312"/>
          <w:sz w:val="32"/>
          <w:szCs w:val="32"/>
          <w:lang w:val="en-US" w:eastAsia="zh-CN"/>
        </w:rPr>
        <w:t>30.37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28.15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92.71%</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东村曹立华困难救助款项目自评综述：根据年初设定的绩效目标，全年预算数为</w:t>
      </w:r>
      <w:r>
        <w:rPr>
          <w:rFonts w:hint="eastAsia" w:ascii="仿宋_GB2312" w:hAnsi="仿宋_GB2312" w:eastAsia="仿宋_GB2312" w:cs="仿宋_GB2312"/>
          <w:sz w:val="32"/>
          <w:szCs w:val="32"/>
          <w:lang w:val="en-US" w:eastAsia="zh-CN"/>
        </w:rPr>
        <w:t>0.6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0.6</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完善镇政府配套设施项目自评综述：根据年初设定的绩效目标，全年预算数为</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完善镇政府配套设施项目自评综述：根据年初设定的绩效目标，全年预算数为</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2019年省级农村综合改革转移支付资金保财农改[2019]1号项目自评综述：根据年初设定的绩效目标，全年预算数为</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由于财政未拨付，</w:t>
      </w:r>
      <w:r>
        <w:rPr>
          <w:rFonts w:hint="eastAsia" w:ascii="仿宋_GB2312" w:hAnsi="仿宋_GB2312" w:eastAsia="仿宋_GB2312" w:cs="仿宋_GB2312"/>
          <w:sz w:val="32"/>
          <w:szCs w:val="32"/>
        </w:rPr>
        <w:t>执行数为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2019年中央农村综合改革转移支付资金保财农改[2019]4号项目自评综述：根据年初设定的绩效目标，全年预算数为</w:t>
      </w:r>
      <w:r>
        <w:rPr>
          <w:rFonts w:hint="eastAsia" w:ascii="仿宋_GB2312" w:hAnsi="仿宋_GB2312" w:eastAsia="仿宋_GB2312" w:cs="仿宋_GB2312"/>
          <w:sz w:val="32"/>
          <w:szCs w:val="32"/>
          <w:lang w:val="en-US" w:eastAsia="zh-CN"/>
        </w:rPr>
        <w:t>80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29.60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37%</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2019年中央农村综合改革转移支付资金保财农改[2019]4号项目自评综述：根据年初设定的绩效目标，全年预算数为</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由于财政未拨付，</w:t>
      </w:r>
      <w:r>
        <w:rPr>
          <w:rFonts w:hint="eastAsia" w:ascii="仿宋_GB2312" w:hAnsi="仿宋_GB2312" w:eastAsia="仿宋_GB2312" w:cs="仿宋_GB2312"/>
          <w:sz w:val="32"/>
          <w:szCs w:val="32"/>
        </w:rPr>
        <w:t>执行数为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2019年扶持壮大村级集体经济市级财政补助资金保财农改[2019]5号项目自评综述：根据年初设定的绩效目标，全年预算数为</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由于财政未拨付，</w:t>
      </w:r>
      <w:r>
        <w:rPr>
          <w:rFonts w:hint="eastAsia" w:ascii="仿宋_GB2312" w:hAnsi="仿宋_GB2312" w:eastAsia="仿宋_GB2312" w:cs="仿宋_GB2312"/>
          <w:sz w:val="32"/>
          <w:szCs w:val="32"/>
        </w:rPr>
        <w:t>执行数为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2020年7-9月份财政局农村“两委”干部补贴资金项目自评综述：根据年初设定的绩效目标，全年预算数为</w:t>
      </w:r>
      <w:r>
        <w:rPr>
          <w:rFonts w:hint="eastAsia" w:ascii="仿宋_GB2312" w:hAnsi="仿宋_GB2312" w:eastAsia="仿宋_GB2312" w:cs="仿宋_GB2312"/>
          <w:sz w:val="32"/>
          <w:szCs w:val="32"/>
          <w:lang w:val="en-US" w:eastAsia="zh-CN"/>
        </w:rPr>
        <w:t>46.57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46.57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追加9月份农村“两委”干部补贴项目自评综述：根据年初设定的绩效目标，全年预算数为</w:t>
      </w:r>
      <w:r>
        <w:rPr>
          <w:rFonts w:hint="eastAsia" w:ascii="仿宋_GB2312" w:hAnsi="仿宋_GB2312" w:eastAsia="仿宋_GB2312" w:cs="仿宋_GB2312"/>
          <w:sz w:val="32"/>
          <w:szCs w:val="32"/>
          <w:lang w:val="en-US" w:eastAsia="zh-CN"/>
        </w:rPr>
        <w:t>15.22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15.22</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韩村镇防控经费项目自评综述：根据年初设定的绩效目标，全年预算数为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(综）南辛庄村2014年美丽乡村建设排水管道及路测石项目自评综述：根据年初设定的绩效目标，全年预算数为</w:t>
      </w:r>
      <w:r>
        <w:rPr>
          <w:rFonts w:hint="eastAsia" w:ascii="仿宋_GB2312" w:hAnsi="仿宋_GB2312" w:eastAsia="仿宋_GB2312" w:cs="仿宋_GB2312"/>
          <w:sz w:val="32"/>
          <w:szCs w:val="32"/>
          <w:lang w:val="en-US" w:eastAsia="zh-CN"/>
        </w:rPr>
        <w:t>25.27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25.27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村官工资保险项目自评综述：根据年初设定的绩效目标，全年预算数为</w:t>
      </w:r>
      <w:r>
        <w:rPr>
          <w:rFonts w:hint="eastAsia" w:ascii="仿宋_GB2312" w:hAnsi="仿宋_GB2312" w:eastAsia="仿宋_GB2312" w:cs="仿宋_GB2312"/>
          <w:sz w:val="32"/>
          <w:szCs w:val="32"/>
          <w:lang w:val="en-US" w:eastAsia="zh-CN"/>
        </w:rPr>
        <w:t>13.20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9.83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74.5%</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村干部基础职务补贴项目自评综述：根据年初设定的绩效目标，全年预算数为</w:t>
      </w:r>
      <w:r>
        <w:rPr>
          <w:rFonts w:hint="eastAsia" w:ascii="仿宋_GB2312" w:hAnsi="仿宋_GB2312" w:eastAsia="仿宋_GB2312" w:cs="仿宋_GB2312"/>
          <w:sz w:val="32"/>
          <w:szCs w:val="32"/>
          <w:lang w:val="en-US" w:eastAsia="zh-CN"/>
        </w:rPr>
        <w:t>195.91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189.95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96.96%</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正常离任村干部生活补贴项目自评综述：根据年初设定的绩效目标，全年预算数为</w:t>
      </w:r>
      <w:r>
        <w:rPr>
          <w:rFonts w:hint="eastAsia" w:ascii="仿宋_GB2312" w:hAnsi="仿宋_GB2312" w:eastAsia="仿宋_GB2312" w:cs="仿宋_GB2312"/>
          <w:sz w:val="32"/>
          <w:szCs w:val="32"/>
          <w:lang w:val="en-US" w:eastAsia="zh-CN"/>
        </w:rPr>
        <w:t>9.2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4.15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45.11%</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村干部保险项目自评综述：根据年初设定的绩效目标，全年预算数为</w:t>
      </w:r>
      <w:r>
        <w:rPr>
          <w:rFonts w:hint="eastAsia" w:ascii="仿宋_GB2312" w:hAnsi="仿宋_GB2312" w:eastAsia="仿宋_GB2312" w:cs="仿宋_GB2312"/>
          <w:sz w:val="32"/>
          <w:szCs w:val="32"/>
          <w:lang w:val="en-US" w:eastAsia="zh-CN"/>
        </w:rPr>
        <w:t>22.70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11.23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49.48%</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服务群众专项、村级办公、党组织活动经费项目自评综述：根据年初设定的绩效目标，全年预算数为</w:t>
      </w:r>
      <w:r>
        <w:rPr>
          <w:rFonts w:hint="eastAsia" w:ascii="仿宋_GB2312" w:hAnsi="仿宋_GB2312" w:eastAsia="仿宋_GB2312" w:cs="仿宋_GB2312"/>
          <w:sz w:val="32"/>
          <w:szCs w:val="32"/>
          <w:lang w:val="en-US" w:eastAsia="zh-CN"/>
        </w:rPr>
        <w:t>42.58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42.58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基层组织运转经费和党建提升项目自评综述：根据年初设定的绩效目标，全年预算数为</w:t>
      </w:r>
      <w:r>
        <w:rPr>
          <w:rFonts w:hint="eastAsia" w:ascii="仿宋_GB2312" w:hAnsi="仿宋_GB2312" w:eastAsia="仿宋_GB2312" w:cs="仿宋_GB2312"/>
          <w:sz w:val="32"/>
          <w:szCs w:val="32"/>
          <w:lang w:val="en-US" w:eastAsia="zh-CN"/>
        </w:rPr>
        <w:t>18.28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18.58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东村曹立华困难救助款项目自评综述：根据年初设定的绩效目标，全年预算数为</w:t>
      </w:r>
      <w:r>
        <w:rPr>
          <w:rFonts w:hint="eastAsia" w:ascii="仿宋_GB2312" w:hAnsi="仿宋_GB2312" w:eastAsia="仿宋_GB2312" w:cs="仿宋_GB2312"/>
          <w:sz w:val="32"/>
          <w:szCs w:val="32"/>
          <w:lang w:val="en-US" w:eastAsia="zh-CN"/>
        </w:rPr>
        <w:t>0.6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0.6</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农村文化建设资金项目自评综述：根据年初设定的绩效目标，全年预算数为</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numId w:val="0"/>
        </w:numPr>
        <w:adjustRightInd w:val="0"/>
        <w:snapToGrid w:val="0"/>
        <w:spacing w:line="600" w:lineRule="exact"/>
        <w:ind w:firstLine="643" w:firstLineChars="200"/>
        <w:rPr>
          <w:rFonts w:ascii="仿宋_GB2312" w:hAnsi="仿宋_GB2312" w:eastAsia="仿宋_GB2312" w:cs="仿宋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财政评价项目绩效评价结果</w:t>
      </w:r>
    </w:p>
    <w:p>
      <w:pPr>
        <w:adjustRightInd w:val="0"/>
        <w:snapToGrid w:val="0"/>
        <w:spacing w:line="6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default" w:ascii="仿宋_GB2312" w:hAnsi="仿宋_GB2312" w:eastAsia="仿宋_GB2312" w:cs="仿宋_GB2312"/>
          <w:sz w:val="32"/>
          <w:szCs w:val="32"/>
        </w:rPr>
        <w:t>31.30</w:t>
      </w:r>
      <w:r>
        <w:rPr>
          <w:rFonts w:hint="eastAsia" w:ascii="仿宋_GB2312" w:hAnsi="仿宋_GB2312" w:eastAsia="仿宋_GB2312" w:cs="仿宋_GB2312"/>
          <w:sz w:val="32"/>
          <w:szCs w:val="32"/>
        </w:rPr>
        <w:t>万元，比2019年度减少</w:t>
      </w:r>
      <w:r>
        <w:rPr>
          <w:rFonts w:hint="default" w:ascii="仿宋_GB2312" w:hAnsi="仿宋_GB2312" w:eastAsia="仿宋_GB2312" w:cs="仿宋_GB2312"/>
          <w:sz w:val="32"/>
          <w:szCs w:val="32"/>
        </w:rPr>
        <w:t>18.01</w:t>
      </w:r>
      <w:r>
        <w:rPr>
          <w:rFonts w:hint="eastAsia" w:ascii="仿宋_GB2312" w:hAnsi="仿宋_GB2312" w:eastAsia="仿宋_GB2312" w:cs="仿宋_GB2312"/>
          <w:sz w:val="32"/>
          <w:szCs w:val="32"/>
        </w:rPr>
        <w:t>万元，降低</w:t>
      </w:r>
      <w:r>
        <w:rPr>
          <w:rFonts w:hint="default" w:ascii="仿宋_GB2312" w:hAnsi="仿宋_GB2312" w:eastAsia="仿宋_GB2312" w:cs="仿宋_GB2312"/>
          <w:sz w:val="32"/>
          <w:szCs w:val="32"/>
        </w:rPr>
        <w:t>36.53</w:t>
      </w:r>
      <w:r>
        <w:rPr>
          <w:rFonts w:hint="eastAsia" w:ascii="仿宋_GB2312" w:hAnsi="仿宋_GB2312" w:eastAsia="仿宋_GB2312" w:cs="仿宋_GB2312"/>
          <w:sz w:val="32"/>
          <w:szCs w:val="32"/>
        </w:rPr>
        <w:t>%。主要原因是机关单位厉行节约。</w:t>
      </w:r>
    </w:p>
    <w:p>
      <w:pPr>
        <w:keepNext/>
        <w:keepLines/>
        <w:snapToGrid w:val="0"/>
        <w:spacing w:line="60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本部门2020年度政府采购支出总额0万元，从采购类型来看，</w:t>
      </w:r>
      <w:r>
        <w:rPr>
          <w:rFonts w:hint="eastAsia" w:ascii="仿宋_GB2312" w:hAnsi="仿宋_GB2312" w:eastAsia="仿宋_GB2312" w:cs="仿宋_GB2312"/>
          <w:color w:val="000000"/>
          <w:kern w:val="0"/>
          <w:sz w:val="32"/>
          <w:szCs w:val="32"/>
        </w:rPr>
        <w:t>政府采购货物支出0万元、政府采购工程支出0万元、政府采购服务支出 0万元。授予中小企业合同金0万元，其中授予小微企业合同金额0万元。</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w:t>
      </w:r>
      <w:r>
        <w:rPr>
          <w:rFonts w:hint="eastAsia" w:ascii="仿宋_GB2312" w:hAnsi="仿宋_GB2312" w:eastAsia="仿宋_GB2312" w:cs="仿宋_GB2312"/>
          <w:sz w:val="32"/>
          <w:szCs w:val="32"/>
          <w:lang w:eastAsia="zh-CN"/>
        </w:rPr>
        <w:t>。</w:t>
      </w:r>
    </w:p>
    <w:p>
      <w:pPr>
        <w:adjustRightInd w:val="0"/>
        <w:snapToGrid w:val="0"/>
        <w:spacing w:line="600" w:lineRule="exact"/>
        <w:ind w:firstLine="640"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rPr>
        <w:t>单位价值50万元以上通用设备0台（套），与上年相比无变化，单位价值100万元以上专用设备0台（套），与上年相比无变化。</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w:t>
      </w:r>
      <w:r>
        <w:rPr>
          <w:rFonts w:hint="eastAsia" w:ascii="仿宋_GB2312" w:hAnsi="仿宋_GB2312" w:eastAsia="仿宋_GB2312" w:cs="仿宋_GB2312"/>
          <w:sz w:val="32"/>
          <w:szCs w:val="32"/>
          <w:highlight w:val="none"/>
        </w:rPr>
        <w:t>国有资金经营预算</w:t>
      </w:r>
      <w:r>
        <w:rPr>
          <w:rFonts w:hint="eastAsia" w:ascii="仿宋_GB2312" w:hAnsi="仿宋_GB2312" w:eastAsia="仿宋_GB2312" w:cs="仿宋_GB2312"/>
          <w:sz w:val="32"/>
          <w:szCs w:val="32"/>
        </w:rPr>
        <w:t>收支及结转结余情况，故国有资本经营预算财政拨款支出决算表以空表列示。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4"/>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1"/>
        <w:tblOverlap w:val="never"/>
        <w:tblW w:w="9506" w:type="dxa"/>
        <w:jc w:val="center"/>
        <w:tblLayout w:type="fixed"/>
        <w:tblCellMar>
          <w:top w:w="0" w:type="dxa"/>
          <w:left w:w="0" w:type="dxa"/>
          <w:bottom w:w="0" w:type="dxa"/>
          <w:right w:w="0" w:type="dxa"/>
        </w:tblCellMar>
      </w:tblPr>
      <w:tblGrid>
        <w:gridCol w:w="2876"/>
        <w:gridCol w:w="630"/>
        <w:gridCol w:w="1335"/>
        <w:gridCol w:w="2805"/>
        <w:gridCol w:w="651"/>
        <w:gridCol w:w="1209"/>
      </w:tblGrid>
      <w:tr>
        <w:tblPrEx>
          <w:tblCellMar>
            <w:top w:w="0" w:type="dxa"/>
            <w:left w:w="0" w:type="dxa"/>
            <w:bottom w:w="0" w:type="dxa"/>
            <w:right w:w="0" w:type="dxa"/>
          </w:tblCellMar>
        </w:tblPrEx>
        <w:trPr>
          <w:trHeight w:val="499" w:hRule="atLeast"/>
          <w:jc w:val="center"/>
        </w:trPr>
        <w:tc>
          <w:tcPr>
            <w:tcW w:w="9506"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287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3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33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665"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2876"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3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33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665"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84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665"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2277.54</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一、一般公共服务支出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786.96</w:t>
            </w: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color w:val="000000"/>
                <w:kern w:val="0"/>
                <w:sz w:val="18"/>
                <w:szCs w:val="18"/>
                <w:lang w:val="en-US" w:eastAsia="zh-CN" w:bidi="ar"/>
              </w:rPr>
              <w:t>25.27</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185"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31</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33</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34</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24.00</w:t>
            </w: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99.91</w:t>
            </w: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37.70</w:t>
            </w: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39</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25.27</w:t>
            </w: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1289.49</w:t>
            </w: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39.49</w:t>
            </w:r>
          </w:p>
        </w:tc>
      </w:tr>
      <w:tr>
        <w:tblPrEx>
          <w:tblCellMar>
            <w:top w:w="0" w:type="dxa"/>
            <w:left w:w="0" w:type="dxa"/>
            <w:bottom w:w="0" w:type="dxa"/>
            <w:right w:w="0" w:type="dxa"/>
          </w:tblCellMar>
        </w:tblPrEx>
        <w:trPr>
          <w:trHeight w:val="90"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二十一、灾害防治及应急管理支出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二十二、其他支出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二十四、债务付息支出</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2302.81</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2302.81</w:t>
            </w: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用事业基金弥补收支差额</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53</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26</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54</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27</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28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13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2302.81</w:t>
            </w:r>
          </w:p>
        </w:tc>
        <w:tc>
          <w:tcPr>
            <w:tcW w:w="28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6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12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2302.81</w:t>
            </w:r>
          </w:p>
        </w:tc>
      </w:tr>
      <w:tr>
        <w:tblPrEx>
          <w:tblCellMar>
            <w:top w:w="0" w:type="dxa"/>
            <w:left w:w="0" w:type="dxa"/>
            <w:bottom w:w="0" w:type="dxa"/>
            <w:right w:w="0" w:type="dxa"/>
          </w:tblCellMar>
        </w:tblPrEx>
        <w:trPr>
          <w:trHeight w:val="217" w:hRule="atLeast"/>
          <w:jc w:val="center"/>
        </w:trPr>
        <w:tc>
          <w:tcPr>
            <w:tcW w:w="9506"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tbl>
      <w:tblPr>
        <w:tblStyle w:val="5"/>
        <w:tblW w:w="10325" w:type="dxa"/>
        <w:jc w:val="center"/>
        <w:tblLayout w:type="fixed"/>
        <w:tblCellMar>
          <w:top w:w="0" w:type="dxa"/>
          <w:left w:w="0" w:type="dxa"/>
          <w:bottom w:w="0" w:type="dxa"/>
          <w:right w:w="0" w:type="dxa"/>
        </w:tblCellMar>
      </w:tblPr>
      <w:tblGrid>
        <w:gridCol w:w="848"/>
        <w:gridCol w:w="48"/>
        <w:gridCol w:w="323"/>
        <w:gridCol w:w="3103"/>
        <w:gridCol w:w="1257"/>
        <w:gridCol w:w="1300"/>
        <w:gridCol w:w="784"/>
        <w:gridCol w:w="716"/>
        <w:gridCol w:w="700"/>
        <w:gridCol w:w="650"/>
        <w:gridCol w:w="596"/>
      </w:tblGrid>
      <w:tr>
        <w:tblPrEx>
          <w:tblCellMar>
            <w:top w:w="0" w:type="dxa"/>
            <w:left w:w="0" w:type="dxa"/>
            <w:bottom w:w="0" w:type="dxa"/>
            <w:right w:w="0" w:type="dxa"/>
          </w:tblCellMar>
        </w:tblPrEx>
        <w:trPr>
          <w:trHeight w:val="670" w:hRule="atLeast"/>
          <w:jc w:val="center"/>
        </w:trPr>
        <w:tc>
          <w:tcPr>
            <w:tcW w:w="10325"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84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10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25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0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8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1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0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246"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rPr>
          <w:trHeight w:val="357" w:hRule="atLeast"/>
          <w:jc w:val="center"/>
        </w:trPr>
        <w:tc>
          <w:tcPr>
            <w:tcW w:w="848"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4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10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25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0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8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1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946"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432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25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130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78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71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70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6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59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1219"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31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25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30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8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1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0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21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1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25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0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8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1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0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21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1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25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0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8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1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0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43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2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3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7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6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59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385" w:hRule="atLeast"/>
          <w:jc w:val="center"/>
        </w:trPr>
        <w:tc>
          <w:tcPr>
            <w:tcW w:w="43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2302.81</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2302.81</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一般公共服务支出</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786.96</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786.96</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政府办公厅（室）及相关机构事务</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786.96</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786.96</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2010301</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行政运行</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299.90</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299.90</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2010302</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一般行政管理事务</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4.00</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4.00</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2010308</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信访事务</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4.20</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4.20</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2010350</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事业运行</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478.86</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478.86</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文化旅游体育与传媒支出</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24.00</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24.00</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20701</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文化和旅游</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24.00</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24.00</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2070109</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群众文化</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24.00</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24.00</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社会保障和就业支出</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99.91</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99.91</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行政事业单位养老支出</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99.91</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99.91</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2080501</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行政单位离退休</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5.10</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5.10</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2080502</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事业单位离退休</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8.75</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8.75</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2080505</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机关事业单位基本养老保险缴费支出</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74.44</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74.44</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2080506</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机关事业单位职业年金缴费支出</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11.62</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11.62</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卫生健康支出</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37.70</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37.70</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21004</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公共卫生</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10.00</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10.00</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2100409</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重大公共卫生服务</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10.00</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10.00</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行政事业单位医疗</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27.70</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27.70</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2101101</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行政单位医疗</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11.34</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11.34</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77"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2101102</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事业单位医疗</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16.33</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16.33</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城乡社区支出</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25.27</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25.27</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21208</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国有土地使用权出让收入安排的支出</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25.27</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25.27</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2120804</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农村基础设施建设支出</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25.27</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25.27</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农林水支出</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1289.49</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1289.49</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农业农村</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495.14</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495.14</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2130122</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农业生产发展</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485.31</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485.31</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2130152</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对高校毕业生到基层任职补助</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9.83</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9.83</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农村综合改革</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794.35</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794.35</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2130701</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对村级一事一议的补助</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4,53.87</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4,53.87</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2130705</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对村民委员会和村党支部的补助</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340.48</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340.48</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住房保障支出</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39.49</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39.49</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住房改革支出</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39.49</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39.49</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21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2210201</w:t>
            </w:r>
          </w:p>
        </w:tc>
        <w:tc>
          <w:tcPr>
            <w:tcW w:w="3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 xml:space="preserve">  住房公积金</w:t>
            </w:r>
          </w:p>
        </w:tc>
        <w:tc>
          <w:tcPr>
            <w:tcW w:w="12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39.49</w:t>
            </w:r>
          </w:p>
        </w:tc>
        <w:tc>
          <w:tcPr>
            <w:tcW w:w="13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39.49</w:t>
            </w:r>
          </w:p>
        </w:tc>
        <w:tc>
          <w:tcPr>
            <w:tcW w:w="7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7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6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85" w:hRule="atLeast"/>
          <w:jc w:val="center"/>
        </w:trPr>
        <w:tc>
          <w:tcPr>
            <w:tcW w:w="10325"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907"/>
        <w:gridCol w:w="34"/>
        <w:gridCol w:w="53"/>
        <w:gridCol w:w="240"/>
        <w:gridCol w:w="2827"/>
        <w:gridCol w:w="1369"/>
        <w:gridCol w:w="1260"/>
        <w:gridCol w:w="1305"/>
        <w:gridCol w:w="495"/>
        <w:gridCol w:w="495"/>
        <w:gridCol w:w="695"/>
      </w:tblGrid>
      <w:tr>
        <w:tblPrEx>
          <w:tblCellMar>
            <w:top w:w="0" w:type="dxa"/>
            <w:left w:w="0" w:type="dxa"/>
            <w:bottom w:w="0" w:type="dxa"/>
            <w:right w:w="0" w:type="dxa"/>
          </w:tblCellMar>
        </w:tblPrEx>
        <w:trPr>
          <w:trHeight w:val="612" w:hRule="atLeast"/>
          <w:jc w:val="center"/>
        </w:trPr>
        <w:tc>
          <w:tcPr>
            <w:tcW w:w="9680"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82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6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26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0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95"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941" w:type="dxa"/>
            <w:gridSpan w:val="2"/>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82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6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26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0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90"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4061" w:type="dxa"/>
            <w:gridSpan w:val="5"/>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13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26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3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49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49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69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1295" w:hRule="atLeast"/>
          <w:jc w:val="center"/>
        </w:trPr>
        <w:tc>
          <w:tcPr>
            <w:tcW w:w="907"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3154" w:type="dxa"/>
            <w:gridSpan w:val="4"/>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黑体" w:hAnsi="黑体" w:eastAsia="黑体" w:cs="宋体"/>
                <w:color w:val="000000"/>
                <w:kern w:val="0"/>
                <w:sz w:val="20"/>
                <w:szCs w:val="20"/>
                <w:lang w:bidi="ar"/>
              </w:rPr>
            </w:pPr>
            <w:r>
              <w:rPr>
                <w:rFonts w:hint="eastAsia" w:ascii="黑体" w:hAnsi="黑体" w:eastAsia="黑体" w:cs="宋体"/>
                <w:color w:val="000000"/>
                <w:kern w:val="0"/>
                <w:sz w:val="20"/>
                <w:szCs w:val="20"/>
                <w:lang w:bidi="ar"/>
              </w:rPr>
              <w:t>科目名称</w:t>
            </w:r>
          </w:p>
        </w:tc>
        <w:tc>
          <w:tcPr>
            <w:tcW w:w="1369" w:type="dxa"/>
            <w:vMerge w:val="continue"/>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26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3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4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4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6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23" w:hRule="atLeast"/>
          <w:jc w:val="center"/>
        </w:trPr>
        <w:tc>
          <w:tcPr>
            <w:tcW w:w="4061" w:type="dxa"/>
            <w:gridSpan w:val="5"/>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3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2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3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49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49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69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406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2302.86</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950.04</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1352.77</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一般公共服务支出</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786.96</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778.76</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8.20</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政府办公厅（室）及相关机构事务</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786.96</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778.76</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8.20</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2010301</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行政运行</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299.91</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299.91</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2010302</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一般行政管理事务</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2010308</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信访事务</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4.20</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4.20</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2010350</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事业运行</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478.86</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478.86</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207</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文化旅游体育与传媒支出</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20701</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文化和旅游</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2070109</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群众文化</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社会保障和就业支出</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99.91</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99.91</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行政事业单位养老支出</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99.91</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99.91</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2080501</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行政单位离退休</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5.10</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5.10</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2080502</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事业单位离退休</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8.75</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8.75</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2080505</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机关事业单位基本养老保险缴费支出</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74.44</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74.44</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2080506</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机关事业单位职业年金缴费支出</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11.62</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11.62</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卫生健康支出</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37.70</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27.70</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21004</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公共卫生</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2100409</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重大公共卫生服务</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行政事业单位医疗</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27.69</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27.69</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2101101</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行政单位医疗</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11.36</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11.36</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2101102</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事业单位医疗</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16.33</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16.33</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212</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城乡社区支出</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25.27</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25.27</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21208</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国有土地使用权出让收入安排的支出</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25.27</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25.27</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2120804</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农村基础设施建设支出</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25.27</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25.27</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农林水支出</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1289.49</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4.19</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1285.30</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21301</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农业农村</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495.14</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495.14</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2130122</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农业生产发展</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485.31</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485.31</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2130152</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对高校毕业生到基层任职补助</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9.83</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9.83</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21307</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农村综合改革</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794.35</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4.19</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790.16</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2130701</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对村级一事一议的补助</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4,53.87</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453.87</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2130705</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对村民委员会和村党支部的补助</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340.48</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4.19</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336.29</w:t>
            </w: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住房保障支出</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39.49</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39.49</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22102</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住房改革支出</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39.49</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39.49</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2210201</w:t>
            </w:r>
          </w:p>
        </w:tc>
        <w:tc>
          <w:tcPr>
            <w:tcW w:w="315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住房公积金</w:t>
            </w:r>
          </w:p>
        </w:tc>
        <w:tc>
          <w:tcPr>
            <w:tcW w:w="13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39.49</w:t>
            </w:r>
          </w:p>
        </w:tc>
        <w:tc>
          <w:tcPr>
            <w:tcW w:w="1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39.49</w:t>
            </w:r>
          </w:p>
        </w:tc>
        <w:tc>
          <w:tcPr>
            <w:tcW w:w="1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23" w:hRule="atLeast"/>
          <w:jc w:val="center"/>
        </w:trPr>
        <w:tc>
          <w:tcPr>
            <w:tcW w:w="9680"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5"/>
        <w:tblW w:w="10389" w:type="dxa"/>
        <w:jc w:val="center"/>
        <w:tblLayout w:type="fixed"/>
        <w:tblCellMar>
          <w:top w:w="0" w:type="dxa"/>
          <w:left w:w="0" w:type="dxa"/>
          <w:bottom w:w="0" w:type="dxa"/>
          <w:right w:w="0" w:type="dxa"/>
        </w:tblCellMar>
      </w:tblPr>
      <w:tblGrid>
        <w:gridCol w:w="907"/>
        <w:gridCol w:w="506"/>
        <w:gridCol w:w="67"/>
        <w:gridCol w:w="240"/>
        <w:gridCol w:w="2275"/>
        <w:gridCol w:w="1950"/>
        <w:gridCol w:w="2333"/>
        <w:gridCol w:w="1481"/>
        <w:gridCol w:w="630"/>
      </w:tblGrid>
      <w:tr>
        <w:tblPrEx>
          <w:tblCellMar>
            <w:top w:w="0" w:type="dxa"/>
            <w:left w:w="0" w:type="dxa"/>
            <w:bottom w:w="0" w:type="dxa"/>
            <w:right w:w="0" w:type="dxa"/>
          </w:tblCellMar>
        </w:tblPrEx>
        <w:trPr>
          <w:gridAfter w:val="1"/>
          <w:wAfter w:w="630" w:type="dxa"/>
          <w:trHeight w:val="406" w:hRule="atLeast"/>
          <w:jc w:val="center"/>
        </w:trPr>
        <w:tc>
          <w:tcPr>
            <w:tcW w:w="9759"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10389" w:type="dxa"/>
            <w:gridSpan w:val="9"/>
            <w:tcBorders>
              <w:top w:val="nil"/>
              <w:left w:val="nil"/>
              <w:bottom w:val="nil"/>
              <w:right w:val="nil"/>
            </w:tcBorders>
            <w:shd w:val="clear" w:color="auto" w:fill="auto"/>
            <w:noWrap/>
            <w:tcMar>
              <w:top w:w="15" w:type="dxa"/>
              <w:left w:w="15" w:type="dxa"/>
              <w:right w:w="15" w:type="dxa"/>
            </w:tcMar>
            <w:vAlign w:val="center"/>
          </w:tcPr>
          <w:tbl>
            <w:tblPr>
              <w:tblStyle w:val="5"/>
              <w:tblW w:w="10324" w:type="dxa"/>
              <w:tblInd w:w="0" w:type="dxa"/>
              <w:tblLayout w:type="fixed"/>
              <w:tblCellMar>
                <w:top w:w="0" w:type="dxa"/>
                <w:left w:w="108" w:type="dxa"/>
                <w:bottom w:w="0" w:type="dxa"/>
                <w:right w:w="108" w:type="dxa"/>
              </w:tblCellMar>
            </w:tblPr>
            <w:tblGrid>
              <w:gridCol w:w="2112"/>
              <w:gridCol w:w="367"/>
              <w:gridCol w:w="1250"/>
              <w:gridCol w:w="2133"/>
              <w:gridCol w:w="483"/>
              <w:gridCol w:w="1234"/>
              <w:gridCol w:w="1233"/>
              <w:gridCol w:w="967"/>
              <w:gridCol w:w="545"/>
            </w:tblGrid>
            <w:tr>
              <w:tblPrEx>
                <w:tblCellMar>
                  <w:top w:w="0" w:type="dxa"/>
                  <w:left w:w="108" w:type="dxa"/>
                  <w:bottom w:w="0" w:type="dxa"/>
                  <w:right w:w="108" w:type="dxa"/>
                </w:tblCellMar>
              </w:tblPrEx>
              <w:trPr>
                <w:trHeight w:val="90" w:hRule="atLeast"/>
              </w:trPr>
              <w:tc>
                <w:tcPr>
                  <w:tcW w:w="2112"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367"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25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133"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83"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234"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745"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trHeight w:val="90" w:hRule="atLeast"/>
              </w:trPr>
              <w:tc>
                <w:tcPr>
                  <w:tcW w:w="2112"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367"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125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133"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83"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234"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233"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512"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trHeight w:val="90" w:hRule="atLeast"/>
              </w:trPr>
              <w:tc>
                <w:tcPr>
                  <w:tcW w:w="37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6595"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trHeight w:val="312" w:hRule="atLeast"/>
              </w:trPr>
              <w:tc>
                <w:tcPr>
                  <w:tcW w:w="211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367"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125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13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8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1234"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123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967"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54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312" w:hRule="atLeast"/>
              </w:trPr>
              <w:tc>
                <w:tcPr>
                  <w:tcW w:w="2112"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367"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125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13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8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1234"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123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967"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54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2277.54</w:t>
                  </w: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786.96</w:t>
                  </w: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786.96</w:t>
                  </w: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Arial"/>
                      <w:color w:val="000000"/>
                      <w:kern w:val="0"/>
                      <w:sz w:val="15"/>
                      <w:szCs w:val="15"/>
                      <w:lang w:val="en-US"/>
                    </w:rPr>
                  </w:pPr>
                  <w:r>
                    <w:rPr>
                      <w:rFonts w:hint="eastAsia" w:ascii="宋体" w:hAnsi="宋体" w:eastAsia="宋体" w:cs="宋体"/>
                      <w:i w:val="0"/>
                      <w:iCs w:val="0"/>
                      <w:color w:val="000000"/>
                      <w:kern w:val="0"/>
                      <w:sz w:val="15"/>
                      <w:szCs w:val="15"/>
                      <w:u w:val="none"/>
                      <w:lang w:val="en-US" w:eastAsia="zh-CN" w:bidi="ar"/>
                    </w:rPr>
                    <w:t>25.27</w:t>
                  </w: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24.00</w:t>
                  </w: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24.00</w:t>
                  </w: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99.91</w:t>
                  </w: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99.91</w:t>
                  </w: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37.69</w:t>
                  </w: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37.69</w:t>
                  </w: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25.27</w:t>
                  </w: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Times New Roman" w:cs="Times New Roman"/>
                      <w:kern w:val="0"/>
                      <w:sz w:val="15"/>
                      <w:szCs w:val="15"/>
                      <w:lang w:val="en-US"/>
                    </w:rPr>
                  </w:pPr>
                  <w:r>
                    <w:rPr>
                      <w:rFonts w:hint="eastAsia" w:ascii="宋体" w:hAnsi="宋体" w:eastAsia="宋体" w:cs="宋体"/>
                      <w:i w:val="0"/>
                      <w:iCs w:val="0"/>
                      <w:color w:val="000000"/>
                      <w:kern w:val="0"/>
                      <w:sz w:val="15"/>
                      <w:szCs w:val="15"/>
                      <w:u w:val="none"/>
                      <w:lang w:val="en-US" w:eastAsia="zh-CN" w:bidi="ar"/>
                    </w:rPr>
                    <w:t>25.27</w:t>
                  </w: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1289.49</w:t>
                  </w: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1289.49</w:t>
                  </w: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lang w:val="en-US" w:eastAsia="zh-CN"/>
                    </w:rPr>
                    <w:t>2302.81</w:t>
                  </w: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2302.81</w:t>
                  </w: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2277.54</w:t>
                  </w: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25.27</w:t>
                  </w: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367"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12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lang w:val="en-US" w:eastAsia="zh-CN"/>
                    </w:rPr>
                    <w:t>2302.81</w:t>
                  </w:r>
                </w:p>
              </w:tc>
              <w:tc>
                <w:tcPr>
                  <w:tcW w:w="213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12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2302.81</w:t>
                  </w:r>
                </w:p>
              </w:tc>
              <w:tc>
                <w:tcPr>
                  <w:tcW w:w="12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2277.54</w:t>
                  </w:r>
                </w:p>
              </w:tc>
              <w:tc>
                <w:tcPr>
                  <w:tcW w:w="9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25.27</w:t>
                  </w:r>
                </w:p>
              </w:tc>
              <w:tc>
                <w:tcPr>
                  <w:tcW w:w="5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1032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r>
            <w:tr>
              <w:tblPrEx>
                <w:tblCellMar>
                  <w:top w:w="0" w:type="dxa"/>
                  <w:left w:w="108" w:type="dxa"/>
                  <w:bottom w:w="0" w:type="dxa"/>
                  <w:right w:w="108" w:type="dxa"/>
                </w:tblCellMar>
              </w:tblPrEx>
              <w:trPr>
                <w:trHeight w:val="90" w:hRule="atLeast"/>
              </w:trPr>
              <w:tc>
                <w:tcPr>
                  <w:tcW w:w="1032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413"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27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9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444"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413" w:type="dxa"/>
            <w:gridSpan w:val="2"/>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27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9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444"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995" w:type="dxa"/>
            <w:gridSpan w:val="5"/>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394"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887" w:hRule="atLeast"/>
          <w:jc w:val="center"/>
        </w:trPr>
        <w:tc>
          <w:tcPr>
            <w:tcW w:w="907"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3088" w:type="dxa"/>
            <w:gridSpan w:val="4"/>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黑体" w:hAnsi="黑体" w:eastAsia="黑体" w:cs="宋体"/>
                <w:color w:val="000000"/>
                <w:kern w:val="0"/>
                <w:sz w:val="20"/>
                <w:szCs w:val="20"/>
                <w:lang w:bidi="ar"/>
              </w:rPr>
            </w:pPr>
            <w:r>
              <w:rPr>
                <w:rFonts w:hint="eastAsia" w:ascii="黑体" w:hAnsi="黑体" w:eastAsia="黑体" w:cs="宋体"/>
                <w:color w:val="000000"/>
                <w:kern w:val="0"/>
                <w:sz w:val="20"/>
                <w:szCs w:val="20"/>
                <w:lang w:bidi="ar"/>
              </w:rPr>
              <w:t>科目名称</w:t>
            </w:r>
          </w:p>
        </w:tc>
        <w:tc>
          <w:tcPr>
            <w:tcW w:w="1950"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3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08" w:hRule="atLeast"/>
          <w:jc w:val="center"/>
        </w:trPr>
        <w:tc>
          <w:tcPr>
            <w:tcW w:w="3995" w:type="dxa"/>
            <w:gridSpan w:val="5"/>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3995"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i w:val="0"/>
                <w:iCs w:val="0"/>
                <w:color w:val="000000"/>
                <w:kern w:val="0"/>
                <w:sz w:val="22"/>
                <w:szCs w:val="22"/>
                <w:u w:val="none"/>
                <w:lang w:val="en-US" w:eastAsia="zh-CN" w:bidi="ar"/>
              </w:rPr>
              <w:t>2277.54</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i w:val="0"/>
                <w:iCs w:val="0"/>
                <w:color w:val="000000"/>
                <w:kern w:val="0"/>
                <w:sz w:val="22"/>
                <w:szCs w:val="22"/>
                <w:u w:val="none"/>
                <w:lang w:val="en-US" w:eastAsia="zh-CN" w:bidi="ar"/>
              </w:rPr>
              <w:t>950.04</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b/>
                <w:color w:val="000000"/>
                <w:sz w:val="18"/>
                <w:szCs w:val="18"/>
                <w:lang w:val="en-US"/>
              </w:rPr>
            </w:pPr>
            <w:r>
              <w:rPr>
                <w:rFonts w:hint="eastAsia" w:ascii="宋体" w:hAnsi="宋体" w:eastAsia="宋体" w:cs="宋体"/>
                <w:i w:val="0"/>
                <w:iCs w:val="0"/>
                <w:color w:val="000000"/>
                <w:kern w:val="0"/>
                <w:sz w:val="22"/>
                <w:szCs w:val="22"/>
                <w:u w:val="none"/>
                <w:lang w:val="en-US" w:eastAsia="zh-CN" w:bidi="ar"/>
              </w:rPr>
              <w:t>1327.50</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一般公共服务支出</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786.96</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778.76</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8.20</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政府办公厅（室）及相关机构事务</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786.96</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778.76</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8.20</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2010301</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行政运行</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299.9,0</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299.9,0</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2010302</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一般行政管理事务</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4.00</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4.00</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2010308</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信访事务</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4.20</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4.20</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2010350</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事业运行</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478.86</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478.86</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207</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文化旅游体育与传媒支出</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24.00</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24.00</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20701</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文化和旅游</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24.00</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24.00</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2070109</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群众文化</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24.00</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24.00</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社会保障和就业支出</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99.91</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99.91</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行政事业单位养老支出</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99.91</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99.91</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2080501</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行政单位离退休</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5.10</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5.10</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2080502</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事业单位离退休</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8"/>
                <w:szCs w:val="18"/>
                <w:lang w:val="en-US"/>
              </w:rPr>
            </w:pPr>
            <w:r>
              <w:rPr>
                <w:rFonts w:hint="eastAsia" w:ascii="宋体" w:hAnsi="宋体" w:eastAsia="宋体" w:cs="宋体"/>
                <w:i w:val="0"/>
                <w:iCs w:val="0"/>
                <w:color w:val="000000"/>
                <w:kern w:val="0"/>
                <w:sz w:val="22"/>
                <w:szCs w:val="22"/>
                <w:u w:val="none"/>
                <w:lang w:val="en-US" w:eastAsia="zh-CN" w:bidi="ar"/>
              </w:rPr>
              <w:t>8.75</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8.75</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2080505</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机关事业单位基本养老保险缴费支出</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74.44</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74.44</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2080506</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机关事业单位职业年金缴费支出</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11.62</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11.62</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卫生健康支出</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37.69</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27.69</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10.00</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21004</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公共卫生</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10.00</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10.00</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2100409</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重大公共卫生服务</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10.00</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10.00</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行政事业单位医疗</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27.69</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27.69</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2101101</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行政单位医疗</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11.36</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11.36</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2101102</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事业单位医疗</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16.33</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16.33</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农林水支出</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1289.49</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4.19</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8"/>
                <w:szCs w:val="18"/>
                <w:lang w:val="en-US"/>
              </w:rPr>
            </w:pPr>
            <w:r>
              <w:rPr>
                <w:rFonts w:hint="eastAsia" w:ascii="宋体" w:hAnsi="宋体" w:eastAsia="宋体" w:cs="宋体"/>
                <w:i w:val="0"/>
                <w:iCs w:val="0"/>
                <w:color w:val="000000"/>
                <w:kern w:val="0"/>
                <w:sz w:val="22"/>
                <w:szCs w:val="22"/>
                <w:u w:val="none"/>
                <w:lang w:val="en-US" w:eastAsia="zh-CN" w:bidi="ar"/>
              </w:rPr>
              <w:t>1285.30</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21301</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农业农村</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495.14</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495.14</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2130122</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农业生产发展</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485.31</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485.31</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2130152</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对高校毕业生到基层任职补助</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9.83</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8"/>
                <w:szCs w:val="18"/>
                <w:lang w:val="en-US"/>
              </w:rPr>
            </w:pPr>
            <w:r>
              <w:rPr>
                <w:rFonts w:hint="eastAsia" w:ascii="宋体" w:hAnsi="宋体" w:eastAsia="宋体" w:cs="宋体"/>
                <w:i w:val="0"/>
                <w:iCs w:val="0"/>
                <w:color w:val="000000"/>
                <w:kern w:val="0"/>
                <w:sz w:val="22"/>
                <w:szCs w:val="22"/>
                <w:u w:val="none"/>
                <w:lang w:val="en-US" w:eastAsia="zh-CN" w:bidi="ar"/>
              </w:rPr>
              <w:t>9.83</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21307</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农村综合改革</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794.35</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4.19</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790.16</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2130701</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对村级一事一议的补助</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453.87</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8"/>
                <w:szCs w:val="18"/>
                <w:lang w:val="en-US"/>
              </w:rPr>
            </w:pPr>
            <w:r>
              <w:rPr>
                <w:rFonts w:hint="eastAsia" w:ascii="宋体" w:hAnsi="宋体" w:eastAsia="宋体" w:cs="宋体"/>
                <w:i w:val="0"/>
                <w:iCs w:val="0"/>
                <w:color w:val="000000"/>
                <w:kern w:val="0"/>
                <w:sz w:val="22"/>
                <w:szCs w:val="22"/>
                <w:u w:val="none"/>
                <w:lang w:val="en-US" w:eastAsia="zh-CN" w:bidi="ar"/>
              </w:rPr>
              <w:t>453.87</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2130705</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对村民委员会和村党支部的补助</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340.48</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4.19</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336.29</w:t>
            </w: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住房保障支出</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39.49</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39.49</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22102</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住房改革支出</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39.49</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39.49</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2210201</w:t>
            </w:r>
          </w:p>
        </w:tc>
        <w:tc>
          <w:tcPr>
            <w:tcW w:w="308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住房公积金</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39.49</w:t>
            </w:r>
          </w:p>
        </w:tc>
        <w:tc>
          <w:tcPr>
            <w:tcW w:w="23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39.49</w:t>
            </w:r>
          </w:p>
        </w:tc>
        <w:tc>
          <w:tcPr>
            <w:tcW w:w="21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147"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71"/>
      </w:tblGrid>
      <w:tr>
        <w:tblPrEx>
          <w:tblCellMar>
            <w:top w:w="0" w:type="dxa"/>
            <w:left w:w="0" w:type="dxa"/>
            <w:bottom w:w="0" w:type="dxa"/>
            <w:right w:w="0" w:type="dxa"/>
          </w:tblCellMar>
        </w:tblPrEx>
        <w:trPr>
          <w:trHeight w:val="404" w:hRule="atLeast"/>
          <w:jc w:val="center"/>
        </w:trPr>
        <w:tc>
          <w:tcPr>
            <w:tcW w:w="14147"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99"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99"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102"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7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7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836.05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31.30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债务利息及费用支出</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567.53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5.68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国内债务付息</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41.98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国外债务付息</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default"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20.03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资本性支出</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房屋建筑物购建</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36.65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办公设备购置</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default"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84.60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专用设备购置</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r>
      <w:tr>
        <w:tblPrEx>
          <w:tblCellMar>
            <w:top w:w="0" w:type="dxa"/>
            <w:left w:w="0" w:type="dxa"/>
            <w:bottom w:w="0" w:type="dxa"/>
            <w:right w:w="0" w:type="dxa"/>
          </w:tblCellMar>
        </w:tblPrEx>
        <w:trPr>
          <w:trHeight w:val="90"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16.24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2.00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基础设施建设</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27.69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9.00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大型修缮</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rPr>
          <w:trHeight w:val="285"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9.88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信息网络及软件购置更新</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1.84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物资储备</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default"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39.49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土地补偿</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安置补助</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地上附着物和青苗补偿</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default"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82.69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拆迁补偿</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公务用车购置</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13.27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其他交通工具购置</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文物和陈列品购置</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41.41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无形资产购置</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default"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25.14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其他资本性支出</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其他支出</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赠与</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国家赔偿费用支出</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对民间非营利组织和群众性自治组织补贴</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4.16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其他支出</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0.58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eastAsia" w:ascii="宋体" w:hAnsi="宋体" w:eastAsia="宋体" w:cs="宋体"/>
                <w:color w:val="000000"/>
                <w:kern w:val="0"/>
                <w:sz w:val="16"/>
                <w:szCs w:val="16"/>
                <w:lang w:bidi="ar"/>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kern w:val="0"/>
                <w:sz w:val="16"/>
                <w:szCs w:val="16"/>
                <w:lang w:val="en-US" w:eastAsia="zh-CN" w:bidi="ar"/>
              </w:rPr>
              <w:t>918.74</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kern w:val="0"/>
                <w:sz w:val="16"/>
                <w:szCs w:val="16"/>
                <w:lang w:val="en-US" w:eastAsia="zh-CN" w:bidi="ar"/>
              </w:rPr>
              <w:t>31.30</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rPr>
            </w:pPr>
            <w:r>
              <w:rPr>
                <w:rFonts w:ascii="宋体" w:hAnsi="宋体" w:eastAsia="宋体" w:cs="宋体"/>
                <w:color w:val="000000"/>
                <w:szCs w:val="22"/>
              </w:rPr>
              <w:t>6</w:t>
            </w:r>
            <w:r>
              <w:rPr>
                <w:rFonts w:hint="eastAsia" w:ascii="宋体" w:hAnsi="宋体" w:eastAsia="宋体" w:cs="宋体"/>
                <w:color w:val="000000"/>
                <w:szCs w:val="22"/>
                <w:lang w:val="en-US" w:eastAsia="zh-CN"/>
              </w:rPr>
              <w:t>.</w:t>
            </w:r>
            <w:r>
              <w:rPr>
                <w:rFonts w:ascii="宋体" w:hAnsi="宋体" w:eastAsia="宋体" w:cs="宋体"/>
                <w:color w:val="000000"/>
                <w:szCs w:val="22"/>
              </w:rPr>
              <w:t>00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rPr>
            </w:pPr>
            <w:r>
              <w:rPr>
                <w:rFonts w:ascii="宋体" w:hAnsi="宋体" w:eastAsia="宋体" w:cs="宋体"/>
                <w:color w:val="000000"/>
                <w:szCs w:val="22"/>
              </w:rPr>
              <w:t>6</w:t>
            </w:r>
            <w:r>
              <w:rPr>
                <w:rFonts w:hint="eastAsia" w:ascii="宋体" w:hAnsi="宋体" w:eastAsia="宋体" w:cs="宋体"/>
                <w:color w:val="000000"/>
                <w:szCs w:val="22"/>
                <w:lang w:val="en-US" w:eastAsia="zh-CN"/>
              </w:rPr>
              <w:t>.</w:t>
            </w:r>
            <w:r>
              <w:rPr>
                <w:rFonts w:ascii="宋体" w:hAnsi="宋体" w:eastAsia="宋体" w:cs="宋体"/>
                <w:color w:val="000000"/>
                <w:szCs w:val="22"/>
              </w:rPr>
              <w:t>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tabs>
                <w:tab w:val="left" w:pos="557"/>
              </w:tabs>
              <w:jc w:val="left"/>
              <w:rPr>
                <w:rFonts w:hint="default" w:ascii="宋体" w:hAnsi="宋体" w:eastAsia="宋体" w:cs="宋体"/>
                <w:color w:val="000000"/>
                <w:szCs w:val="22"/>
              </w:rPr>
            </w:pPr>
            <w:r>
              <w:rPr>
                <w:rFonts w:ascii="宋体" w:hAnsi="宋体" w:eastAsia="宋体" w:cs="宋体"/>
                <w:color w:val="000000"/>
                <w:szCs w:val="22"/>
              </w:rPr>
              <w:tab/>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rPr>
            </w:pPr>
            <w:r>
              <w:rPr>
                <w:rFonts w:ascii="宋体" w:hAnsi="宋体" w:eastAsia="宋体" w:cs="宋体"/>
                <w:color w:val="000000"/>
                <w:szCs w:val="22"/>
              </w:rPr>
              <w:t>6</w:t>
            </w:r>
            <w:r>
              <w:rPr>
                <w:rFonts w:hint="eastAsia" w:ascii="宋体" w:hAnsi="宋体" w:eastAsia="宋体" w:cs="宋体"/>
                <w:color w:val="000000"/>
                <w:szCs w:val="22"/>
                <w:lang w:val="en-US" w:eastAsia="zh-CN"/>
              </w:rPr>
              <w:t>.</w:t>
            </w:r>
            <w:r>
              <w:rPr>
                <w:rFonts w:ascii="宋体" w:hAnsi="宋体" w:eastAsia="宋体" w:cs="宋体"/>
                <w:color w:val="000000"/>
                <w:szCs w:val="22"/>
              </w:rPr>
              <w:t>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Cs w:val="22"/>
                <w:lang w:eastAsia="zh-CN"/>
              </w:rPr>
            </w:pPr>
            <w:r>
              <w:rPr>
                <w:rFonts w:ascii="宋体" w:hAnsi="宋体" w:eastAsia="宋体" w:cs="宋体"/>
                <w:color w:val="000000"/>
                <w:szCs w:val="22"/>
              </w:rPr>
              <w:t>4</w:t>
            </w:r>
            <w:r>
              <w:rPr>
                <w:rFonts w:hint="eastAsia" w:ascii="宋体" w:hAnsi="宋体" w:eastAsia="宋体" w:cs="宋体"/>
                <w:color w:val="000000"/>
                <w:szCs w:val="22"/>
                <w:lang w:val="en-US" w:eastAsia="zh-CN"/>
              </w:rPr>
              <w:t>.</w:t>
            </w:r>
            <w:r>
              <w:rPr>
                <w:rFonts w:ascii="宋体" w:hAnsi="宋体" w:eastAsia="宋体" w:cs="宋体"/>
                <w:color w:val="000000"/>
                <w:szCs w:val="22"/>
              </w:rPr>
              <w:t>16</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rPr>
            </w:pPr>
            <w:r>
              <w:rPr>
                <w:rFonts w:ascii="宋体" w:hAnsi="宋体" w:eastAsia="宋体" w:cs="宋体"/>
                <w:color w:val="000000"/>
                <w:szCs w:val="22"/>
              </w:rPr>
              <w:t>4</w:t>
            </w:r>
            <w:r>
              <w:rPr>
                <w:rFonts w:hint="eastAsia" w:ascii="宋体" w:hAnsi="宋体" w:eastAsia="宋体" w:cs="宋体"/>
                <w:color w:val="000000"/>
                <w:szCs w:val="22"/>
                <w:lang w:val="en-US" w:eastAsia="zh-CN"/>
              </w:rPr>
              <w:t>.</w:t>
            </w:r>
            <w:r>
              <w:rPr>
                <w:rFonts w:ascii="宋体" w:hAnsi="宋体" w:eastAsia="宋体" w:cs="宋体"/>
                <w:color w:val="000000"/>
                <w:szCs w:val="22"/>
              </w:rPr>
              <w:t>16</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rPr>
            </w:pPr>
            <w:r>
              <w:rPr>
                <w:rFonts w:ascii="宋体" w:hAnsi="宋体" w:eastAsia="宋体" w:cs="宋体"/>
                <w:color w:val="000000"/>
                <w:szCs w:val="22"/>
              </w:rPr>
              <w:t>4</w:t>
            </w:r>
            <w:r>
              <w:rPr>
                <w:rFonts w:hint="eastAsia" w:ascii="宋体" w:hAnsi="宋体" w:eastAsia="宋体" w:cs="宋体"/>
                <w:color w:val="000000"/>
                <w:szCs w:val="22"/>
                <w:lang w:val="en-US" w:eastAsia="zh-CN"/>
              </w:rPr>
              <w:t>.</w:t>
            </w:r>
            <w:r>
              <w:rPr>
                <w:rFonts w:ascii="宋体" w:hAnsi="宋体" w:eastAsia="宋体" w:cs="宋体"/>
                <w:color w:val="000000"/>
                <w:szCs w:val="22"/>
              </w:rPr>
              <w:t>16</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10224" w:type="dxa"/>
        <w:jc w:val="center"/>
        <w:tblLayout w:type="fixed"/>
        <w:tblCellMar>
          <w:top w:w="0" w:type="dxa"/>
          <w:left w:w="0" w:type="dxa"/>
          <w:bottom w:w="0" w:type="dxa"/>
          <w:right w:w="0" w:type="dxa"/>
        </w:tblCellMar>
      </w:tblPr>
      <w:tblGrid>
        <w:gridCol w:w="965"/>
        <w:gridCol w:w="62"/>
        <w:gridCol w:w="61"/>
        <w:gridCol w:w="1545"/>
        <w:gridCol w:w="1045"/>
        <w:gridCol w:w="1614"/>
        <w:gridCol w:w="1417"/>
        <w:gridCol w:w="948"/>
        <w:gridCol w:w="1585"/>
        <w:gridCol w:w="982"/>
      </w:tblGrid>
      <w:tr>
        <w:tblPrEx>
          <w:tblCellMar>
            <w:top w:w="0" w:type="dxa"/>
            <w:left w:w="0" w:type="dxa"/>
            <w:bottom w:w="0" w:type="dxa"/>
            <w:right w:w="0" w:type="dxa"/>
          </w:tblCellMar>
        </w:tblPrEx>
        <w:trPr>
          <w:trHeight w:val="780" w:hRule="atLeast"/>
          <w:jc w:val="center"/>
        </w:trPr>
        <w:tc>
          <w:tcPr>
            <w:tcW w:w="10224"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9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2"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4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4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1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4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948"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567"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965"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2"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4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4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1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4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948"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567"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rPr>
          <w:trHeight w:val="308" w:hRule="atLeast"/>
          <w:jc w:val="center"/>
        </w:trPr>
        <w:tc>
          <w:tcPr>
            <w:tcW w:w="263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04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61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9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98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08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154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04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1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4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94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58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9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4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4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1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4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94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8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9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4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4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1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4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94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8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9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26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10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9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9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26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10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Cs w:val="22"/>
              </w:rPr>
            </w:pPr>
          </w:p>
        </w:tc>
        <w:tc>
          <w:tcPr>
            <w:tcW w:w="16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Cs w:val="22"/>
              </w:rPr>
            </w:pPr>
            <w:r>
              <w:rPr>
                <w:rFonts w:hint="eastAsia" w:ascii="宋体" w:hAnsi="宋体" w:eastAsia="宋体" w:cs="宋体"/>
                <w:i w:val="0"/>
                <w:iCs w:val="0"/>
                <w:color w:val="000000"/>
                <w:kern w:val="0"/>
                <w:sz w:val="22"/>
                <w:szCs w:val="22"/>
                <w:u w:val="none"/>
                <w:lang w:val="en-US" w:eastAsia="zh-CN" w:bidi="ar"/>
              </w:rPr>
              <w:t>25.27</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Cs w:val="22"/>
              </w:rPr>
            </w:pPr>
            <w:r>
              <w:rPr>
                <w:rFonts w:hint="eastAsia" w:ascii="宋体" w:hAnsi="宋体" w:eastAsia="宋体" w:cs="宋体"/>
                <w:i w:val="0"/>
                <w:iCs w:val="0"/>
                <w:color w:val="000000"/>
                <w:kern w:val="0"/>
                <w:sz w:val="22"/>
                <w:szCs w:val="22"/>
                <w:u w:val="none"/>
                <w:lang w:val="en-US" w:eastAsia="zh-CN" w:bidi="ar"/>
              </w:rPr>
              <w:t>25.27</w:t>
            </w:r>
          </w:p>
        </w:tc>
        <w:tc>
          <w:tcPr>
            <w:tcW w:w="9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Cs w:val="22"/>
              </w:rPr>
            </w:pPr>
          </w:p>
        </w:tc>
        <w:tc>
          <w:tcPr>
            <w:tcW w:w="15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Cs w:val="22"/>
              </w:rPr>
            </w:pPr>
            <w:r>
              <w:rPr>
                <w:rFonts w:hint="eastAsia" w:ascii="宋体" w:hAnsi="宋体" w:eastAsia="宋体" w:cs="宋体"/>
                <w:i w:val="0"/>
                <w:iCs w:val="0"/>
                <w:color w:val="000000"/>
                <w:kern w:val="0"/>
                <w:sz w:val="22"/>
                <w:szCs w:val="22"/>
                <w:u w:val="none"/>
                <w:lang w:val="en-US" w:eastAsia="zh-CN" w:bidi="ar"/>
              </w:rPr>
              <w:t>25.27</w:t>
            </w:r>
          </w:p>
        </w:tc>
        <w:tc>
          <w:tcPr>
            <w:tcW w:w="9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108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212</w:t>
            </w:r>
          </w:p>
        </w:tc>
        <w:tc>
          <w:tcPr>
            <w:tcW w:w="15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城乡社区支出</w:t>
            </w:r>
          </w:p>
        </w:tc>
        <w:tc>
          <w:tcPr>
            <w:tcW w:w="10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6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25.27</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25.27</w:t>
            </w:r>
          </w:p>
        </w:tc>
        <w:tc>
          <w:tcPr>
            <w:tcW w:w="9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5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25.27</w:t>
            </w:r>
          </w:p>
        </w:tc>
        <w:tc>
          <w:tcPr>
            <w:tcW w:w="9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21208</w:t>
            </w:r>
          </w:p>
        </w:tc>
        <w:tc>
          <w:tcPr>
            <w:tcW w:w="15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国有土地使用权出让收入安排的支出</w:t>
            </w:r>
          </w:p>
        </w:tc>
        <w:tc>
          <w:tcPr>
            <w:tcW w:w="10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6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25.27</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25.27</w:t>
            </w:r>
          </w:p>
        </w:tc>
        <w:tc>
          <w:tcPr>
            <w:tcW w:w="9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5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25.27</w:t>
            </w:r>
          </w:p>
        </w:tc>
        <w:tc>
          <w:tcPr>
            <w:tcW w:w="9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2120804</w:t>
            </w:r>
          </w:p>
        </w:tc>
        <w:tc>
          <w:tcPr>
            <w:tcW w:w="15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农村基础设施建设支出</w:t>
            </w:r>
          </w:p>
        </w:tc>
        <w:tc>
          <w:tcPr>
            <w:tcW w:w="10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6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25.27</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25.27</w:t>
            </w:r>
          </w:p>
        </w:tc>
        <w:tc>
          <w:tcPr>
            <w:tcW w:w="9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5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25.27</w:t>
            </w:r>
          </w:p>
        </w:tc>
        <w:tc>
          <w:tcPr>
            <w:tcW w:w="9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rPr>
          <w:trHeight w:val="308" w:hRule="atLeast"/>
          <w:jc w:val="center"/>
        </w:trPr>
        <w:tc>
          <w:tcPr>
            <w:tcW w:w="108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5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6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9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9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5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6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9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9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highlight w:val="yellow"/>
        </w:rPr>
      </w:pPr>
      <w:r>
        <w:rPr>
          <w:rFonts w:hint="eastAsia" w:ascii="宋体" w:hAnsi="宋体" w:eastAsia="宋体" w:cs="宋体"/>
          <w:sz w:val="20"/>
          <w:szCs w:val="22"/>
        </w:rPr>
        <w:t>注：本表反映部门本年度政府性基金预算财政拨款收入、支出及结转结余情况。</w:t>
      </w:r>
      <w:r>
        <w:rPr>
          <w:b/>
          <w:sz w:val="20"/>
          <w:szCs w:val="22"/>
          <w:highlight w:val="yellow"/>
        </w:rPr>
        <w:br w:type="page"/>
      </w: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hint="default" w:ascii="黑体" w:hAnsi="黑体" w:eastAsia="宋体" w:cs="黑体"/>
          <w:sz w:val="56"/>
          <w:szCs w:val="72"/>
          <w:lang w:val="en-US" w:eastAsia="zh-CN"/>
        </w:rPr>
      </w:pPr>
      <w:r>
        <w:rPr>
          <w:rFonts w:hint="eastAsia" w:ascii="宋体" w:hAnsi="宋体" w:eastAsia="宋体" w:cs="宋体"/>
        </w:rPr>
        <w:t>注：本表反映部门本年度国有资本经营预算财政拨款收入、支出及结转结余情况。</w:t>
      </w:r>
      <w:r>
        <w:rPr>
          <w:rFonts w:hint="eastAsia" w:ascii="宋体" w:hAnsi="宋体" w:eastAsia="宋体" w:cs="宋体"/>
          <w:lang w:val="en-US" w:eastAsia="zh-CN"/>
        </w:rPr>
        <w:t>本单位无</w:t>
      </w:r>
      <w:r>
        <w:rPr>
          <w:rFonts w:hint="eastAsia" w:ascii="宋体" w:hAnsi="宋体" w:eastAsia="宋体" w:cs="宋体"/>
        </w:rPr>
        <w:t>国有资本经营预算财政拨款</w:t>
      </w:r>
      <w:r>
        <w:rPr>
          <w:rFonts w:hint="eastAsia" w:ascii="宋体" w:hAnsi="宋体" w:eastAsia="宋体" w:cs="宋体"/>
          <w:lang w:val="en-US" w:eastAsia="zh-CN"/>
        </w:rPr>
        <w:t>收支，按要求空表列示。</w:t>
      </w:r>
      <w:bookmarkStart w:id="0" w:name="_GoBack"/>
      <w:bookmarkEnd w:id="0"/>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pPr>
        <w:ind w:left="420"/>
      </w:pPr>
      <w:rPr>
        <w:rFonts w:hint="eastAsia"/>
      </w:rPr>
    </w:lvl>
  </w:abstractNum>
  <w:abstractNum w:abstractNumId="1">
    <w:nsid w:val="59950409"/>
    <w:multiLevelType w:val="singleLevel"/>
    <w:tmpl w:val="59950409"/>
    <w:lvl w:ilvl="0" w:tentative="0">
      <w:start w:val="1"/>
      <w:numFmt w:val="decimal"/>
      <w:suff w:val="space"/>
      <w:lvlText w:val="%1."/>
      <w:lvlJc w:val="left"/>
    </w:lvl>
  </w:abstractNum>
  <w:abstractNum w:abstractNumId="2">
    <w:nsid w:val="5F222FFA"/>
    <w:multiLevelType w:val="singleLevel"/>
    <w:tmpl w:val="5F222FFA"/>
    <w:lvl w:ilvl="0" w:tentative="0">
      <w:start w:val="1"/>
      <w:numFmt w:val="decimal"/>
      <w:suff w:val="nothing"/>
      <w:lvlText w:val="（%1）"/>
      <w:lvlJc w:val="left"/>
    </w:lvl>
  </w:abstractNum>
  <w:abstractNum w:abstractNumId="3">
    <w:nsid w:val="78C1413D"/>
    <w:multiLevelType w:val="singleLevel"/>
    <w:tmpl w:val="78C1413D"/>
    <w:lvl w:ilvl="0" w:tentative="0">
      <w:start w:val="1"/>
      <w:numFmt w:val="decimal"/>
      <w:suff w:val="space"/>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18668E"/>
    <w:rsid w:val="001B73D2"/>
    <w:rsid w:val="001E62BF"/>
    <w:rsid w:val="00293E7B"/>
    <w:rsid w:val="002D1F4F"/>
    <w:rsid w:val="00366D90"/>
    <w:rsid w:val="003D678E"/>
    <w:rsid w:val="00801F66"/>
    <w:rsid w:val="009334BF"/>
    <w:rsid w:val="058B71E0"/>
    <w:rsid w:val="0EA325C9"/>
    <w:rsid w:val="123833C1"/>
    <w:rsid w:val="2FB96948"/>
    <w:rsid w:val="3327616A"/>
    <w:rsid w:val="34C45458"/>
    <w:rsid w:val="35C83C42"/>
    <w:rsid w:val="37ED614A"/>
    <w:rsid w:val="3FDE07DB"/>
    <w:rsid w:val="42816614"/>
    <w:rsid w:val="46C97B35"/>
    <w:rsid w:val="5D0C63C4"/>
    <w:rsid w:val="6F513402"/>
    <w:rsid w:val="73D824BD"/>
    <w:rsid w:val="77CF1E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bmp"/><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0</TotalTime>
  <ScaleCrop>false</ScaleCrop>
  <LinksUpToDate>false</LinksUpToDate>
  <CharactersWithSpaces>11585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晁宇</cp:lastModifiedBy>
  <cp:lastPrinted>2021-10-13T02:44:00Z</cp:lastPrinted>
  <dcterms:modified xsi:type="dcterms:W3CDTF">2021-10-13T06:50:36Z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0ED3A1E6FAC84764B9604C209AE5D61D</vt:lpwstr>
  </property>
</Properties>
</file>