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0" cstate="print"/>
                    <a:srcRect/>
                    <a:stretch>
                      <a:fillRect/>
                    </a:stretch>
                  </pic:blipFill>
                  <pic:spPr>
                    <a:xfrm>
                      <a:off x="0" y="0"/>
                      <a:ext cx="7559675" cy="10689590"/>
                    </a:xfrm>
                    <a:prstGeom prst="rect">
                      <a:avLst/>
                    </a:prstGeom>
                  </pic:spPr>
                </pic:pic>
              </a:graphicData>
            </a:graphic>
          </wp:anchor>
        </w:drawing>
      </w:r>
      <w:r>
        <w:br w:type="page"/>
      </w:r>
    </w:p>
    <w:p>
      <w:pPr>
        <w:snapToGrid w:val="0"/>
        <w:jc w:val="center"/>
        <w:rPr>
          <w:rFonts w:ascii="楷体_GB2312" w:hAnsi="楷体_GB2312" w:eastAsia="楷体_GB2312" w:cs="楷体_GB2312"/>
          <w:color w:val="000000" w:themeColor="text1"/>
          <w:kern w:val="0"/>
          <w:sz w:val="40"/>
          <w:szCs w:val="40"/>
        </w:rPr>
      </w:pPr>
    </w:p>
    <w:p>
      <w:pPr>
        <w:jc w:val="center"/>
        <w:rPr>
          <w:rFonts w:ascii="黑体" w:hAnsi="黑体" w:eastAsia="黑体" w:cs="黑体"/>
          <w:sz w:val="72"/>
          <w:szCs w:val="96"/>
          <w:highlight w:val="yellow"/>
        </w:rPr>
      </w:pPr>
      <w:r>
        <w:rPr>
          <w:rFonts w:hint="eastAsia" w:ascii="黑体" w:hAnsi="黑体" w:eastAsia="黑体" w:cs="黑体"/>
          <w:sz w:val="72"/>
          <w:szCs w:val="96"/>
        </w:rPr>
        <w:t>保定市满城区民政局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二〇二一年九月</w:t>
      </w:r>
    </w:p>
    <w:p>
      <w:pPr>
        <w:tabs>
          <w:tab w:val="left" w:pos="2728"/>
        </w:tabs>
        <w:jc w:val="center"/>
        <w:rPr>
          <w:rFonts w:hint="eastAsia"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line="580" w:lineRule="exact"/>
        <w:ind w:firstLine="640" w:firstLineChars="200"/>
        <w:rPr>
          <w:rFonts w:hint="eastAsia" w:eastAsia="黑体"/>
          <w:sz w:val="32"/>
          <w:szCs w:val="32"/>
        </w:rPr>
      </w:pPr>
    </w:p>
    <w:p>
      <w:pPr>
        <w:widowControl/>
        <w:spacing w:line="580" w:lineRule="exact"/>
        <w:ind w:firstLine="640" w:firstLineChars="200"/>
        <w:rPr>
          <w:rFonts w:hint="eastAsia" w:eastAsia="黑体"/>
          <w:sz w:val="32"/>
          <w:szCs w:val="32"/>
        </w:rPr>
      </w:pPr>
    </w:p>
    <w:p>
      <w:pPr>
        <w:widowControl/>
        <w:spacing w:line="580" w:lineRule="exact"/>
        <w:ind w:firstLine="640" w:firstLineChars="200"/>
        <w:rPr>
          <w:rFonts w:hint="eastAsia" w:eastAsia="黑体"/>
          <w:sz w:val="32"/>
          <w:szCs w:val="32"/>
        </w:rPr>
      </w:pPr>
    </w:p>
    <w:p>
      <w:pPr>
        <w:rPr>
          <w:rFonts w:hint="eastAsia"/>
        </w:rPr>
      </w:pPr>
      <w:r>
        <w:rPr>
          <w:rFonts w:hint="eastAsia"/>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0288;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mc:Fallback>
        </mc:AlternateContent>
      </w:r>
      <w:r>
        <w:br w:type="page"/>
      </w:r>
    </w:p>
    <w:p>
      <w:pPr>
        <w:pStyle w:val="2"/>
        <w:spacing w:before="0" w:after="0" w:line="580" w:lineRule="exact"/>
        <w:ind w:firstLine="640" w:firstLineChars="200"/>
        <w:jc w:val="left"/>
        <w:rPr>
          <w:rFonts w:hint="eastAsia"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（一）拟定我区民政事业发展规划和工作计划并负责组织实施；负责全区民政行政执法监督检查、行政复议工作。</w:t>
      </w:r>
    </w:p>
    <w:p>
      <w:pPr>
        <w:spacing w:line="600" w:lineRule="exact"/>
        <w:rPr>
          <w:rFonts w:hint="eastAsia" w:ascii="仿宋_GB2312" w:eastAsia="仿宋_GB2312"/>
          <w:sz w:val="32"/>
          <w:szCs w:val="32"/>
        </w:rPr>
      </w:pPr>
      <w:r>
        <w:rPr>
          <w:rFonts w:hint="eastAsia" w:ascii="仿宋_GB2312" w:eastAsia="仿宋_GB2312"/>
          <w:sz w:val="32"/>
          <w:szCs w:val="32"/>
        </w:rPr>
        <w:t xml:space="preserve">    （二）提出加强和改进全区基层政权建设的建议，推进基层民主政治建设；指导村（居）民委员会换届选举、民主决策、民主管理和民主监督，推进村（居）民自治工作。</w:t>
      </w:r>
    </w:p>
    <w:p>
      <w:pPr>
        <w:spacing w:line="600" w:lineRule="exact"/>
        <w:rPr>
          <w:rFonts w:hint="eastAsia" w:ascii="仿宋_GB2312" w:eastAsia="仿宋_GB2312"/>
          <w:sz w:val="32"/>
          <w:szCs w:val="32"/>
        </w:rPr>
      </w:pPr>
      <w:r>
        <w:rPr>
          <w:rFonts w:hint="eastAsia" w:ascii="仿宋_GB2312" w:eastAsia="仿宋_GB2312"/>
          <w:sz w:val="32"/>
          <w:szCs w:val="32"/>
        </w:rPr>
        <w:t xml:space="preserve">    （三）负责区域行政区划界线的勘定和管理，协调解决行政区划边界纠纷；负责全区乡、村的区域划分及边界线的勘定和边界纠纷的调处。</w:t>
      </w:r>
    </w:p>
    <w:p>
      <w:pPr>
        <w:spacing w:line="600" w:lineRule="exact"/>
        <w:rPr>
          <w:rFonts w:hint="eastAsia" w:ascii="仿宋_GB2312" w:eastAsia="仿宋_GB2312"/>
          <w:sz w:val="32"/>
          <w:szCs w:val="32"/>
        </w:rPr>
      </w:pPr>
      <w:r>
        <w:rPr>
          <w:rFonts w:hint="eastAsia" w:ascii="仿宋_GB2312" w:eastAsia="仿宋_GB2312"/>
          <w:sz w:val="32"/>
          <w:szCs w:val="32"/>
        </w:rPr>
        <w:t xml:space="preserve">    （四）负责全区村以上地名命名、更名和境内主要道路、街道的命名工作；负责地名标志、街路牌、门牌的设置装订及地名资料的编纂工作。</w:t>
      </w:r>
    </w:p>
    <w:p>
      <w:pPr>
        <w:spacing w:line="600" w:lineRule="exact"/>
        <w:rPr>
          <w:rFonts w:hint="eastAsia" w:ascii="仿宋_GB2312" w:eastAsia="仿宋_GB2312"/>
          <w:sz w:val="32"/>
          <w:szCs w:val="32"/>
        </w:rPr>
      </w:pPr>
      <w:r>
        <w:rPr>
          <w:rFonts w:hint="eastAsia" w:ascii="仿宋_GB2312" w:eastAsia="仿宋_GB2312"/>
          <w:sz w:val="32"/>
          <w:szCs w:val="32"/>
        </w:rPr>
        <w:t xml:space="preserve">    （五）牵头拟定社会救助规划和标准，承担城乡社会救助体系建设；负责全区城乡居民最低生活保障、特困供养、临时救助和生活无着流浪乞讨人员救助工作。</w:t>
      </w:r>
    </w:p>
    <w:p>
      <w:pPr>
        <w:spacing w:line="600" w:lineRule="exact"/>
        <w:rPr>
          <w:rFonts w:hint="eastAsia" w:ascii="仿宋_GB2312" w:eastAsia="仿宋_GB2312"/>
          <w:sz w:val="32"/>
          <w:szCs w:val="32"/>
        </w:rPr>
      </w:pPr>
      <w:r>
        <w:rPr>
          <w:rFonts w:hint="eastAsia" w:ascii="仿宋_GB2312" w:eastAsia="仿宋_GB2312"/>
          <w:sz w:val="32"/>
          <w:szCs w:val="32"/>
        </w:rPr>
        <w:t xml:space="preserve">    （六）坚持和加强党对扶贫开发工作的集中统一领导；拟订全区扶贫脱贫工作规划，制定年度计划并组织实施；组织拟定扶贫资金、物资的分配、使用意见；负责指导、监督和检查资金、物资的使用；协调产业扶贫项目的规划、立项、申报和储备工作，经批准后组织实施；负责全区贫困状况的统计监测；组织实施贫困退出工作；负责扶贫开发的交流与合作；组织、指导扶贫济困等社会互助活动。</w:t>
      </w:r>
    </w:p>
    <w:p>
      <w:pPr>
        <w:spacing w:line="600" w:lineRule="exact"/>
        <w:rPr>
          <w:rFonts w:hint="eastAsia" w:ascii="仿宋_GB2312" w:eastAsia="仿宋_GB2312"/>
          <w:sz w:val="32"/>
          <w:szCs w:val="32"/>
        </w:rPr>
      </w:pPr>
      <w:r>
        <w:rPr>
          <w:rFonts w:hint="eastAsia" w:ascii="仿宋_GB2312" w:eastAsia="仿宋_GB2312"/>
          <w:sz w:val="32"/>
          <w:szCs w:val="32"/>
        </w:rPr>
        <w:t xml:space="preserve">    （七）拟订全区慈善事业发展规划和措施，组织指导社会捐助工作；负责福利彩票管理工作；负责老年人、孤儿、残疾人等特殊群体权益保护工作；健全农村留守儿童关爱服务体系和困境儿童保障制度。</w:t>
      </w:r>
    </w:p>
    <w:p>
      <w:pPr>
        <w:spacing w:line="600" w:lineRule="exact"/>
        <w:rPr>
          <w:rFonts w:hint="eastAsia" w:ascii="仿宋_GB2312" w:eastAsia="仿宋_GB2312"/>
          <w:sz w:val="32"/>
          <w:szCs w:val="32"/>
        </w:rPr>
      </w:pPr>
      <w:r>
        <w:rPr>
          <w:rFonts w:hint="eastAsia" w:ascii="仿宋_GB2312" w:eastAsia="仿宋_GB2312"/>
          <w:sz w:val="32"/>
          <w:szCs w:val="32"/>
        </w:rPr>
        <w:t xml:space="preserve">    （八）负责全区婚姻管理、殡葬管理和儿童收养工作；负责推进婚俗和殡葬改革工作；指导公益性公墓建设，加强丧葬用品市场管理，制止大操大办。</w:t>
      </w:r>
    </w:p>
    <w:p>
      <w:pPr>
        <w:spacing w:line="600" w:lineRule="exact"/>
        <w:rPr>
          <w:rFonts w:hint="eastAsia" w:ascii="仿宋_GB2312" w:eastAsia="仿宋_GB2312"/>
          <w:sz w:val="32"/>
          <w:szCs w:val="32"/>
        </w:rPr>
      </w:pPr>
      <w:r>
        <w:rPr>
          <w:rFonts w:hint="eastAsia" w:ascii="仿宋_GB2312" w:eastAsia="仿宋_GB2312"/>
          <w:sz w:val="32"/>
          <w:szCs w:val="32"/>
        </w:rPr>
        <w:t xml:space="preserve">    （九）负责全区社会团体及民办非企业单位的年度检查和执法监察工作；查处社会团体组织及民办非企业单位的违法行为。</w:t>
      </w:r>
    </w:p>
    <w:p>
      <w:pPr>
        <w:spacing w:line="600" w:lineRule="exact"/>
        <w:rPr>
          <w:rFonts w:hint="eastAsia" w:ascii="仿宋_GB2312" w:eastAsia="仿宋_GB2312"/>
          <w:sz w:val="32"/>
          <w:szCs w:val="32"/>
        </w:rPr>
      </w:pPr>
      <w:r>
        <w:rPr>
          <w:rFonts w:hint="eastAsia" w:ascii="仿宋_GB2312" w:eastAsia="仿宋_GB2312"/>
          <w:sz w:val="32"/>
          <w:szCs w:val="32"/>
        </w:rPr>
        <w:t xml:space="preserve">    （十）统筹推进、督促指导、监督管理全区养老服务工作。拟订全区养老服务体系建设规划、政策、标准并组织实施，承担老年人福利和特殊困难老年人救助工作。</w:t>
      </w:r>
    </w:p>
    <w:p>
      <w:pPr>
        <w:spacing w:line="600" w:lineRule="exact"/>
        <w:rPr>
          <w:rFonts w:hint="eastAsia" w:ascii="仿宋_GB2312" w:eastAsia="仿宋_GB2312"/>
          <w:sz w:val="32"/>
          <w:szCs w:val="32"/>
        </w:rPr>
      </w:pPr>
      <w:r>
        <w:rPr>
          <w:rFonts w:hint="eastAsia" w:ascii="仿宋_GB2312" w:eastAsia="仿宋_GB2312"/>
          <w:sz w:val="32"/>
          <w:szCs w:val="32"/>
        </w:rPr>
        <w:t xml:space="preserve">    （十一）负责拟定全区社区工作发展规划，指导社区居委会开展工作。</w:t>
      </w:r>
    </w:p>
    <w:p>
      <w:pPr>
        <w:spacing w:line="600" w:lineRule="exact"/>
        <w:rPr>
          <w:rFonts w:hint="eastAsia" w:ascii="仿宋_GB2312" w:eastAsia="仿宋_GB2312"/>
          <w:sz w:val="32"/>
          <w:szCs w:val="32"/>
        </w:rPr>
      </w:pPr>
      <w:r>
        <w:rPr>
          <w:rFonts w:hint="eastAsia" w:ascii="仿宋_GB2312" w:eastAsia="仿宋_GB2312"/>
          <w:sz w:val="32"/>
          <w:szCs w:val="32"/>
        </w:rPr>
        <w:t xml:space="preserve">    （十二）会同有关部门拟定社会工作发展规划和措施；推进全区社会工作人才队伍建设和相关志愿者队伍建设。</w:t>
      </w:r>
    </w:p>
    <w:p>
      <w:pPr>
        <w:spacing w:line="600" w:lineRule="exact"/>
        <w:rPr>
          <w:rFonts w:hint="eastAsia" w:ascii="仿宋_GB2312" w:eastAsia="仿宋_GB2312"/>
          <w:sz w:val="32"/>
          <w:szCs w:val="32"/>
        </w:rPr>
      </w:pPr>
      <w:r>
        <w:rPr>
          <w:rFonts w:hint="eastAsia" w:ascii="仿宋_GB2312" w:eastAsia="仿宋_GB2312"/>
          <w:sz w:val="32"/>
          <w:szCs w:val="32"/>
        </w:rPr>
        <w:t xml:space="preserve">    （十三）负责组织拟订全区民政系统有关安全方面的规章制度，组织开展本系统安全宣传教育工作；督促本系统重点单位建立健全安全管理制度和应急预案，落实安全防范措施，消除事故隐患。</w:t>
      </w:r>
    </w:p>
    <w:p>
      <w:pPr>
        <w:spacing w:line="600" w:lineRule="exact"/>
        <w:rPr>
          <w:rFonts w:hint="eastAsia" w:ascii="仿宋_GB2312" w:eastAsia="仿宋_GB2312"/>
          <w:sz w:val="32"/>
          <w:szCs w:val="32"/>
        </w:rPr>
      </w:pPr>
      <w:r>
        <w:rPr>
          <w:rFonts w:hint="eastAsia" w:ascii="仿宋_GB2312" w:eastAsia="仿宋_GB2312"/>
          <w:sz w:val="32"/>
          <w:szCs w:val="32"/>
        </w:rPr>
        <w:t xml:space="preserve">    （十四）负责本系统机关、事业单位职业卫生的监督管理工作。  </w:t>
      </w:r>
    </w:p>
    <w:p>
      <w:pPr>
        <w:spacing w:line="600" w:lineRule="exact"/>
        <w:rPr>
          <w:rFonts w:hint="eastAsia" w:ascii="仿宋_GB2312" w:eastAsia="仿宋_GB2312"/>
          <w:sz w:val="32"/>
          <w:szCs w:val="32"/>
        </w:rPr>
      </w:pPr>
      <w:r>
        <w:rPr>
          <w:rFonts w:hint="eastAsia" w:ascii="仿宋_GB2312" w:eastAsia="仿宋_GB2312"/>
          <w:sz w:val="32"/>
          <w:szCs w:val="32"/>
        </w:rPr>
        <w:t xml:space="preserve">    （十五）完成区委、区政府交办的其他事项。</w:t>
      </w:r>
    </w:p>
    <w:p>
      <w:pPr>
        <w:keepNext/>
        <w:keepLines/>
        <w:spacing w:line="580" w:lineRule="exact"/>
        <w:ind w:firstLine="640" w:firstLineChars="200"/>
        <w:jc w:val="left"/>
        <w:outlineLvl w:val="0"/>
        <w:rPr>
          <w:rFonts w:hint="eastAsia"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年度本部门决算汇编范围的独立核算单位（以下简称“单位”）共1个，具体情况如下：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0"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保定市满城区民政局</w:t>
            </w:r>
          </w:p>
        </w:tc>
        <w:tc>
          <w:tcPr>
            <w:tcW w:w="2404"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0"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rPr>
            </w:pPr>
          </w:p>
        </w:tc>
        <w:tc>
          <w:tcPr>
            <w:tcW w:w="3426" w:type="dxa"/>
          </w:tcPr>
          <w:p>
            <w:pPr>
              <w:spacing w:line="560" w:lineRule="exact"/>
              <w:rPr>
                <w:rFonts w:hint="eastAsia" w:ascii="仿宋_GB2312" w:hAnsi="Calibri" w:eastAsia="仿宋_GB2312" w:cs="Arial Black"/>
                <w:kern w:val="0"/>
                <w:sz w:val="28"/>
                <w:szCs w:val="28"/>
              </w:rPr>
            </w:pPr>
          </w:p>
        </w:tc>
        <w:tc>
          <w:tcPr>
            <w:tcW w:w="2404" w:type="dxa"/>
          </w:tcPr>
          <w:p>
            <w:pPr>
              <w:spacing w:line="560" w:lineRule="exact"/>
              <w:jc w:val="center"/>
              <w:rPr>
                <w:rFonts w:hint="eastAsia" w:ascii="仿宋_GB2312" w:hAnsi="Calibri" w:eastAsia="仿宋_GB2312" w:cs="Arial Black"/>
                <w:kern w:val="0"/>
                <w:sz w:val="28"/>
                <w:szCs w:val="28"/>
              </w:rPr>
            </w:pPr>
          </w:p>
        </w:tc>
        <w:tc>
          <w:tcPr>
            <w:tcW w:w="2620" w:type="dxa"/>
          </w:tcPr>
          <w:p>
            <w:pPr>
              <w:spacing w:line="560" w:lineRule="exact"/>
              <w:jc w:val="center"/>
              <w:rPr>
                <w:rFonts w:hint="eastAsia"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rPr>
            </w:pPr>
          </w:p>
        </w:tc>
        <w:tc>
          <w:tcPr>
            <w:tcW w:w="3426" w:type="dxa"/>
          </w:tcPr>
          <w:p>
            <w:pPr>
              <w:spacing w:line="560" w:lineRule="exact"/>
              <w:rPr>
                <w:rFonts w:hint="eastAsia" w:ascii="仿宋_GB2312" w:hAnsi="Calibri" w:eastAsia="仿宋_GB2312" w:cs="Arial Black"/>
                <w:kern w:val="0"/>
                <w:sz w:val="28"/>
                <w:szCs w:val="28"/>
              </w:rPr>
            </w:pPr>
          </w:p>
        </w:tc>
        <w:tc>
          <w:tcPr>
            <w:tcW w:w="2404" w:type="dxa"/>
          </w:tcPr>
          <w:p>
            <w:pPr>
              <w:spacing w:line="560" w:lineRule="exact"/>
              <w:jc w:val="center"/>
              <w:rPr>
                <w:rFonts w:hint="eastAsia" w:ascii="仿宋_GB2312" w:hAnsi="Calibri" w:eastAsia="仿宋_GB2312" w:cs="Arial Black"/>
                <w:kern w:val="0"/>
                <w:sz w:val="28"/>
                <w:szCs w:val="28"/>
              </w:rPr>
            </w:pPr>
          </w:p>
        </w:tc>
        <w:tc>
          <w:tcPr>
            <w:tcW w:w="2620" w:type="dxa"/>
          </w:tcPr>
          <w:p>
            <w:pPr>
              <w:spacing w:line="560" w:lineRule="exact"/>
              <w:jc w:val="center"/>
              <w:rPr>
                <w:rFonts w:hint="eastAsia"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rPr>
                <w:rFonts w:hint="eastAsia" w:ascii="仿宋_GB2312" w:hAnsi="Calibri" w:eastAsia="仿宋_GB2312" w:cs="Arial Black"/>
                <w:kern w:val="0"/>
                <w:sz w:val="28"/>
                <w:szCs w:val="28"/>
              </w:rPr>
            </w:pPr>
          </w:p>
        </w:tc>
        <w:tc>
          <w:tcPr>
            <w:tcW w:w="3426" w:type="dxa"/>
            <w:tcBorders>
              <w:bottom w:val="single" w:color="auto" w:sz="4" w:space="0"/>
            </w:tcBorders>
          </w:tcPr>
          <w:p>
            <w:pPr>
              <w:spacing w:line="560" w:lineRule="exact"/>
              <w:rPr>
                <w:rFonts w:hint="eastAsia" w:ascii="仿宋_GB2312" w:hAnsi="Calibri" w:eastAsia="仿宋_GB2312" w:cs="Arial Black"/>
                <w:kern w:val="0"/>
                <w:sz w:val="28"/>
                <w:szCs w:val="28"/>
              </w:rPr>
            </w:pPr>
          </w:p>
        </w:tc>
        <w:tc>
          <w:tcPr>
            <w:tcW w:w="2404" w:type="dxa"/>
            <w:tcBorders>
              <w:bottom w:val="single" w:color="auto" w:sz="4" w:space="0"/>
            </w:tcBorders>
          </w:tcPr>
          <w:p>
            <w:pPr>
              <w:spacing w:line="560" w:lineRule="exact"/>
              <w:jc w:val="center"/>
              <w:rPr>
                <w:rFonts w:hint="eastAsia" w:ascii="仿宋_GB2312" w:hAnsi="Calibri" w:eastAsia="仿宋_GB2312" w:cs="Arial Black"/>
                <w:kern w:val="0"/>
                <w:sz w:val="28"/>
                <w:szCs w:val="28"/>
              </w:rPr>
            </w:pPr>
          </w:p>
        </w:tc>
        <w:tc>
          <w:tcPr>
            <w:tcW w:w="2620" w:type="dxa"/>
            <w:tcBorders>
              <w:bottom w:val="single" w:color="auto" w:sz="4" w:space="0"/>
            </w:tcBorders>
          </w:tcPr>
          <w:p>
            <w:pPr>
              <w:spacing w:line="560" w:lineRule="exact"/>
              <w:jc w:val="center"/>
              <w:rPr>
                <w:rFonts w:hint="eastAsia"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rPr>
          <w:rFonts w:hint="eastAsia"/>
        </w:rPr>
      </w:pPr>
    </w:p>
    <w:p>
      <w:pPr>
        <w:widowControl/>
        <w:spacing w:after="160" w:line="580" w:lineRule="exact"/>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mc:Fallback>
        </mc:AlternateContent>
      </w:r>
    </w:p>
    <w:p>
      <w:pPr>
        <w:widowControl/>
        <w:spacing w:line="580" w:lineRule="exact"/>
        <w:ind w:firstLine="640" w:firstLineChars="200"/>
        <w:rPr>
          <w:rFonts w:hint="eastAsia"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rPr>
                                <w:rFonts w:hint="eastAsia"/>
                              </w:rPr>
                            </w:pPr>
                          </w:p>
                          <w:p>
                            <w:pPr>
                              <w:rPr>
                                <w:rFonts w:hint="eastAsia"/>
                              </w:rPr>
                            </w:pPr>
                          </w:p>
                        </w:txbxContent>
                      </wps:txbx>
                      <wps:bodyPr anchor="ctr" anchorCtr="0" upright="1"/>
                    </wps:wsp>
                  </a:graphicData>
                </a:graphic>
              </wp:anchor>
            </w:drawing>
          </mc:Choice>
          <mc:Fallback>
            <w:pict>
              <v:shape id="文本框 15" o:spid="_x0000_s1026" o:spt="202" type="#_x0000_t202" style="position:absolute;left:0pt;margin-left:-80.95pt;margin-top:-207.65pt;height:263.1pt;width:613.65pt;z-index:251663360;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rPr>
                          <w:rFonts w:hint="eastAsia"/>
                        </w:rPr>
                      </w:pPr>
                    </w:p>
                    <w:p>
                      <w:pPr>
                        <w:rPr>
                          <w:rFonts w:hint="eastAsia"/>
                        </w:rPr>
                      </w:pPr>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hint="eastAsia"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本部门2020年度收、支总计（含结转和结余）5642.67万元。与2019年度决算相比，收支各减少1087.92万元，下降19.28%，主要原因是机构改革，救灾职能转出。</w:t>
      </w: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本部门2020年度本年收入合计5642.67万元，其中：财政拨款收入5629.60万元，占99.77%；事业收入0万元，占0%；经营收入0万元，占0%；其他收入13.06万元，占0.23%。</w:t>
      </w:r>
    </w:p>
    <w:p>
      <w:pPr>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本部门2020年度本年支出合计5642.67万元，其中：基本支出792.51万元，占14.05%；项目支出4850.15万元，占85.95%；经营支出0万元，占0%。</w:t>
      </w: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5629.60万元,比2019年度减少1068.22万元，降低15.36%，主要是机构改革，救灾职能转出；本年支出5629.60万元，减少1068.22万元，降低15.36%，主要是机构改革，救灾职能转出。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一般公共预算财政拨款本年收入5168.06万元，比上年减少1408.01万元；主要是机构改革，救灾职能转出；本年支出5168.06万元，比上年减少1408.01万元，降低21.41%，主要是主要是机构改革，救灾职能转出。</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461.54万元，比上年增加339.79万元，增长279.09%，主要原因是我国步入老年社会，国家加大了对养老机构的投入；本年支出461.54万元，比上年增加339.79万元，增长279.09%，主要原因是我国步入老年社会，国家加大了对养老机构的投入。</w:t>
      </w:r>
    </w:p>
    <w:p>
      <w:pPr>
        <w:adjustRightInd w:val="0"/>
        <w:snapToGrid w:val="0"/>
        <w:spacing w:line="600" w:lineRule="exact"/>
        <w:ind w:firstLine="640" w:firstLineChars="200"/>
        <w:rPr>
          <w:rFonts w:ascii="仿宋_GB2312" w:hAnsi="Times New Roman" w:eastAsia="仿宋_GB2312" w:cs="Wingdings"/>
          <w:sz w:val="32"/>
          <w:szCs w:val="32"/>
          <w:highlight w:val="yellow"/>
        </w:rPr>
      </w:pP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本部门2020年度财政拨款本年收入5629.60万元，完成年初预算的112.9</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%,比年初预算增加643.33万元，决算数大于预算数主要原因是我国步入老年社会，国家加大了对养老机构的投入；本年支出5629.60万元，完成年初预算的112.9</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%,比年初预算增加643.33万元，决算数大于预算数主要原因是主要是我国步入老年社会，国家加大了对养老机构的投入。具体情况如下：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一般公共预算财政拨款本年收入完成年初预算109.46%，比年初预算增加446.59万元，主要是增加了8个社区居委会；支出完成年初预算109.46%，比年初预算增加446.59万元，主要是增加了8个社区居委会。</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完成年初预算174.17%，比年初预算增加196.54万元，主要是我国步入老年社会，国家加大了对养老机构的投入；支出完成年初预算174.17%，比年初预算增加196.54万元，主要是我国步入老年社会，国家加大了对养老机构的投入。</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年度财政拨款支出5629.60万元，主要用于以下方面：一般公共服务（类）支出3</w:t>
      </w:r>
      <w:r>
        <w:rPr>
          <w:rFonts w:hint="eastAsia" w:ascii="仿宋_GB2312" w:hAnsi="Times New Roman" w:eastAsia="仿宋_GB2312" w:cs="Wingdings"/>
          <w:sz w:val="32"/>
          <w:szCs w:val="32"/>
          <w:lang w:val="en-US" w:eastAsia="zh-CN"/>
        </w:rPr>
        <w:t>.00</w:t>
      </w:r>
      <w:r>
        <w:rPr>
          <w:rFonts w:hint="eastAsia" w:ascii="仿宋_GB2312" w:hAnsi="Times New Roman" w:eastAsia="仿宋_GB2312" w:cs="Wingdings"/>
          <w:sz w:val="32"/>
          <w:szCs w:val="32"/>
        </w:rPr>
        <w:t>万元，占0.05%；文化旅游体育与传媒（类）支出6</w:t>
      </w:r>
      <w:r>
        <w:rPr>
          <w:rFonts w:hint="eastAsia" w:ascii="仿宋_GB2312" w:hAnsi="Times New Roman" w:eastAsia="仿宋_GB2312" w:cs="Wingdings"/>
          <w:sz w:val="32"/>
          <w:szCs w:val="32"/>
          <w:lang w:val="en-US" w:eastAsia="zh-CN"/>
        </w:rPr>
        <w:t>.00</w:t>
      </w:r>
      <w:r>
        <w:rPr>
          <w:rFonts w:hint="eastAsia" w:ascii="仿宋_GB2312" w:hAnsi="Times New Roman" w:eastAsia="仿宋_GB2312" w:cs="Wingdings"/>
          <w:sz w:val="32"/>
          <w:szCs w:val="32"/>
        </w:rPr>
        <w:t>万元占0.1</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%；公共安全类（类）社会保障和就业（类）支出4933.99万元，占87.65%；卫生健康（类）支出52.95万元，占0.9</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%；农林水（类）支出143.71万元，占2.6</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%；住房保障（类）支出28.42万元，占 0.5</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%;其他支出（彩票公益金安排的支出）170.54万元，占 3</w:t>
      </w:r>
      <w:r>
        <w:rPr>
          <w:rFonts w:hint="eastAsia" w:ascii="仿宋_GB2312" w:hAnsi="Times New Roman" w:eastAsia="仿宋_GB2312" w:cs="Wingdings"/>
          <w:sz w:val="32"/>
          <w:szCs w:val="32"/>
          <w:lang w:val="en-US" w:eastAsia="zh-CN"/>
        </w:rPr>
        <w:t>.00</w:t>
      </w:r>
      <w:r>
        <w:rPr>
          <w:rFonts w:hint="eastAsia" w:ascii="仿宋_GB2312" w:hAnsi="Times New Roman" w:eastAsia="仿宋_GB2312" w:cs="Wingdings"/>
          <w:sz w:val="32"/>
          <w:szCs w:val="32"/>
        </w:rPr>
        <w:t>%;抗疫特别国债安排的（彩票公益金）支出291</w:t>
      </w:r>
      <w:r>
        <w:rPr>
          <w:rFonts w:hint="eastAsia" w:ascii="仿宋_GB2312" w:hAnsi="Times New Roman" w:eastAsia="仿宋_GB2312" w:cs="Wingdings"/>
          <w:sz w:val="32"/>
          <w:szCs w:val="32"/>
          <w:lang w:val="en-US" w:eastAsia="zh-CN"/>
        </w:rPr>
        <w:t>.00</w:t>
      </w:r>
      <w:r>
        <w:rPr>
          <w:rFonts w:hint="eastAsia" w:ascii="仿宋_GB2312" w:hAnsi="Times New Roman" w:eastAsia="仿宋_GB2312" w:cs="Wingdings"/>
          <w:sz w:val="32"/>
          <w:szCs w:val="32"/>
        </w:rPr>
        <w:t>万元，占 5.2</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年度财政拨款基本支出792.52万元，其中：人员经费 755.65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36.87万元，主要包括办公费、印刷费、手续费、水费、电费、邮电费、取暖费、物业管理费、差旅费、维修（护）费、会议费、培训费、公务接待费、专用材料费、劳务费、委托业务费、福利费、公务用车运行维护费、其他交通费用、其他商品和服务支出、办公设备购置、专用设备购置、信息网络及软件购置更新、其他资本性支出。</w:t>
      </w: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17.5万元，支出决算为10.72元，完成预算的61.26%,较预算减少6.78万元，降低38.74%，主要是严格控制车辆出行；较2019年度增加1.5万元，增长16.26%，主要是疫情期间接送返满人员。</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本年无因公出国经费开支</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1.81</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本年无因公出国经费开支</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本部门2020年公务用车购置及运行维护费支出10.72万元，完成预算的61.26%，</w:t>
      </w:r>
      <w:r>
        <w:rPr>
          <w:rFonts w:hint="eastAsia" w:ascii="仿宋_GB2312" w:hAnsi="Times New Roman" w:eastAsia="仿宋_GB2312" w:cs="Wingdings"/>
          <w:sz w:val="32"/>
          <w:szCs w:val="32"/>
        </w:rPr>
        <w:t>较预算减少6.78万元，降低38.74%,主要是严格控制车辆出行；较上年增加1.5</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万元，增长16.26%，主要是疫情期间接送返满人员。</w:t>
      </w:r>
    </w:p>
    <w:p>
      <w:pPr>
        <w:adjustRightInd w:val="0"/>
        <w:snapToGrid w:val="0"/>
        <w:spacing w:line="600" w:lineRule="exact"/>
        <w:rPr>
          <w:rFonts w:ascii="仿宋_GB2312" w:hAnsi="Times New Roman" w:eastAsia="仿宋_GB2312" w:cs="Mongolian Baiti"/>
          <w:b/>
          <w:bCs/>
          <w:sz w:val="32"/>
          <w:szCs w:val="32"/>
        </w:rPr>
      </w:pP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本部门2020年度公务用车购置量为0，未发生公务用车购置经费支出，与年初预算持平，与2019年度决算支出持平。</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4辆,发生运行维护费支10.72万元。公车运行维护费支出较预算减少6.78万元，增降低38.74%,主要是严格控制车辆出行；较上年增加1.5万元，增长16.26%，主要是疫情期间接送返满人员。</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本部门2020年公务</w:t>
      </w:r>
      <w:r>
        <w:rPr>
          <w:rFonts w:hint="eastAsia" w:ascii="仿宋_GB2312" w:hAnsi="仿宋_GB2312" w:eastAsia="仿宋_GB2312" w:cs="仿宋_GB2312"/>
          <w:sz w:val="32"/>
          <w:szCs w:val="32"/>
          <w:lang w:val="en-US" w:eastAsia="zh-CN"/>
        </w:rPr>
        <w:t>接待</w:t>
      </w:r>
      <w:r>
        <w:rPr>
          <w:rFonts w:hint="eastAsia" w:ascii="仿宋_GB2312" w:hAnsi="仿宋_GB2312" w:eastAsia="仿宋_GB2312" w:cs="仿宋_GB2312"/>
          <w:sz w:val="32"/>
          <w:szCs w:val="32"/>
        </w:rPr>
        <w:t>费支出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万元。发生</w:t>
      </w:r>
      <w:r>
        <w:rPr>
          <w:rFonts w:hint="eastAsia" w:ascii="仿宋_GB2312" w:hAnsi="Times New Roman" w:eastAsia="仿宋_GB2312" w:cs="Wingdings"/>
          <w:sz w:val="32"/>
          <w:szCs w:val="32"/>
        </w:rPr>
        <w:t>公务接待共0批次、0人次。公务接待费支出较预算减少0.94万元，降低100%,主要是没有发生公务接待；较上年度减少0万元，降低0%,主要是2019年、2020年均未发生公务接待。</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10个，二级项目19个，共涉及资金4850.15万元，占一般公共预算项目支出总额的973.27；政府性基金预算一级项目2个，二级项目2个,共涉及资金461.54万元，占政府性基金预算项目支出总额的174.17%。</w:t>
      </w:r>
    </w:p>
    <w:p>
      <w:pPr>
        <w:adjustRightInd w:val="0"/>
        <w:snapToGrid w:val="0"/>
        <w:spacing w:line="580" w:lineRule="exact"/>
        <w:ind w:firstLine="640" w:firstLineChars="200"/>
        <w:rPr>
          <w:rFonts w:hint="eastAsia" w:ascii="仿宋_GB2312" w:eastAsia="仿宋_GB2312" w:cs="DengXian-Regular"/>
          <w:sz w:val="32"/>
          <w:szCs w:val="32"/>
        </w:rPr>
      </w:pPr>
      <w:r>
        <w:rPr>
          <w:rFonts w:hint="eastAsia" w:ascii="仿宋_GB2312" w:hAnsi="仿宋_GB2312" w:eastAsia="仿宋_GB2312" w:cs="仿宋_GB2312"/>
          <w:sz w:val="32"/>
          <w:szCs w:val="32"/>
        </w:rPr>
        <w:t>组织对“残疾人事业”一级项目开展了部门评价，涉及一般公共预算支出295.77万元。</w:t>
      </w:r>
      <w:r>
        <w:rPr>
          <w:rFonts w:hint="eastAsia" w:ascii="仿宋_GB2312" w:eastAsia="仿宋_GB2312" w:cs="DengXian-Regular"/>
          <w:sz w:val="32"/>
          <w:szCs w:val="32"/>
        </w:rPr>
        <w:t>从评价情况来看，我单位根据单位实际和工作需要，清晰描述预算项目开支范围和内容，确定预算项目的绩效目标。在预算执行过程中，按时间和进度的绩效管理目标要求，合理安排资金的使用，保证了各项工作的顺利进行，较好地实现了预算项目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本部门在今年部门决算公开中反映残疾人事业项目绩效自评结果。</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残疾人事业项目自评综述：根据年初设定的绩效目标，残疾人事业项目绩效自评得分为95分。全年预算数为170万元，执行数为295.77万元，完成预算的173.98%。项目绩效目标完成情况：一是按照国家规定，为两残人员提供基本生活等方面的保障；二是真正意义上保障其基本生活，按照政策规定的补助补贴标准，确保将此笔专项资金准确、及时、足额的发放到两残人员手中。</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现的主要问题及原因：一是部分符合规定的残疾人没有及时申请补助，造成漏保；二是由于工作量大，造成发放时间有时比预定时间晚。下一步改进措施：一是及时查漏补缺，做到应保尽保；二是打好提前量，及时发放补贴。</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残疾人事业项目绩效自评综述：</w:t>
      </w:r>
    </w:p>
    <w:p>
      <w:pPr>
        <w:adjustRightInd w:val="0"/>
        <w:snapToGrid w:val="0"/>
        <w:spacing w:line="600" w:lineRule="exact"/>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经济效益：两残人员生活水平保持稳定；社会效益：已纳入两残补贴发放人数占应纳入两残补贴人数的比率</w:t>
      </w:r>
    </w:p>
    <w:p>
      <w:pPr>
        <w:adjustRightInd w:val="0"/>
        <w:snapToGrid w:val="0"/>
        <w:spacing w:line="600" w:lineRule="exac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hint="eastAsia" w:ascii="仿宋_GB2312" w:eastAsia="仿宋_GB2312" w:cs="DengXian-Regular"/>
          <w:sz w:val="32"/>
          <w:szCs w:val="32"/>
        </w:rPr>
      </w:pPr>
      <w:r>
        <w:rPr>
          <w:rFonts w:hint="eastAsia" w:ascii="仿宋_GB2312" w:hAnsi="仿宋_GB2312" w:eastAsia="仿宋_GB2312" w:cs="仿宋_GB2312"/>
          <w:sz w:val="32"/>
          <w:szCs w:val="32"/>
        </w:rPr>
        <w:t>本部门2020年度机关运行经费支出27.47万元，比2019年度减少46.59万元，降低62.91%。主要原因是</w:t>
      </w:r>
      <w:r>
        <w:rPr>
          <w:rFonts w:hint="eastAsia" w:ascii="仿宋_GB2312" w:eastAsia="仿宋_GB2312" w:cs="DengXian-Regular"/>
          <w:sz w:val="32"/>
          <w:szCs w:val="32"/>
        </w:rPr>
        <w:t>压缩办公费用，减少单位日常运行费用以及机构改革后人员减少。</w:t>
      </w:r>
    </w:p>
    <w:p>
      <w:pPr>
        <w:keepNext/>
        <w:keepLines/>
        <w:snapToGrid w:val="0"/>
        <w:spacing w:line="60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 0万元。授予中小企业合同金0万元，其中授予小微企业合同金额0万元。</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截至2020年12月31日，本部门共有车辆10辆，与上年持平，主要是业务用车和机要通信用车。其中，机要通信用车4辆，其他用车6辆，其他用车主要是殡葬车。</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台（套），与上年持平，单位价值100万元以上专用设备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台（套）比上年持平。</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本部门2020年度未发生国有资金经营预算收支及结转结余情况，故国有资金经营等表以空表列示。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rPr>
                                <w:rFonts w:hint="eastAsia"/>
                              </w:rPr>
                            </w:pPr>
                            <w:r>
                              <w:rPr>
                                <w:rFonts w:hint="eastAsia" w:ascii="黑体" w:hAnsi="黑体" w:eastAsia="黑体" w:cs="黑体"/>
                                <w:color w:val="000000" w:themeColor="text1"/>
                                <w:sz w:val="90"/>
                                <w:szCs w:val="90"/>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5pt;margin-top:15.9pt;height:263.1pt;width:613.65pt;z-index:251661312;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o:title="5%" focussize="0,0" r:id="rId11"/>
                <v:stroke weight="0.5pt" color="#7F7F7F" joinstyle="round"/>
                <v:imagedata o:title=""/>
                <o:lock v:ext="edit" aspectratio="f"/>
                <v:textbox>
                  <w:txbxContent>
                    <w:p>
                      <w:pPr>
                        <w:widowControl/>
                        <w:jc w:val="center"/>
                        <w:rPr>
                          <w:rFonts w:hint="eastAsia"/>
                        </w:rPr>
                      </w:pPr>
                      <w:r>
                        <w:rPr>
                          <w:rFonts w:hint="eastAsia" w:ascii="黑体" w:hAnsi="黑体" w:eastAsia="黑体" w:cs="黑体"/>
                          <w:color w:val="000000" w:themeColor="text1"/>
                          <w:sz w:val="90"/>
                          <w:szCs w:val="90"/>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hint="eastAsia"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r>
        <w:rPr>
          <w:sz w:val="72"/>
        </w:rPr>
        <mc:AlternateContent>
          <mc:Choice Requires="wps">
            <w:drawing>
              <wp:anchor distT="0" distB="0" distL="114300" distR="114300" simplePos="0" relativeHeight="251664384"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4"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rPr>
                                <w:rFonts w:hint="eastAsia"/>
                              </w:rPr>
                            </w:pPr>
                            <w:r>
                              <w:rPr>
                                <w:rFonts w:hint="eastAsia" w:ascii="黑体" w:hAnsi="黑体" w:eastAsia="黑体" w:cs="黑体"/>
                                <w:color w:val="000000" w:themeColor="text1"/>
                                <w:sz w:val="90"/>
                                <w:szCs w:val="90"/>
                              </w:rPr>
                              <w:t>2020年度部门决算报表</w:t>
                            </w:r>
                          </w:p>
                          <w:p>
                            <w:pPr>
                              <w:rPr>
                                <w:rFonts w:hint="eastAsia"/>
                              </w:rPr>
                            </w:pPr>
                          </w:p>
                        </w:txbxContent>
                      </wps:txbx>
                      <wps:bodyPr anchor="ctr" anchorCtr="0" upright="1"/>
                    </wps:wsp>
                  </a:graphicData>
                </a:graphic>
              </wp:anchor>
            </w:drawing>
          </mc:Choice>
          <mc:Fallback>
            <w:pict>
              <v:shape id="_x0000_s1026" o:spid="_x0000_s1026" o:spt="202" type="#_x0000_t202" style="position:absolute;left:0pt;margin-left:-80.9pt;margin-top:90.65pt;height:263.1pt;width:613.65pt;z-index:251664384;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rPr>
                          <w:rFonts w:hint="eastAsia"/>
                        </w:rPr>
                      </w:pPr>
                      <w:r>
                        <w:rPr>
                          <w:rFonts w:hint="eastAsia" w:ascii="黑体" w:hAnsi="黑体" w:eastAsia="黑体" w:cs="黑体"/>
                          <w:color w:val="000000" w:themeColor="text1"/>
                          <w:sz w:val="90"/>
                          <w:szCs w:val="90"/>
                        </w:rPr>
                        <w:t>2020年度部门决算报表</w:t>
                      </w:r>
                    </w:p>
                    <w:p>
                      <w:pPr>
                        <w:rPr>
                          <w:rFonts w:hint="eastAsia"/>
                        </w:rPr>
                      </w:pPr>
                    </w:p>
                  </w:txbxContent>
                </v:textbox>
              </v:shape>
            </w:pict>
          </mc:Fallback>
        </mc:AlternateContent>
      </w:r>
    </w:p>
    <w:tbl>
      <w:tblPr>
        <w:tblStyle w:val="5"/>
        <w:tblW w:w="87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36"/>
        <w:gridCol w:w="584"/>
        <w:gridCol w:w="891"/>
        <w:gridCol w:w="2582"/>
        <w:gridCol w:w="584"/>
        <w:gridCol w:w="13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55" w:hRule="atLeast"/>
        </w:trPr>
        <w:tc>
          <w:tcPr>
            <w:tcW w:w="8730" w:type="dxa"/>
            <w:gridSpan w:val="6"/>
            <w:tcBorders>
              <w:top w:val="nil"/>
              <w:left w:val="nil"/>
              <w:bottom w:val="nil"/>
              <w:right w:val="nil"/>
            </w:tcBorders>
            <w:shd w:val="clear" w:color="auto" w:fill="auto"/>
            <w:noWrap/>
            <w:vAlign w:val="bottom"/>
          </w:tcPr>
          <w:p>
            <w:pPr>
              <w:jc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公开01表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部门：保定市满城区民政局</w:t>
            </w:r>
          </w:p>
        </w:tc>
        <w:tc>
          <w:tcPr>
            <w:tcW w:w="0" w:type="auto"/>
            <w:tcBorders>
              <w:top w:val="nil"/>
              <w:left w:val="nil"/>
              <w:bottom w:val="single" w:color="auto" w:sz="4" w:space="0"/>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single" w:color="auto" w:sz="4" w:space="0"/>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single" w:color="auto" w:sz="4" w:space="0"/>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single" w:color="auto" w:sz="4" w:space="0"/>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收入</w:t>
            </w:r>
          </w:p>
        </w:tc>
        <w:tc>
          <w:tcPr>
            <w:tcW w:w="0" w:type="auto"/>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栏次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栏次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一、一般公共预算财政拨款收入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5,168.06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一、一般公共服务支出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二、政府性基金预算财政拨款收入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461.54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二、外交支出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三、国有资本经营预算财政拨款收入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三、国防支出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四、上级补助收入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四、公共安全支出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五、事业收入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五、教育支出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六、经营收入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六、科学技术支出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七、附属单位上缴收入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七、文化旅游体育与传媒支出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八、其他收入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八、社会保障和就业支出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4,933.99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九、卫生健康支出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十、节能环保支出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十一、城乡社区支出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十二、农林水支出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十三、交通运输支出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十四、资源勘探工业信息等支出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十五、商业服务业等支出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十六、金融支出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十七、援助其他地区支出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十八、自然资源海洋气象等支出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十九、住房保障支出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二十、粮油物资储备支出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二十一、国有资本经营预算支出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二十二、灾害防治及应急管理支出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二十三、其他支出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2"/>
                <w:szCs w:val="12"/>
                <w:u w:val="none"/>
              </w:rPr>
            </w:pP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二十四、债务还本支出</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55</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二十五、债务付息支出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二十六、抗疫特别国债安排的支出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本年收入合计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5,629.60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本年支出合计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5,642.67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使用非财政拨款结余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结余分配</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年初结转和结余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年末结转和结余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61</w:t>
            </w: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总计</w:t>
            </w:r>
          </w:p>
        </w:tc>
        <w:tc>
          <w:tcPr>
            <w:tcW w:w="0" w:type="auto"/>
            <w:tcBorders>
              <w:top w:val="nil"/>
              <w:left w:val="nil"/>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5,642.67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总计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5,642.67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注：本表反映部门本年度的总收支和年末结转结余情况。本套报表金额单位转换时可能存在尾数误差。</w:t>
            </w:r>
          </w:p>
        </w:tc>
      </w:tr>
    </w:tbl>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tbl>
      <w:tblPr>
        <w:tblStyle w:val="5"/>
        <w:tblpPr w:leftFromText="180" w:rightFromText="180" w:vertAnchor="text" w:horzAnchor="page" w:tblpX="1464" w:tblpY="-462"/>
        <w:tblOverlap w:val="never"/>
        <w:tblW w:w="89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3"/>
        <w:gridCol w:w="308"/>
        <w:gridCol w:w="308"/>
        <w:gridCol w:w="2113"/>
        <w:gridCol w:w="845"/>
        <w:gridCol w:w="797"/>
        <w:gridCol w:w="541"/>
        <w:gridCol w:w="582"/>
        <w:gridCol w:w="576"/>
        <w:gridCol w:w="618"/>
        <w:gridCol w:w="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383" w:type="dxa"/>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308"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308"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6072" w:type="dxa"/>
            <w:gridSpan w:val="7"/>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收入决算表</w:t>
            </w:r>
          </w:p>
        </w:tc>
        <w:tc>
          <w:tcPr>
            <w:tcW w:w="896"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383"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308"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308"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2113"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845"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797"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541"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582"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576"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618"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896" w:type="dxa"/>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公开02表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383"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部门：保定市满城区民政局</w:t>
            </w:r>
          </w:p>
        </w:tc>
        <w:tc>
          <w:tcPr>
            <w:tcW w:w="308"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308"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2113"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845"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797"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541"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582"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576"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618"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2"/>
                <w:szCs w:val="12"/>
                <w:u w:val="none"/>
              </w:rPr>
            </w:pPr>
          </w:p>
        </w:tc>
        <w:tc>
          <w:tcPr>
            <w:tcW w:w="896" w:type="dxa"/>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411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w:t>
            </w:r>
          </w:p>
        </w:tc>
        <w:tc>
          <w:tcPr>
            <w:tcW w:w="845"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本年收入合计</w:t>
            </w:r>
          </w:p>
        </w:tc>
        <w:tc>
          <w:tcPr>
            <w:tcW w:w="797"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财政拨款收入</w:t>
            </w:r>
          </w:p>
        </w:tc>
        <w:tc>
          <w:tcPr>
            <w:tcW w:w="541"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上级补助收入</w:t>
            </w:r>
          </w:p>
        </w:tc>
        <w:tc>
          <w:tcPr>
            <w:tcW w:w="582"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事业收入</w:t>
            </w:r>
          </w:p>
        </w:tc>
        <w:tc>
          <w:tcPr>
            <w:tcW w:w="576"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经营收入</w:t>
            </w:r>
          </w:p>
        </w:tc>
        <w:tc>
          <w:tcPr>
            <w:tcW w:w="618"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附属单位上缴收入</w:t>
            </w:r>
          </w:p>
        </w:tc>
        <w:tc>
          <w:tcPr>
            <w:tcW w:w="896"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功能分类科目编码</w:t>
            </w:r>
          </w:p>
        </w:tc>
        <w:tc>
          <w:tcPr>
            <w:tcW w:w="2113" w:type="dxa"/>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科目名称</w:t>
            </w:r>
          </w:p>
        </w:tc>
        <w:tc>
          <w:tcPr>
            <w:tcW w:w="84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97"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41"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82"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7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1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89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2113"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84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97"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41"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82"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7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1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89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2113"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84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97"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41"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82"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7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1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89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4112" w:type="dxa"/>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栏次</w:t>
            </w:r>
          </w:p>
        </w:tc>
        <w:tc>
          <w:tcPr>
            <w:tcW w:w="8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79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c>
          <w:tcPr>
            <w:tcW w:w="54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w:t>
            </w:r>
          </w:p>
        </w:tc>
        <w:tc>
          <w:tcPr>
            <w:tcW w:w="57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w:t>
            </w:r>
          </w:p>
        </w:tc>
        <w:tc>
          <w:tcPr>
            <w:tcW w:w="61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89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4112" w:type="dxa"/>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合计</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5,629.60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5,629.60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一般公共服务支出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20103</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政府办公厅（室）及相关机构事务</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2010308</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信访事务</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文化旅游体育与传媒支出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文化和旅游</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2070109</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群众文化</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社会保障和就业支出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4,933.99</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4,933.99</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民政管理事务</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1,176.52</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1,176.52</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行政运行</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210.91</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210.91</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一般行政管理事务</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20.46</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20.46</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2080207</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行政区划和地名管理</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6.84</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6.84</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2080208</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基层政权建设和社区治理</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1.75</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1.75</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2080299</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其他民政管理事务支出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936.56</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936.56</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行政事业单位养老支出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152.09</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152.09</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行政单位离退休</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9.34</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9.34</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事业单位离退休</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8.78</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8.78</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2080505</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机关事业单位基本养老保险缴费支出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111.84</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111.84</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2080506</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机关事业单位职业年金缴费支出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22.13</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22.13</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社会福利</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505.03</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505.03</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儿童福利</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24.83</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24.83</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老年福利</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301.91</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301.91</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2081004</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殡葬</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178.29</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178.29</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残疾人事业</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2081107</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残疾人生活和护理补贴</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最低生活保障</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1,811.02</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1,811.02</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城市最低生活保障金支出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146.18</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146.18</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农村最低生活保障金支出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1,664.85</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1,664.85</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临时救助</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51.53</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51.53</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临时救助支出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40.56</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40.56</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流浪乞讨人员救助支出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10.97</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10.97</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特困人员救助供养</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942.02</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942.02</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城市特困人员救助供养支出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3.29</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3.29</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农村特困人员救助供养支出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938.73</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938.73</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卫生健康支出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52.95</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52.95</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21004</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公共卫生</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2100409</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重大公共卫生服务</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行政事业单位医疗</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行政单位医疗</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10.04</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10.04</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事业单位医疗</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30.38</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30.38</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农林水支出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21305</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扶贫</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2130599</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其他扶贫支出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住房保障支出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住房改革支出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2210201</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住房公积金</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其他支出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22960</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彩票公益金安排的支出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2296002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用于社会福利的彩票公益金支出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抗疫特别国债安排的支出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23402</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抗疫相关支出</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99"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2340205</w:t>
            </w:r>
          </w:p>
        </w:tc>
        <w:tc>
          <w:tcPr>
            <w:tcW w:w="211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困难群众基本生活补助</w:t>
            </w:r>
          </w:p>
        </w:tc>
        <w:tc>
          <w:tcPr>
            <w:tcW w:w="84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797"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54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8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57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18"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8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8967" w:type="dxa"/>
            <w:gridSpan w:val="11"/>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注：本表反映部门本年度取得的各项收入情况。</w:t>
            </w:r>
          </w:p>
        </w:tc>
      </w:tr>
    </w:tbl>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both"/>
        <w:textAlignment w:val="center"/>
        <w:rPr>
          <w:rFonts w:ascii="黑体" w:hAnsi="宋体" w:eastAsia="黑体" w:cs="黑体"/>
          <w:color w:val="000000"/>
          <w:kern w:val="0"/>
          <w:sz w:val="28"/>
          <w:szCs w:val="28"/>
        </w:rPr>
      </w:pPr>
    </w:p>
    <w:tbl>
      <w:tblPr>
        <w:tblStyle w:val="5"/>
        <w:tblW w:w="65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56"/>
        <w:gridCol w:w="222"/>
        <w:gridCol w:w="222"/>
        <w:gridCol w:w="2256"/>
        <w:gridCol w:w="700"/>
        <w:gridCol w:w="579"/>
        <w:gridCol w:w="700"/>
        <w:gridCol w:w="458"/>
        <w:gridCol w:w="458"/>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15" w:type="dxa"/>
            <w:tcBorders>
              <w:top w:val="nil"/>
              <w:left w:val="nil"/>
              <w:bottom w:val="nil"/>
              <w:right w:val="nil"/>
            </w:tcBorders>
            <w:shd w:val="clear" w:color="auto" w:fill="auto"/>
            <w:noWrap/>
            <w:vAlign w:val="bottom"/>
          </w:tcPr>
          <w:p>
            <w:pPr>
              <w:rPr>
                <w:rFonts w:hint="eastAsia" w:ascii="Arial" w:hAnsi="Arial" w:cs="Arial"/>
                <w:i w:val="0"/>
                <w:iCs w:val="0"/>
                <w:color w:val="000000"/>
                <w:sz w:val="12"/>
                <w:szCs w:val="12"/>
                <w:u w:val="none"/>
              </w:rPr>
            </w:pPr>
          </w:p>
        </w:tc>
        <w:tc>
          <w:tcPr>
            <w:tcW w:w="149"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2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5985" w:type="dxa"/>
            <w:gridSpan w:val="7"/>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公开03表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部门：保定市满城区民政局</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项目</w:t>
            </w:r>
          </w:p>
        </w:tc>
        <w:tc>
          <w:tcPr>
            <w:tcW w:w="705"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本年支出合计</w:t>
            </w:r>
          </w:p>
        </w:tc>
        <w:tc>
          <w:tcPr>
            <w:tcW w:w="69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基本支出</w:t>
            </w:r>
          </w:p>
        </w:tc>
        <w:tc>
          <w:tcPr>
            <w:tcW w:w="765"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项目支出</w:t>
            </w:r>
          </w:p>
        </w:tc>
        <w:tc>
          <w:tcPr>
            <w:tcW w:w="495"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上缴上级支出</w:t>
            </w:r>
          </w:p>
        </w:tc>
        <w:tc>
          <w:tcPr>
            <w:tcW w:w="78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经营支出</w:t>
            </w:r>
          </w:p>
        </w:tc>
        <w:tc>
          <w:tcPr>
            <w:tcW w:w="63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84"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科目名称</w:t>
            </w:r>
          </w:p>
        </w:tc>
        <w:tc>
          <w:tcPr>
            <w:tcW w:w="70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9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6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49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8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3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84"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2"/>
                <w:szCs w:val="12"/>
                <w:u w:val="none"/>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2"/>
                <w:szCs w:val="12"/>
                <w:u w:val="none"/>
                <w:lang w:val="en-US" w:eastAsia="zh-CN" w:bidi="ar"/>
              </w:rPr>
            </w:pPr>
          </w:p>
        </w:tc>
        <w:tc>
          <w:tcPr>
            <w:tcW w:w="70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9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6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49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8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3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84"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2"/>
                <w:szCs w:val="12"/>
                <w:u w:val="none"/>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2"/>
                <w:szCs w:val="12"/>
                <w:u w:val="none"/>
                <w:lang w:val="en-US" w:eastAsia="zh-CN" w:bidi="ar"/>
              </w:rPr>
            </w:pPr>
          </w:p>
        </w:tc>
        <w:tc>
          <w:tcPr>
            <w:tcW w:w="70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9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6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49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8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3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栏次</w:t>
            </w:r>
          </w:p>
        </w:tc>
        <w:tc>
          <w:tcPr>
            <w:tcW w:w="70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69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w:t>
            </w:r>
          </w:p>
        </w:tc>
        <w:tc>
          <w:tcPr>
            <w:tcW w:w="63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5,642.67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792.51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4,850.15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政府办公厅（室）及相关机构事务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2010308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信访事务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文化旅游体育与传媒支出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文化和旅游</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2070109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群众文化</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4,933.99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4,210.32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民政管理事务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1,176.52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571.57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604.95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行政运行</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一般行政管理事务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20.46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20.46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行政区划和地名管理</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基层政权建设和社区治理</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其他民政管理事务支出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936.56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360.66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575.90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行政事业单位养老支出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152.09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152.09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行政单位离退休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事业单位离退休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111.84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111.84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社会福利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505.03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505.03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儿童福利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老年福利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殡葬</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残疾人事业</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2081107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残疾人生活和护理补贴</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最低生活保障</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1,811.02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1,811.02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城市最低生活保障金支出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146.18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146.18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农村最低生活保障金支出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1,664.85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1,664.85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临时救助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51.53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51.53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临时救助支出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40.56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40.56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流浪乞讨人员救助支出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特困人员救助供养</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942.02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942.02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城市特困人员救助供养支出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农村特困人员救助供养支出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938.73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938.73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52.95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公共卫生</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2100409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重大公共卫生服务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行政事业单位医疗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农林水支出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扶贫</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2130599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其他扶贫支出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156.77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住房保障支出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住房改革支出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住房公积金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其他支出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彩票公益金安排的支出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2296002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用于社会福利的彩票公益金支出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抗疫特别国债安排的支出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抗疫相关支出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2340205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困难群众基本生活补助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注：本表反映部门本年度各项支出情况。</w:t>
            </w:r>
          </w:p>
        </w:tc>
      </w:tr>
    </w:tbl>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tbl>
      <w:tblPr>
        <w:tblStyle w:val="5"/>
        <w:tblpPr w:leftFromText="180" w:rightFromText="180" w:vertAnchor="text" w:horzAnchor="page" w:tblpX="1619" w:tblpY="-55"/>
        <w:tblOverlap w:val="never"/>
        <w:tblW w:w="86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76"/>
        <w:gridCol w:w="450"/>
        <w:gridCol w:w="696"/>
        <w:gridCol w:w="2016"/>
        <w:gridCol w:w="570"/>
        <w:gridCol w:w="696"/>
        <w:gridCol w:w="696"/>
        <w:gridCol w:w="735"/>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76" w:type="dxa"/>
            <w:tcBorders>
              <w:top w:val="nil"/>
              <w:left w:val="nil"/>
              <w:bottom w:val="nil"/>
              <w:right w:val="nil"/>
            </w:tcBorders>
            <w:shd w:val="clear" w:color="auto" w:fill="auto"/>
            <w:noWrap/>
            <w:vAlign w:val="bottom"/>
          </w:tcPr>
          <w:p>
            <w:pPr>
              <w:rPr>
                <w:rFonts w:hint="eastAsia" w:ascii="Arial" w:hAnsi="Arial" w:cs="Arial"/>
                <w:i w:val="0"/>
                <w:iCs w:val="0"/>
                <w:color w:val="000000"/>
                <w:sz w:val="12"/>
                <w:szCs w:val="12"/>
                <w:u w:val="none"/>
              </w:rPr>
            </w:pPr>
          </w:p>
        </w:tc>
        <w:tc>
          <w:tcPr>
            <w:tcW w:w="45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2016" w:type="dxa"/>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财政拨款收入支出决算总表</w:t>
            </w:r>
          </w:p>
        </w:tc>
        <w:tc>
          <w:tcPr>
            <w:tcW w:w="57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735"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05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7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45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201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57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735"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056" w:type="dxa"/>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776"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部门：保定市满城区民政局</w:t>
            </w:r>
          </w:p>
        </w:tc>
        <w:tc>
          <w:tcPr>
            <w:tcW w:w="45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201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57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9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735"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056" w:type="dxa"/>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92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收     入</w:t>
            </w:r>
          </w:p>
        </w:tc>
        <w:tc>
          <w:tcPr>
            <w:tcW w:w="5769" w:type="dxa"/>
            <w:gridSpan w:val="6"/>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177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w:t>
            </w:r>
          </w:p>
        </w:tc>
        <w:tc>
          <w:tcPr>
            <w:tcW w:w="45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行次</w:t>
            </w:r>
          </w:p>
        </w:tc>
        <w:tc>
          <w:tcPr>
            <w:tcW w:w="69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w:t>
            </w:r>
          </w:p>
        </w:tc>
        <w:tc>
          <w:tcPr>
            <w:tcW w:w="201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w:t>
            </w:r>
          </w:p>
        </w:tc>
        <w:tc>
          <w:tcPr>
            <w:tcW w:w="57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行次</w:t>
            </w:r>
          </w:p>
        </w:tc>
        <w:tc>
          <w:tcPr>
            <w:tcW w:w="696" w:type="dxa"/>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合计</w:t>
            </w:r>
          </w:p>
        </w:tc>
        <w:tc>
          <w:tcPr>
            <w:tcW w:w="69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一般公共预算财政拨款</w:t>
            </w:r>
          </w:p>
        </w:tc>
        <w:tc>
          <w:tcPr>
            <w:tcW w:w="73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政府性基金预算财政拨款</w:t>
            </w:r>
          </w:p>
        </w:tc>
        <w:tc>
          <w:tcPr>
            <w:tcW w:w="105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177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45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9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201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7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96"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69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3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05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栏次</w:t>
            </w:r>
          </w:p>
        </w:tc>
        <w:tc>
          <w:tcPr>
            <w:tcW w:w="450" w:type="dxa"/>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栏次</w:t>
            </w:r>
          </w:p>
        </w:tc>
        <w:tc>
          <w:tcPr>
            <w:tcW w:w="570" w:type="dxa"/>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w:t>
            </w: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一、一般公共预算财政拨款</w:t>
            </w: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5,168.06</w:t>
            </w: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一、一般公共服务支出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33</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二、政府性基金预算财政拨款</w:t>
            </w: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461.54</w:t>
            </w: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二、外交支出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三、国有资本经营财政拨款</w:t>
            </w: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三、国防支出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四、公共安全支出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五、教育支出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37</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六、科学技术支出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七、文化旅游体育与传媒支出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八、社会保障和就业支出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4,933.99</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4,933.99</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九、卫生健康支出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41</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52.95</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52.95</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十、节能环保支出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十一、城乡社区支出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43</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十二、农林水支出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44</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13</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十三、交通运输支出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45</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十四、资源勘探工业信息等支出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十五、商业服务业等支出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十六、金融支出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48</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十七、援助其他地区支出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十八、自然资源海洋气象等支出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19</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十九、住房保障支出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二十、粮油物资储备支出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二十一、国有资本经营预算支出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53</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二十二、灾害防治及应急管理支出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54</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二十三、其他支出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55</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二十四、债务还本支出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25</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二十五、债务付息支出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26</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二十六、抗疫特别国债安排的支出</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58</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本年收入合计</w:t>
            </w: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27</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5,629.60</w:t>
            </w: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本年支出合计</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59</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5,629.60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5,168.06</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461.54</w:t>
            </w: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年初财政拨款结转和结余</w:t>
            </w: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年末财政拨款结转和结余</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一般公共预算财政拨款</w:t>
            </w: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61</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政府性基金预算财政拨款</w:t>
            </w: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62</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国有资本经营预算财政拨款</w:t>
            </w:r>
          </w:p>
        </w:tc>
        <w:tc>
          <w:tcPr>
            <w:tcW w:w="45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2016" w:type="dxa"/>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63</w:t>
            </w: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69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73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105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77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总计</w:t>
            </w:r>
          </w:p>
        </w:tc>
        <w:tc>
          <w:tcPr>
            <w:tcW w:w="450" w:type="dxa"/>
            <w:tcBorders>
              <w:top w:val="nil"/>
              <w:left w:val="nil"/>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5,629.60</w:t>
            </w:r>
          </w:p>
        </w:tc>
        <w:tc>
          <w:tcPr>
            <w:tcW w:w="201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总计</w:t>
            </w:r>
          </w:p>
        </w:tc>
        <w:tc>
          <w:tcPr>
            <w:tcW w:w="57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64</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5,629.60</w:t>
            </w:r>
          </w:p>
        </w:tc>
        <w:tc>
          <w:tcPr>
            <w:tcW w:w="69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5,168.06</w:t>
            </w:r>
          </w:p>
        </w:tc>
        <w:tc>
          <w:tcPr>
            <w:tcW w:w="73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461.54</w:t>
            </w:r>
          </w:p>
        </w:tc>
        <w:tc>
          <w:tcPr>
            <w:tcW w:w="105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7635"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注：本表反映部门本年度一般公共预算财政拨款、政府性基金预算财政拨款和国有资本经营预算财政拨款的总收支和年末结转结余情况。</w:t>
            </w:r>
          </w:p>
        </w:tc>
        <w:tc>
          <w:tcPr>
            <w:tcW w:w="1056"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2"/>
                <w:szCs w:val="12"/>
                <w:u w:val="none"/>
              </w:rPr>
            </w:pPr>
          </w:p>
        </w:tc>
      </w:tr>
    </w:tbl>
    <w:p>
      <w:pPr>
        <w:widowControl/>
        <w:jc w:val="center"/>
        <w:textAlignment w:val="center"/>
        <w:rPr>
          <w:rFonts w:ascii="黑体" w:hAnsi="宋体" w:eastAsia="黑体" w:cs="黑体"/>
          <w:color w:val="000000"/>
          <w:kern w:val="0"/>
          <w:sz w:val="28"/>
          <w:szCs w:val="28"/>
        </w:rPr>
      </w:pPr>
    </w:p>
    <w:tbl>
      <w:tblPr>
        <w:tblStyle w:val="5"/>
        <w:tblW w:w="79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56"/>
        <w:gridCol w:w="330"/>
        <w:gridCol w:w="330"/>
        <w:gridCol w:w="2256"/>
        <w:gridCol w:w="1380"/>
        <w:gridCol w:w="930"/>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656" w:type="dxa"/>
            <w:tcBorders>
              <w:top w:val="nil"/>
              <w:left w:val="nil"/>
              <w:bottom w:val="nil"/>
              <w:right w:val="nil"/>
            </w:tcBorders>
            <w:shd w:val="clear" w:color="auto" w:fill="auto"/>
            <w:noWrap/>
            <w:vAlign w:val="bottom"/>
          </w:tcPr>
          <w:p>
            <w:pPr>
              <w:rPr>
                <w:rFonts w:hint="eastAsia" w:ascii="Arial" w:hAnsi="Arial" w:cs="Arial"/>
                <w:i w:val="0"/>
                <w:iCs w:val="0"/>
                <w:color w:val="000000"/>
                <w:sz w:val="12"/>
                <w:szCs w:val="12"/>
                <w:u w:val="none"/>
              </w:rPr>
            </w:pPr>
          </w:p>
        </w:tc>
        <w:tc>
          <w:tcPr>
            <w:tcW w:w="33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33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225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380" w:type="dxa"/>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一般公共预算财政拨款支出决算表</w:t>
            </w:r>
          </w:p>
        </w:tc>
        <w:tc>
          <w:tcPr>
            <w:tcW w:w="93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056"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38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93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部门：保定市满城区民政局</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38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93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w:t>
            </w:r>
          </w:p>
        </w:tc>
        <w:tc>
          <w:tcPr>
            <w:tcW w:w="336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316"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科目名称</w:t>
            </w:r>
          </w:p>
        </w:tc>
        <w:tc>
          <w:tcPr>
            <w:tcW w:w="138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小计</w:t>
            </w:r>
          </w:p>
        </w:tc>
        <w:tc>
          <w:tcPr>
            <w:tcW w:w="93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基本支出</w:t>
            </w:r>
          </w:p>
        </w:tc>
        <w:tc>
          <w:tcPr>
            <w:tcW w:w="105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2316"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13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93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05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316"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13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93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05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栏次</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合计</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5,168.06</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792.51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4,375.55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一般公共服务支出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政府办公厅（室）及相关机构事务</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2010308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信访事务</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文化旅游体育与传媒支出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文化和旅游</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2070109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群众文化</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社会保障和就业支出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4,933.99</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4,210.32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民政管理事务</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1,176.52</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571.57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604.95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行政运行</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210.91</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一般行政管理事务</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20.46</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行政区划和地名管理</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6.84</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基层政权建设和社区治理</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1.75</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2080299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其他民政管理事务支出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936.56</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360.66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575.90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行政事业单位养老支出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152.09</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152.09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行政单位离退休</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9.34</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事业单位离退休</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8.78</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8.78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机关事业单位基本养老保险缴费支出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111.84</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111.84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2080506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机关事业单位职业年金缴费支出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22.13</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社会福利</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505.03</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儿童福利</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24.83</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老年福利</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301.91</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殡葬</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178.29</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残疾人事业</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2081107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残疾人生活和护理补贴</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最低生活保障</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1,811.02</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1,811.02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城市最低生活保障金支出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146.18</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2081902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农村最低生活保障金支出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1,664.85</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1,664.85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临时救助</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51.53</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临时救助支出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40.56</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流浪乞讨人员救助支出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10.97</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特困人员救助供养</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942.02</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942.02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城市特困人员救助供养支出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3.29</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2082102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农村特困人员救助供养支出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938.73</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938.73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卫生健康支出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52.95</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公共卫生</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2100409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重大公共卫生服务</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行政事业单位医疗</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行政单位医疗</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10.04</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2101102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事业单位医疗</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30.38</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农林水支出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扶贫</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2130599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其他扶贫支出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住房保障支出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住房改革支出</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住房公积金</w:t>
            </w:r>
          </w:p>
        </w:tc>
        <w:tc>
          <w:tcPr>
            <w:tcW w:w="138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930"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28.42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注：本表反映部门本年度一般公共预算财政拨款支出情况。</w:t>
            </w:r>
          </w:p>
        </w:tc>
      </w:tr>
    </w:tbl>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sectPr>
          <w:pgSz w:w="11906" w:h="16838"/>
          <w:pgMar w:top="567" w:right="1531" w:bottom="1985" w:left="1531" w:header="851" w:footer="992" w:gutter="0"/>
          <w:pgBorders>
            <w:top w:val="none" w:sz="0" w:space="0"/>
            <w:left w:val="none" w:sz="0" w:space="0"/>
            <w:bottom w:val="none" w:sz="0" w:space="0"/>
            <w:right w:val="none" w:sz="0" w:space="0"/>
          </w:pgBorders>
          <w:cols w:space="425" w:num="1"/>
          <w:docGrid w:type="lines" w:linePitch="312" w:charSpace="0"/>
        </w:sectPr>
      </w:pPr>
    </w:p>
    <w:p>
      <w:pPr>
        <w:widowControl/>
        <w:shd w:val="clear"/>
        <w:jc w:val="center"/>
        <w:textAlignment w:val="center"/>
        <w:rPr>
          <w:rFonts w:ascii="黑体" w:hAnsi="宋体" w:eastAsia="黑体" w:cs="黑体"/>
          <w:color w:val="000000"/>
          <w:kern w:val="0"/>
          <w:sz w:val="28"/>
          <w:szCs w:val="28"/>
        </w:rPr>
      </w:pPr>
    </w:p>
    <w:tbl>
      <w:tblPr>
        <w:tblStyle w:val="5"/>
        <w:tblW w:w="110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56"/>
        <w:gridCol w:w="2280"/>
        <w:gridCol w:w="1050"/>
        <w:gridCol w:w="735"/>
        <w:gridCol w:w="1440"/>
        <w:gridCol w:w="960"/>
        <w:gridCol w:w="750"/>
        <w:gridCol w:w="249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735" w:type="dxa"/>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2280" w:type="dxa"/>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1050" w:type="dxa"/>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735" w:type="dxa"/>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1440" w:type="dxa"/>
            <w:tcBorders>
              <w:top w:val="nil"/>
              <w:left w:val="nil"/>
              <w:bottom w:val="nil"/>
              <w:right w:val="nil"/>
            </w:tcBorders>
            <w:shd w:val="clear" w:color="auto" w:fill="auto"/>
            <w:noWrap/>
            <w:vAlign w:val="bottom"/>
          </w:tcPr>
          <w:p>
            <w:pPr>
              <w:keepNext w:val="0"/>
              <w:keepLines w:val="0"/>
              <w:widowControl/>
              <w:suppressLineNumbers w:val="0"/>
              <w:shd w:val="clear"/>
              <w:jc w:val="center"/>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一般公共预算财政拨款基本支出决算表</w:t>
            </w:r>
          </w:p>
        </w:tc>
        <w:tc>
          <w:tcPr>
            <w:tcW w:w="960" w:type="dxa"/>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750" w:type="dxa"/>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2385" w:type="dxa"/>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675" w:type="dxa"/>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shd w:val="clear"/>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公开06表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shd w:val="clear"/>
              <w:jc w:val="lef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部门：保定市满城区民政局</w:t>
            </w: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shd w:val="clear"/>
              <w:rPr>
                <w:rFonts w:hint="eastAsia" w:ascii="宋体" w:hAnsi="宋体" w:eastAsia="宋体" w:cs="宋体"/>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shd w:val="clear"/>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人员经费</w:t>
            </w:r>
          </w:p>
        </w:tc>
        <w:tc>
          <w:tcPr>
            <w:tcW w:w="0" w:type="auto"/>
            <w:gridSpan w:val="6"/>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73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科目编码</w:t>
            </w:r>
          </w:p>
        </w:tc>
        <w:tc>
          <w:tcPr>
            <w:tcW w:w="228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科目名称</w:t>
            </w:r>
          </w:p>
        </w:tc>
        <w:tc>
          <w:tcPr>
            <w:tcW w:w="105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决算数</w:t>
            </w:r>
          </w:p>
        </w:tc>
        <w:tc>
          <w:tcPr>
            <w:tcW w:w="73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科目编码</w:t>
            </w:r>
          </w:p>
        </w:tc>
        <w:tc>
          <w:tcPr>
            <w:tcW w:w="14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科目名称</w:t>
            </w:r>
          </w:p>
        </w:tc>
        <w:tc>
          <w:tcPr>
            <w:tcW w:w="96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决算数</w:t>
            </w:r>
          </w:p>
        </w:tc>
        <w:tc>
          <w:tcPr>
            <w:tcW w:w="75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科目编码</w:t>
            </w:r>
          </w:p>
        </w:tc>
        <w:tc>
          <w:tcPr>
            <w:tcW w:w="238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科目名称</w:t>
            </w:r>
          </w:p>
        </w:tc>
        <w:tc>
          <w:tcPr>
            <w:tcW w:w="67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735" w:type="dxa"/>
            <w:vMerge w:val="continue"/>
            <w:tcBorders>
              <w:top w:val="nil"/>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c>
          <w:tcPr>
            <w:tcW w:w="2280" w:type="dxa"/>
            <w:vMerge w:val="continue"/>
            <w:tcBorders>
              <w:top w:val="nil"/>
              <w:left w:val="nil"/>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c>
          <w:tcPr>
            <w:tcW w:w="1050" w:type="dxa"/>
            <w:vMerge w:val="continue"/>
            <w:tcBorders>
              <w:top w:val="nil"/>
              <w:left w:val="nil"/>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c>
          <w:tcPr>
            <w:tcW w:w="735" w:type="dxa"/>
            <w:vMerge w:val="continue"/>
            <w:tcBorders>
              <w:top w:val="nil"/>
              <w:left w:val="nil"/>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c>
          <w:tcPr>
            <w:tcW w:w="1440" w:type="dxa"/>
            <w:vMerge w:val="continue"/>
            <w:tcBorders>
              <w:top w:val="nil"/>
              <w:left w:val="nil"/>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c>
          <w:tcPr>
            <w:tcW w:w="960" w:type="dxa"/>
            <w:vMerge w:val="continue"/>
            <w:tcBorders>
              <w:top w:val="nil"/>
              <w:left w:val="nil"/>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c>
          <w:tcPr>
            <w:tcW w:w="750" w:type="dxa"/>
            <w:vMerge w:val="continue"/>
            <w:tcBorders>
              <w:top w:val="nil"/>
              <w:left w:val="nil"/>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c>
          <w:tcPr>
            <w:tcW w:w="2385" w:type="dxa"/>
            <w:vMerge w:val="continue"/>
            <w:tcBorders>
              <w:top w:val="nil"/>
              <w:left w:val="nil"/>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c>
          <w:tcPr>
            <w:tcW w:w="675" w:type="dxa"/>
            <w:vMerge w:val="continue"/>
            <w:tcBorders>
              <w:top w:val="nil"/>
              <w:left w:val="nil"/>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工资福利支出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721.59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商品和服务支出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36.87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债务利息及费用支出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基本工资</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424.96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办公费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6.34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30701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国内债务付息</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津贴补贴</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38.99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印刷费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30702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国外债务付息</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奖金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咨询费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资本性支出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伙食补助费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手续费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房屋建筑物购建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绩效工资</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35.94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0.40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办公设备购置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机关事业单位基本养老保险缴费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111.84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电费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0.50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专用设备购置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职业年金缴费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邮电费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基础设施建设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职工基本医疗保险缴费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40.43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取暖费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大型修缮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公务员医疗补助缴费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物业管理费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信息网络及软件购置更新</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30112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其他社会保障缴费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差旅费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物资储备</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住房公积金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30212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因公出国（境）费用</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土地补偿</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30114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医疗费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维修（护）费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安置补助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30199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其他工资福利支出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30214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租赁费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地上附着物和青苗补偿</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对个人和家庭的补助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34.06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30215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会议费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31012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拆迁补偿</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离休费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30216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培训费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公务用车购置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退休费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17.56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30217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公务接待费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31019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其他交通工具购置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退职（役）费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30218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专用材料费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文物和陈列品购置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抚恤金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14.38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30224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被装购置费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无形资产购置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生活补助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30225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专用燃料费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31099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其他资本性支出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救济费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30226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劳务费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其他支出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医疗费补助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30227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委托业务费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39906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赠与</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助学金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30228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工会经费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39907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国家赔偿费用支出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奖励金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2.12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福利费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39908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对民间非营利组织和群众性自治组织补贴</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个人农业生产补贴</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30231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公务用车运行维护费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4.73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39999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代缴社会保险费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30239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其他交通费用</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11.88</w:t>
            </w:r>
          </w:p>
        </w:tc>
        <w:tc>
          <w:tcPr>
            <w:tcW w:w="0" w:type="auto"/>
            <w:tcBorders>
              <w:top w:val="nil"/>
              <w:left w:val="nil"/>
              <w:bottom w:val="single" w:color="000000" w:sz="4" w:space="0"/>
              <w:right w:val="single" w:color="000000" w:sz="4" w:space="0"/>
            </w:tcBorders>
            <w:shd w:val="clear" w:color="auto" w:fill="auto"/>
            <w:noWrap/>
            <w:vAlign w:val="center"/>
          </w:tcPr>
          <w:p>
            <w:pPr>
              <w:shd w:val="clea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30399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其他对个人和家庭的补助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30240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税金及附加费用</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shd w:val="clea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30299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其他商品和服务支出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shd w:val="clea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人员经费合计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755.65</w:t>
            </w:r>
          </w:p>
        </w:tc>
        <w:tc>
          <w:tcPr>
            <w:tcW w:w="0" w:type="auto"/>
            <w:gridSpan w:val="5"/>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公用经费合计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hd w:val="clear"/>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9"/>
            <w:tcBorders>
              <w:top w:val="nil"/>
              <w:left w:val="nil"/>
              <w:bottom w:val="nil"/>
              <w:right w:val="nil"/>
            </w:tcBorders>
            <w:shd w:val="clear" w:color="auto" w:fill="auto"/>
            <w:noWrap/>
            <w:vAlign w:val="center"/>
          </w:tcPr>
          <w:p>
            <w:pPr>
              <w:keepNext w:val="0"/>
              <w:keepLines w:val="0"/>
              <w:widowControl/>
              <w:suppressLineNumbers w:val="0"/>
              <w:shd w:val="clear"/>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注：本表反映部门本年度一般公共预算财政拨款基本支出明细情况。</w:t>
            </w:r>
          </w:p>
        </w:tc>
      </w:tr>
    </w:tbl>
    <w:p>
      <w:pPr>
        <w:widowControl/>
        <w:shd w:val="clear"/>
        <w:jc w:val="center"/>
        <w:textAlignment w:val="center"/>
        <w:rPr>
          <w:rFonts w:ascii="黑体" w:hAnsi="宋体" w:eastAsia="黑体" w:cs="黑体"/>
          <w:color w:val="000000"/>
          <w:kern w:val="0"/>
          <w:sz w:val="28"/>
          <w:szCs w:val="28"/>
        </w:rPr>
      </w:pPr>
    </w:p>
    <w:p>
      <w:pPr>
        <w:widowControl/>
        <w:shd w:val="clear"/>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tbl>
      <w:tblPr>
        <w:tblStyle w:val="5"/>
        <w:tblW w:w="14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36"/>
        <w:gridCol w:w="856"/>
        <w:gridCol w:w="856"/>
        <w:gridCol w:w="1241"/>
        <w:gridCol w:w="1186"/>
        <w:gridCol w:w="928"/>
        <w:gridCol w:w="913"/>
        <w:gridCol w:w="942"/>
        <w:gridCol w:w="1358"/>
        <w:gridCol w:w="1277"/>
        <w:gridCol w:w="1358"/>
        <w:gridCol w:w="1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4410" w:type="dxa"/>
            <w:gridSpan w:val="12"/>
            <w:tcBorders>
              <w:top w:val="nil"/>
              <w:left w:val="nil"/>
              <w:bottom w:val="nil"/>
              <w:right w:val="nil"/>
            </w:tcBorders>
            <w:shd w:val="clear" w:color="auto" w:fill="auto"/>
            <w:noWrap/>
            <w:vAlign w:val="bottom"/>
          </w:tcPr>
          <w:p>
            <w:pPr>
              <w:ind w:firstLine="5280" w:firstLineChars="3300"/>
              <w:rPr>
                <w:rFonts w:hint="default" w:ascii="Arial" w:hAnsi="Arial" w:cs="Arial"/>
                <w:i w:val="0"/>
                <w:iCs w:val="0"/>
                <w:color w:val="000000"/>
                <w:sz w:val="20"/>
                <w:szCs w:val="20"/>
                <w:u w:val="none"/>
              </w:rPr>
            </w:pPr>
            <w:r>
              <w:rPr>
                <w:rFonts w:hint="eastAsia" w:ascii="宋体" w:hAnsi="宋体" w:eastAsia="宋体" w:cs="宋体"/>
                <w:i w:val="0"/>
                <w:iCs w:val="0"/>
                <w:color w:val="000000"/>
                <w:kern w:val="0"/>
                <w:sz w:val="16"/>
                <w:szCs w:val="16"/>
                <w:u w:val="none"/>
                <w:lang w:val="en-US" w:eastAsia="zh-CN" w:bidi="ar"/>
              </w:rPr>
              <w:t>一般公共预算财政拨款“三公”经费支出决算表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公开07表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部门：保定市满城区民政局</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712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7288" w:type="dxa"/>
            <w:gridSpan w:val="6"/>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05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85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因公出国（境）费</w:t>
            </w:r>
          </w:p>
        </w:tc>
        <w:tc>
          <w:tcPr>
            <w:tcW w:w="3285"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公务用车购置及运行费</w:t>
            </w:r>
          </w:p>
        </w:tc>
        <w:tc>
          <w:tcPr>
            <w:tcW w:w="928"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公务接待费</w:t>
            </w:r>
          </w:p>
        </w:tc>
        <w:tc>
          <w:tcPr>
            <w:tcW w:w="913"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942"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因公出国（境）费</w:t>
            </w:r>
          </w:p>
        </w:tc>
        <w:tc>
          <w:tcPr>
            <w:tcW w:w="4074"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公务用车购置及运行费</w:t>
            </w:r>
          </w:p>
        </w:tc>
        <w:tc>
          <w:tcPr>
            <w:tcW w:w="1359"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053"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小计</w:t>
            </w:r>
          </w:p>
        </w:tc>
        <w:tc>
          <w:tcPr>
            <w:tcW w:w="124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公务用车购置费</w:t>
            </w:r>
          </w:p>
        </w:tc>
        <w:tc>
          <w:tcPr>
            <w:tcW w:w="118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公务用车运行费</w:t>
            </w:r>
          </w:p>
        </w:tc>
        <w:tc>
          <w:tcPr>
            <w:tcW w:w="928"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4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5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小计</w:t>
            </w:r>
          </w:p>
        </w:tc>
        <w:tc>
          <w:tcPr>
            <w:tcW w:w="135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公务用车购置费</w:t>
            </w:r>
          </w:p>
        </w:tc>
        <w:tc>
          <w:tcPr>
            <w:tcW w:w="135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公务用车运行费</w:t>
            </w:r>
          </w:p>
        </w:tc>
        <w:tc>
          <w:tcPr>
            <w:tcW w:w="1359"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05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24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18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2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91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94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135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135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35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35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4410" w:type="dxa"/>
            <w:gridSpan w:val="1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本表反映部门本年度“三公”经费支出预决算情况。其中：预算数为“三公”经费全年预算数，反映按规定程序调整后的预算数；决算数是包括当年一般公共预算财政拨款和以前年度结转资金安排的实际支出。</w:t>
            </w:r>
          </w:p>
        </w:tc>
      </w:tr>
    </w:tbl>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tbl>
      <w:tblPr>
        <w:tblStyle w:val="5"/>
        <w:tblW w:w="106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56"/>
        <w:gridCol w:w="330"/>
        <w:gridCol w:w="330"/>
        <w:gridCol w:w="2525"/>
        <w:gridCol w:w="926"/>
        <w:gridCol w:w="861"/>
        <w:gridCol w:w="879"/>
        <w:gridCol w:w="1124"/>
        <w:gridCol w:w="168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330" w:type="dxa"/>
            <w:tcBorders>
              <w:top w:val="nil"/>
              <w:left w:val="nil"/>
              <w:bottom w:val="nil"/>
              <w:right w:val="nil"/>
            </w:tcBorders>
            <w:shd w:val="clear" w:color="auto" w:fill="auto"/>
            <w:noWrap/>
            <w:vAlign w:val="bottom"/>
          </w:tcPr>
          <w:p>
            <w:pPr>
              <w:rPr>
                <w:rFonts w:hint="eastAsia" w:ascii="Arial" w:hAnsi="Arial" w:cs="Arial"/>
                <w:i w:val="0"/>
                <w:iCs w:val="0"/>
                <w:color w:val="000000"/>
                <w:sz w:val="12"/>
                <w:szCs w:val="12"/>
                <w:u w:val="none"/>
              </w:rPr>
            </w:pPr>
          </w:p>
        </w:tc>
        <w:tc>
          <w:tcPr>
            <w:tcW w:w="33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33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6315" w:type="dxa"/>
            <w:gridSpan w:val="5"/>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政府性基金预算财政拨款收入支出决算表</w:t>
            </w:r>
          </w:p>
        </w:tc>
        <w:tc>
          <w:tcPr>
            <w:tcW w:w="168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1680" w:type="dxa"/>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公开08表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部门：保定市满城区民政局</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2"/>
                <w:szCs w:val="12"/>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w:t>
            </w:r>
          </w:p>
        </w:tc>
        <w:tc>
          <w:tcPr>
            <w:tcW w:w="102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年初结转和结余</w:t>
            </w:r>
          </w:p>
        </w:tc>
        <w:tc>
          <w:tcPr>
            <w:tcW w:w="795"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本年收入</w:t>
            </w:r>
          </w:p>
        </w:tc>
        <w:tc>
          <w:tcPr>
            <w:tcW w:w="3840"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本年支出</w:t>
            </w:r>
          </w:p>
        </w:tc>
        <w:tc>
          <w:tcPr>
            <w:tcW w:w="168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90"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科目名称</w:t>
            </w:r>
          </w:p>
        </w:tc>
        <w:tc>
          <w:tcPr>
            <w:tcW w:w="102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9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82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小计</w:t>
            </w:r>
          </w:p>
        </w:tc>
        <w:tc>
          <w:tcPr>
            <w:tcW w:w="133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基本支出</w:t>
            </w:r>
          </w:p>
        </w:tc>
        <w:tc>
          <w:tcPr>
            <w:tcW w:w="168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项目支出</w:t>
            </w:r>
          </w:p>
        </w:tc>
        <w:tc>
          <w:tcPr>
            <w:tcW w:w="168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102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9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82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33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6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68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102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79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82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33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6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168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461.54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461.54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r>
              <w:rPr>
                <w:rFonts w:hint="eastAsia" w:ascii="宋体" w:hAnsi="宋体" w:eastAsia="宋体" w:cs="宋体"/>
                <w:b/>
                <w:bCs/>
                <w:i w:val="0"/>
                <w:iCs w:val="0"/>
                <w:color w:val="000000"/>
                <w:kern w:val="0"/>
                <w:sz w:val="12"/>
                <w:szCs w:val="12"/>
                <w:u w:val="none"/>
                <w:lang w:val="en-US" w:eastAsia="zh-CN" w:bidi="ar"/>
              </w:rPr>
              <w:t>461.54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其他支出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彩票公益金安排的支出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2296002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用于社会福利的彩票公益金支出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170.54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抗疫特别国债安排的支出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抗疫相关支出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2340205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 xml:space="preserve">  困难群众基本生活补助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291.00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注：本表反映部门本年度政府性基金预算财政拨款收入、支出及结转和结余情况。</w:t>
            </w:r>
          </w:p>
        </w:tc>
      </w:tr>
    </w:tbl>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tbl>
      <w:tblPr>
        <w:tblStyle w:val="5"/>
        <w:tblW w:w="9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36"/>
        <w:gridCol w:w="330"/>
        <w:gridCol w:w="330"/>
        <w:gridCol w:w="1676"/>
        <w:gridCol w:w="2170"/>
        <w:gridCol w:w="2170"/>
        <w:gridCol w:w="29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33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kern w:val="0"/>
                <w:sz w:val="16"/>
                <w:szCs w:val="16"/>
                <w:u w:val="none"/>
                <w:lang w:val="en-US" w:eastAsia="zh-CN" w:bidi="ar"/>
              </w:rPr>
            </w:pPr>
          </w:p>
        </w:tc>
        <w:tc>
          <w:tcPr>
            <w:tcW w:w="330" w:type="dxa"/>
            <w:tcBorders>
              <w:top w:val="nil"/>
              <w:left w:val="nil"/>
              <w:bottom w:val="nil"/>
              <w:right w:val="nil"/>
            </w:tcBorders>
            <w:shd w:val="clear" w:color="auto" w:fill="auto"/>
            <w:noWrap/>
            <w:vAlign w:val="bottom"/>
          </w:tcPr>
          <w:p>
            <w:pPr>
              <w:rPr>
                <w:rFonts w:hint="default" w:ascii="宋体" w:hAnsi="宋体" w:eastAsia="宋体" w:cs="宋体"/>
                <w:i w:val="0"/>
                <w:iCs w:val="0"/>
                <w:color w:val="000000"/>
                <w:kern w:val="0"/>
                <w:sz w:val="16"/>
                <w:szCs w:val="16"/>
                <w:u w:val="none"/>
                <w:lang w:val="en-US" w:eastAsia="zh-CN" w:bidi="ar"/>
              </w:rPr>
            </w:pPr>
          </w:p>
        </w:tc>
        <w:tc>
          <w:tcPr>
            <w:tcW w:w="330" w:type="dxa"/>
            <w:tcBorders>
              <w:top w:val="nil"/>
              <w:left w:val="nil"/>
              <w:bottom w:val="nil"/>
              <w:right w:val="nil"/>
            </w:tcBorders>
            <w:shd w:val="clear" w:color="auto" w:fill="auto"/>
            <w:noWrap/>
            <w:vAlign w:val="bottom"/>
          </w:tcPr>
          <w:p>
            <w:pPr>
              <w:rPr>
                <w:rFonts w:hint="default" w:ascii="宋体" w:hAnsi="宋体" w:eastAsia="宋体" w:cs="宋体"/>
                <w:i w:val="0"/>
                <w:iCs w:val="0"/>
                <w:color w:val="000000"/>
                <w:kern w:val="0"/>
                <w:sz w:val="16"/>
                <w:szCs w:val="16"/>
                <w:u w:val="none"/>
                <w:lang w:val="en-US" w:eastAsia="zh-CN" w:bidi="ar"/>
              </w:rPr>
            </w:pPr>
          </w:p>
        </w:tc>
        <w:tc>
          <w:tcPr>
            <w:tcW w:w="8970" w:type="dxa"/>
            <w:gridSpan w:val="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公开09表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部门：保定市满城区民政局</w:t>
            </w: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项目</w:t>
            </w:r>
          </w:p>
        </w:tc>
        <w:tc>
          <w:tcPr>
            <w:tcW w:w="5040"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90"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科目名称</w:t>
            </w:r>
          </w:p>
        </w:tc>
        <w:tc>
          <w:tcPr>
            <w:tcW w:w="168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合计</w:t>
            </w:r>
          </w:p>
        </w:tc>
        <w:tc>
          <w:tcPr>
            <w:tcW w:w="168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基本支出</w:t>
            </w:r>
          </w:p>
        </w:tc>
        <w:tc>
          <w:tcPr>
            <w:tcW w:w="168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16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16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16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16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16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c>
          <w:tcPr>
            <w:tcW w:w="16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bookmarkStart w:id="0" w:name="_GoBack"/>
            <w:bookmarkEnd w:id="0"/>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注：本表反映部门本年度国有资本经营预算财政拨款支出情况。本部门本年度无相关支出情况，按要求以空表列示。</w:t>
            </w:r>
          </w:p>
        </w:tc>
      </w:tr>
    </w:tbl>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rPr>
          <w:rFonts w:ascii="黑体" w:hAnsi="黑体" w:eastAsia="黑体" w:cs="黑体"/>
          <w:sz w:val="56"/>
          <w:szCs w:val="72"/>
        </w:rPr>
      </w:pPr>
    </w:p>
    <w:sectPr>
      <w:pgSz w:w="16838" w:h="11906" w:orient="landscape"/>
      <w:pgMar w:top="1531" w:right="567" w:bottom="1531" w:left="1984" w:header="851" w:footer="992" w:gutter="0"/>
      <w:pgBorders>
        <w:top w:val="none" w:sz="0" w:space="0"/>
        <w:left w:val="none" w:sz="0" w:space="0"/>
        <w:bottom w:val="none" w:sz="0" w:space="0"/>
        <w:right w:val="none" w:sz="0" w:space="0"/>
      </w:pgBorders>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5F222FFA"/>
    <w:multiLevelType w:val="singleLevel"/>
    <w:tmpl w:val="5F222FFA"/>
    <w:lvl w:ilvl="0" w:tentative="0">
      <w:start w:val="1"/>
      <w:numFmt w:val="decimal"/>
      <w:suff w:val="nothing"/>
      <w:lvlText w:val="（%1）"/>
      <w:lvlJc w:val="left"/>
    </w:lvl>
  </w:abstractNum>
  <w:abstractNum w:abstractNumId="3">
    <w:nsid w:val="78C1413D"/>
    <w:multiLevelType w:val="singleLevel"/>
    <w:tmpl w:val="78C1413D"/>
    <w:lvl w:ilvl="0" w:tentative="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2364E"/>
    <w:rsid w:val="000273BC"/>
    <w:rsid w:val="00061A05"/>
    <w:rsid w:val="00067FE9"/>
    <w:rsid w:val="00075234"/>
    <w:rsid w:val="000E1224"/>
    <w:rsid w:val="0016487F"/>
    <w:rsid w:val="0018668E"/>
    <w:rsid w:val="001A543A"/>
    <w:rsid w:val="001B3F95"/>
    <w:rsid w:val="001B73D2"/>
    <w:rsid w:val="001C39FD"/>
    <w:rsid w:val="001D6308"/>
    <w:rsid w:val="001E62BF"/>
    <w:rsid w:val="002154A6"/>
    <w:rsid w:val="00293E7B"/>
    <w:rsid w:val="002C64DA"/>
    <w:rsid w:val="002D1F4F"/>
    <w:rsid w:val="00310244"/>
    <w:rsid w:val="0035483D"/>
    <w:rsid w:val="0036580A"/>
    <w:rsid w:val="00366D90"/>
    <w:rsid w:val="003D678E"/>
    <w:rsid w:val="0040066A"/>
    <w:rsid w:val="004027F5"/>
    <w:rsid w:val="004417A0"/>
    <w:rsid w:val="004E2219"/>
    <w:rsid w:val="0058218E"/>
    <w:rsid w:val="005D7557"/>
    <w:rsid w:val="005F70A2"/>
    <w:rsid w:val="006A5C4D"/>
    <w:rsid w:val="006B08F7"/>
    <w:rsid w:val="006B613D"/>
    <w:rsid w:val="00733600"/>
    <w:rsid w:val="00764F76"/>
    <w:rsid w:val="007A6473"/>
    <w:rsid w:val="007C2F42"/>
    <w:rsid w:val="00801F66"/>
    <w:rsid w:val="00802699"/>
    <w:rsid w:val="00806209"/>
    <w:rsid w:val="008161ED"/>
    <w:rsid w:val="00866C9F"/>
    <w:rsid w:val="0087560F"/>
    <w:rsid w:val="008B611E"/>
    <w:rsid w:val="009334BF"/>
    <w:rsid w:val="00940A67"/>
    <w:rsid w:val="00970013"/>
    <w:rsid w:val="00996794"/>
    <w:rsid w:val="00A6292D"/>
    <w:rsid w:val="00AA3AE9"/>
    <w:rsid w:val="00AB25E1"/>
    <w:rsid w:val="00B606BD"/>
    <w:rsid w:val="00BA10EF"/>
    <w:rsid w:val="00BA5FD4"/>
    <w:rsid w:val="00C208DC"/>
    <w:rsid w:val="00CC14C6"/>
    <w:rsid w:val="00D9599B"/>
    <w:rsid w:val="00DD7A03"/>
    <w:rsid w:val="00E86BB8"/>
    <w:rsid w:val="00E95D5B"/>
    <w:rsid w:val="00F17532"/>
    <w:rsid w:val="00F6232D"/>
    <w:rsid w:val="00F93844"/>
    <w:rsid w:val="00FB68E2"/>
    <w:rsid w:val="058B71E0"/>
    <w:rsid w:val="0EA325C9"/>
    <w:rsid w:val="29807879"/>
    <w:rsid w:val="2FB96948"/>
    <w:rsid w:val="300A304C"/>
    <w:rsid w:val="31737431"/>
    <w:rsid w:val="31BF37A2"/>
    <w:rsid w:val="330241B6"/>
    <w:rsid w:val="3327616A"/>
    <w:rsid w:val="34C45458"/>
    <w:rsid w:val="35C83C42"/>
    <w:rsid w:val="49E71FE8"/>
    <w:rsid w:val="5D0C63C4"/>
    <w:rsid w:val="5D5C78F9"/>
    <w:rsid w:val="65CE18FF"/>
    <w:rsid w:val="73D824BD"/>
    <w:rsid w:val="7BBB5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bmp"/><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2078</Words>
  <Characters>11845</Characters>
  <Lines>98</Lines>
  <Paragraphs>27</Paragraphs>
  <TotalTime>6</TotalTime>
  <ScaleCrop>false</ScaleCrop>
  <LinksUpToDate>false</LinksUpToDate>
  <CharactersWithSpaces>13896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dcterms:modified xsi:type="dcterms:W3CDTF">2021-10-13T07:45:25Z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0DEF186938AC4BDAAF2595D31F50DF1E</vt:lpwstr>
  </property>
</Properties>
</file>