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0"/>
          <w:szCs w:val="40"/>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保定市满城区水利局</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hint="eastAsia" w:ascii="黑体" w:hAnsi="黑体" w:eastAsia="黑体" w:cs="黑体"/>
          <w:sz w:val="72"/>
          <w:szCs w:val="96"/>
          <w:lang w:eastAsia="zh-CN"/>
        </w:rPr>
      </w:pPr>
      <w:r>
        <w:rPr>
          <w:rFonts w:hint="eastAsia" w:ascii="黑体" w:hAnsi="黑体" w:eastAsia="黑体" w:cs="黑体"/>
          <w:sz w:val="72"/>
          <w:szCs w:val="96"/>
          <w:lang w:eastAsia="zh-CN"/>
        </w:rPr>
        <w:t>保定市满城区水利局</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3"/>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ind w:left="643"/>
        <w:rPr>
          <w:rFonts w:hint="eastAsia" w:ascii="仿宋_GB2312" w:eastAsia="仿宋_GB2312"/>
          <w:sz w:val="32"/>
          <w:szCs w:val="32"/>
        </w:rPr>
      </w:pPr>
      <w:r>
        <w:rPr>
          <w:rFonts w:hint="eastAsia" w:ascii="仿宋_GB2312" w:eastAsia="仿宋_GB2312"/>
          <w:sz w:val="32"/>
          <w:szCs w:val="32"/>
        </w:rPr>
        <w:t>水利局主要职责是：</w:t>
      </w:r>
    </w:p>
    <w:p>
      <w:pPr>
        <w:spacing w:line="600" w:lineRule="exact"/>
        <w:ind w:left="-142" w:firstLine="700" w:firstLineChars="250"/>
        <w:rPr>
          <w:rFonts w:hint="eastAsia" w:ascii="宋体" w:hAnsi="宋体"/>
          <w:sz w:val="28"/>
          <w:szCs w:val="28"/>
        </w:rPr>
      </w:pPr>
      <w:r>
        <w:rPr>
          <w:rFonts w:hint="eastAsia" w:ascii="宋体" w:hAnsi="宋体"/>
          <w:sz w:val="28"/>
          <w:szCs w:val="28"/>
        </w:rPr>
        <w:t>（一）负责组织实施《中华人民共和国水法》、《中华人民共和国水土保持法》、《中华人民共和国防洪法》等法律法规并监督检查。</w:t>
      </w:r>
    </w:p>
    <w:p>
      <w:pPr>
        <w:spacing w:line="600" w:lineRule="exact"/>
        <w:ind w:firstLine="560" w:firstLineChars="200"/>
        <w:rPr>
          <w:rFonts w:hint="eastAsia" w:ascii="宋体" w:hAnsi="宋体"/>
          <w:sz w:val="28"/>
          <w:szCs w:val="28"/>
        </w:rPr>
      </w:pPr>
      <w:r>
        <w:rPr>
          <w:rFonts w:hint="eastAsia" w:ascii="宋体" w:hAnsi="宋体"/>
          <w:sz w:val="28"/>
          <w:szCs w:val="28"/>
        </w:rPr>
        <w:t>（二）负责制定全区水利发展规划和工作计划，并组织实施。负责上级及县投资的水利基建项目的立项申报及水利工程的勘测设计、施工。</w:t>
      </w:r>
    </w:p>
    <w:p>
      <w:pPr>
        <w:spacing w:line="600" w:lineRule="exact"/>
        <w:ind w:firstLine="560" w:firstLineChars="200"/>
        <w:rPr>
          <w:rFonts w:hint="eastAsia" w:ascii="宋体" w:hAnsi="宋体"/>
          <w:sz w:val="28"/>
          <w:szCs w:val="28"/>
        </w:rPr>
      </w:pPr>
      <w:r>
        <w:rPr>
          <w:rFonts w:hint="eastAsia" w:ascii="宋体" w:hAnsi="宋体"/>
          <w:sz w:val="28"/>
          <w:szCs w:val="28"/>
        </w:rPr>
        <w:t>（三）负责全区水资源的管理监测及调查评价工作，包括水资源开发、利用、节约和保护。</w:t>
      </w:r>
    </w:p>
    <w:p>
      <w:pPr>
        <w:spacing w:line="600" w:lineRule="exact"/>
        <w:ind w:firstLine="560" w:firstLineChars="200"/>
        <w:rPr>
          <w:rFonts w:hint="eastAsia" w:ascii="宋体" w:hAnsi="宋体"/>
          <w:sz w:val="28"/>
          <w:szCs w:val="28"/>
        </w:rPr>
      </w:pPr>
      <w:r>
        <w:rPr>
          <w:rFonts w:hint="eastAsia" w:ascii="宋体" w:hAnsi="宋体"/>
          <w:sz w:val="28"/>
          <w:szCs w:val="28"/>
        </w:rPr>
        <w:t>（四）负责全区钻井工程许可证的审批和取水许可证及河道采砂证的发放管理工作。</w:t>
      </w:r>
    </w:p>
    <w:p>
      <w:pPr>
        <w:spacing w:line="600" w:lineRule="exact"/>
        <w:ind w:firstLine="560" w:firstLineChars="200"/>
        <w:rPr>
          <w:rFonts w:hint="eastAsia" w:ascii="宋体" w:hAnsi="宋体"/>
          <w:sz w:val="28"/>
          <w:szCs w:val="28"/>
        </w:rPr>
      </w:pPr>
      <w:r>
        <w:rPr>
          <w:rFonts w:hint="eastAsia" w:ascii="宋体" w:hAnsi="宋体"/>
          <w:sz w:val="28"/>
          <w:szCs w:val="28"/>
        </w:rPr>
        <w:t>（五）主管全区主要河道、水域的综合治理和开发，负责全县防汛抗旱工作。</w:t>
      </w:r>
    </w:p>
    <w:p>
      <w:pPr>
        <w:spacing w:line="600" w:lineRule="exact"/>
        <w:ind w:firstLine="560" w:firstLineChars="200"/>
        <w:rPr>
          <w:rFonts w:hint="eastAsia" w:ascii="宋体" w:hAnsi="宋体"/>
          <w:sz w:val="28"/>
          <w:szCs w:val="28"/>
        </w:rPr>
      </w:pPr>
      <w:r>
        <w:rPr>
          <w:rFonts w:hint="eastAsia" w:ascii="宋体" w:hAnsi="宋体"/>
          <w:sz w:val="28"/>
          <w:szCs w:val="28"/>
        </w:rPr>
        <w:t>（六）主管全区农田水利基本建设。</w:t>
      </w:r>
    </w:p>
    <w:p>
      <w:pPr>
        <w:spacing w:line="600" w:lineRule="exact"/>
        <w:ind w:firstLine="560" w:firstLineChars="200"/>
        <w:rPr>
          <w:rFonts w:hint="eastAsia" w:ascii="宋体" w:hAnsi="宋体"/>
          <w:sz w:val="28"/>
          <w:szCs w:val="28"/>
        </w:rPr>
      </w:pPr>
      <w:r>
        <w:rPr>
          <w:rFonts w:hint="eastAsia" w:ascii="宋体" w:hAnsi="宋体"/>
          <w:sz w:val="28"/>
          <w:szCs w:val="28"/>
        </w:rPr>
        <w:t>（七）主管全区水土保持工作。</w:t>
      </w:r>
    </w:p>
    <w:p>
      <w:pPr>
        <w:spacing w:line="600" w:lineRule="exact"/>
        <w:ind w:firstLine="560" w:firstLineChars="200"/>
        <w:rPr>
          <w:rFonts w:hint="eastAsia" w:ascii="宋体" w:hAnsi="宋体"/>
          <w:sz w:val="28"/>
          <w:szCs w:val="28"/>
        </w:rPr>
      </w:pPr>
      <w:r>
        <w:rPr>
          <w:rFonts w:hint="eastAsia" w:ascii="宋体" w:hAnsi="宋体"/>
          <w:sz w:val="28"/>
          <w:szCs w:val="28"/>
        </w:rPr>
        <w:t>（八）负责全区城乡的人畜饮水工作。</w:t>
      </w:r>
    </w:p>
    <w:p>
      <w:pPr>
        <w:spacing w:line="600" w:lineRule="exact"/>
        <w:ind w:firstLine="560" w:firstLineChars="200"/>
        <w:rPr>
          <w:rFonts w:hint="eastAsia" w:ascii="宋体" w:hAnsi="宋体"/>
          <w:sz w:val="28"/>
          <w:szCs w:val="28"/>
        </w:rPr>
      </w:pPr>
      <w:r>
        <w:rPr>
          <w:rFonts w:hint="eastAsia" w:ascii="宋体" w:hAnsi="宋体"/>
          <w:sz w:val="28"/>
          <w:szCs w:val="28"/>
        </w:rPr>
        <w:t>（九）负责水利多种经营，发展水利经济。</w:t>
      </w:r>
    </w:p>
    <w:p>
      <w:pPr>
        <w:ind w:firstLine="560" w:firstLineChars="200"/>
        <w:rPr>
          <w:rFonts w:hint="eastAsia" w:ascii="宋体" w:hAnsi="宋体"/>
          <w:sz w:val="28"/>
          <w:szCs w:val="28"/>
        </w:rPr>
      </w:pPr>
      <w:r>
        <w:rPr>
          <w:rFonts w:hint="eastAsia" w:ascii="宋体" w:hAnsi="宋体"/>
          <w:sz w:val="28"/>
          <w:szCs w:val="28"/>
        </w:rPr>
        <w:t>（十）落实水库移民政策，扶持水库移民村发展生产。</w:t>
      </w:r>
    </w:p>
    <w:p>
      <w:pPr>
        <w:ind w:firstLine="560" w:firstLineChars="200"/>
        <w:rPr>
          <w:rFonts w:hint="eastAsia" w:ascii="宋体" w:hAnsi="宋体"/>
          <w:sz w:val="28"/>
          <w:szCs w:val="28"/>
        </w:rPr>
      </w:pPr>
      <w:r>
        <w:rPr>
          <w:rFonts w:hint="eastAsia" w:ascii="宋体" w:hAnsi="宋体"/>
          <w:sz w:val="28"/>
          <w:szCs w:val="28"/>
        </w:rPr>
        <w:t>（十一）承办区政府交办的其它事项。</w:t>
      </w:r>
    </w:p>
    <w:p>
      <w:pPr>
        <w:widowControl/>
        <w:spacing w:line="580" w:lineRule="exact"/>
        <w:ind w:firstLine="640" w:firstLineChars="200"/>
        <w:rPr>
          <w:rFonts w:ascii="仿宋_GB2312" w:hAnsi="Calibri" w:eastAsia="仿宋_GB2312" w:cs="Arial Black"/>
          <w:kern w:val="0"/>
          <w:sz w:val="32"/>
          <w:szCs w:val="32"/>
        </w:rPr>
      </w:pP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  个，具体情况如下：</w:t>
      </w:r>
    </w:p>
    <w:tbl>
      <w:tblPr>
        <w:tblStyle w:val="7"/>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UnicodeMS"/>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UnicodeMS"/>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UnicodeMS"/>
                <w:b/>
                <w:bCs/>
                <w:kern w:val="0"/>
                <w:sz w:val="28"/>
                <w:szCs w:val="28"/>
              </w:rPr>
              <w:t>单位基本性质</w:t>
            </w:r>
          </w:p>
        </w:tc>
        <w:tc>
          <w:tcPr>
            <w:tcW w:w="2620"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vAlign w:val="top"/>
          </w:tcPr>
          <w:p>
            <w:pPr>
              <w:spacing w:line="560" w:lineRule="exact"/>
              <w:jc w:val="center"/>
              <w:rPr>
                <w:rFonts w:ascii="仿宋_GB2312" w:hAnsi="Calibri" w:eastAsia="仿宋_GB2312" w:cs="Arial Black"/>
                <w:kern w:val="0"/>
                <w:sz w:val="28"/>
                <w:szCs w:val="28"/>
              </w:rPr>
            </w:pPr>
            <w:r>
              <w:rPr>
                <w:rFonts w:ascii="仿宋_GB2312" w:hAnsi="Calibri" w:eastAsia="仿宋_GB2312" w:cs="ArialUnicodeMS"/>
                <w:kern w:val="0"/>
                <w:sz w:val="28"/>
                <w:szCs w:val="28"/>
              </w:rPr>
              <w:t>1</w:t>
            </w:r>
          </w:p>
        </w:tc>
        <w:tc>
          <w:tcPr>
            <w:tcW w:w="3426" w:type="dxa"/>
            <w:vAlign w:val="center"/>
          </w:tcPr>
          <w:p>
            <w:pPr>
              <w:widowControl/>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保定市满城区水利局</w:t>
            </w:r>
          </w:p>
        </w:tc>
        <w:tc>
          <w:tcPr>
            <w:tcW w:w="2404" w:type="dxa"/>
            <w:vAlign w:val="center"/>
          </w:tcPr>
          <w:p>
            <w:pPr>
              <w:widowControl/>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行政</w:t>
            </w:r>
          </w:p>
        </w:tc>
        <w:tc>
          <w:tcPr>
            <w:tcW w:w="2620" w:type="dxa"/>
            <w:vAlign w:val="center"/>
          </w:tcPr>
          <w:p>
            <w:pPr>
              <w:widowControl/>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vAlign w:val="top"/>
          </w:tcPr>
          <w:p>
            <w:pPr>
              <w:spacing w:line="560" w:lineRule="exact"/>
              <w:jc w:val="center"/>
              <w:rPr>
                <w:rFonts w:ascii="仿宋_GB2312" w:hAnsi="Calibri" w:eastAsia="仿宋_GB2312" w:cs="Arial Black"/>
                <w:kern w:val="0"/>
                <w:sz w:val="28"/>
                <w:szCs w:val="28"/>
              </w:rPr>
            </w:pPr>
            <w:r>
              <w:rPr>
                <w:rFonts w:ascii="仿宋_GB2312" w:hAnsi="Calibri" w:eastAsia="仿宋_GB2312" w:cs="ArialUnicodeMS"/>
                <w:kern w:val="0"/>
                <w:sz w:val="28"/>
                <w:szCs w:val="28"/>
              </w:rPr>
              <w:t>2</w:t>
            </w:r>
          </w:p>
        </w:tc>
        <w:tc>
          <w:tcPr>
            <w:tcW w:w="3426" w:type="dxa"/>
            <w:vAlign w:val="center"/>
          </w:tcPr>
          <w:p>
            <w:pPr>
              <w:widowControl/>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办公室</w:t>
            </w:r>
          </w:p>
        </w:tc>
        <w:tc>
          <w:tcPr>
            <w:tcW w:w="2404" w:type="dxa"/>
            <w:vAlign w:val="center"/>
          </w:tcPr>
          <w:p>
            <w:pPr>
              <w:widowControl/>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事业</w:t>
            </w:r>
          </w:p>
        </w:tc>
        <w:tc>
          <w:tcPr>
            <w:tcW w:w="2620" w:type="dxa"/>
            <w:vAlign w:val="center"/>
          </w:tcPr>
          <w:p>
            <w:pPr>
              <w:widowControl/>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vAlign w:val="top"/>
          </w:tcPr>
          <w:p>
            <w:pPr>
              <w:spacing w:line="560" w:lineRule="exact"/>
              <w:jc w:val="center"/>
              <w:rPr>
                <w:rFonts w:ascii="仿宋_GB2312" w:hAnsi="Calibri" w:eastAsia="仿宋_GB2312" w:cs="Arial Black"/>
                <w:kern w:val="0"/>
                <w:sz w:val="28"/>
                <w:szCs w:val="28"/>
              </w:rPr>
            </w:pPr>
            <w:r>
              <w:rPr>
                <w:rFonts w:ascii="仿宋_GB2312" w:hAnsi="Calibri" w:eastAsia="仿宋_GB2312" w:cs="ArialUnicodeMS"/>
                <w:kern w:val="0"/>
                <w:sz w:val="28"/>
                <w:szCs w:val="28"/>
              </w:rPr>
              <w:t>3</w:t>
            </w:r>
          </w:p>
        </w:tc>
        <w:tc>
          <w:tcPr>
            <w:tcW w:w="3426" w:type="dxa"/>
            <w:vAlign w:val="center"/>
          </w:tcPr>
          <w:p>
            <w:pPr>
              <w:widowControl/>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水利工程股</w:t>
            </w:r>
          </w:p>
        </w:tc>
        <w:tc>
          <w:tcPr>
            <w:tcW w:w="2404" w:type="dxa"/>
            <w:vAlign w:val="center"/>
          </w:tcPr>
          <w:p>
            <w:pPr>
              <w:widowControl/>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事业</w:t>
            </w:r>
          </w:p>
        </w:tc>
        <w:tc>
          <w:tcPr>
            <w:tcW w:w="2620" w:type="dxa"/>
            <w:vAlign w:val="center"/>
          </w:tcPr>
          <w:p>
            <w:pPr>
              <w:widowControl/>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vAlign w:val="top"/>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UnicodeMS"/>
                <w:kern w:val="0"/>
                <w:sz w:val="28"/>
                <w:szCs w:val="28"/>
                <w:lang w:val="en-US" w:eastAsia="zh-CN"/>
              </w:rPr>
              <w:t>4</w:t>
            </w:r>
          </w:p>
        </w:tc>
        <w:tc>
          <w:tcPr>
            <w:tcW w:w="3426" w:type="dxa"/>
            <w:tcBorders>
              <w:bottom w:val="single" w:color="auto" w:sz="4" w:space="0"/>
            </w:tcBorders>
            <w:vAlign w:val="center"/>
          </w:tcPr>
          <w:p>
            <w:pPr>
              <w:widowControl/>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水政水保股</w:t>
            </w:r>
          </w:p>
        </w:tc>
        <w:tc>
          <w:tcPr>
            <w:tcW w:w="2404" w:type="dxa"/>
            <w:tcBorders>
              <w:bottom w:val="single" w:color="auto" w:sz="4" w:space="0"/>
            </w:tcBorders>
            <w:vAlign w:val="center"/>
          </w:tcPr>
          <w:p>
            <w:pPr>
              <w:widowControl/>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事业</w:t>
            </w:r>
          </w:p>
        </w:tc>
        <w:tc>
          <w:tcPr>
            <w:tcW w:w="2620" w:type="dxa"/>
            <w:tcBorders>
              <w:bottom w:val="single" w:color="auto" w:sz="4" w:space="0"/>
            </w:tcBorders>
            <w:vAlign w:val="center"/>
          </w:tcPr>
          <w:p>
            <w:pPr>
              <w:widowControl/>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vAlign w:val="top"/>
          </w:tcPr>
          <w:p>
            <w:pPr>
              <w:spacing w:line="560" w:lineRule="exact"/>
              <w:ind w:firstLine="560" w:firstLineChars="200"/>
              <w:jc w:val="left"/>
              <w:rPr>
                <w:rFonts w:ascii="仿宋_GB2312" w:hAnsi="Calibri" w:eastAsia="仿宋_GB2312" w:cs="Arial Black"/>
                <w:kern w:val="0"/>
                <w:sz w:val="28"/>
                <w:szCs w:val="28"/>
              </w:rPr>
            </w:pP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hint="eastAsia" w:ascii="仿宋_GB2312" w:hAnsi="Times New Roman" w:eastAsia="仿宋_GB2312" w:cs="Wingdings"/>
          <w:sz w:val="32"/>
          <w:szCs w:val="32"/>
          <w:highlight w:val="yellow"/>
          <w:lang w:eastAsia="zh-CN"/>
        </w:rPr>
      </w:pPr>
      <w:r>
        <w:rPr>
          <w:rFonts w:hint="eastAsia" w:ascii="仿宋_GB2312" w:hAnsi="Times New Roman" w:eastAsia="仿宋_GB2312" w:cs="Wingdings"/>
          <w:sz w:val="32"/>
          <w:szCs w:val="32"/>
        </w:rPr>
        <w:t>本部门2020年度收、支总计（含结转和结余）</w:t>
      </w:r>
      <w:r>
        <w:rPr>
          <w:rFonts w:hint="eastAsia" w:ascii="仿宋_GB2312" w:hAnsi="Times New Roman" w:eastAsia="仿宋_GB2312" w:cs="Wingdings"/>
          <w:sz w:val="32"/>
          <w:szCs w:val="32"/>
          <w:lang w:val="en-US" w:eastAsia="zh-CN"/>
        </w:rPr>
        <w:t>5826.57</w:t>
      </w:r>
      <w:r>
        <w:rPr>
          <w:rFonts w:hint="eastAsia" w:ascii="仿宋_GB2312" w:hAnsi="Times New Roman" w:eastAsia="仿宋_GB2312" w:cs="Wingdings"/>
          <w:sz w:val="32"/>
          <w:szCs w:val="32"/>
        </w:rPr>
        <w:t>万元。与2019年度决算相比，收支各增加</w:t>
      </w:r>
      <w:r>
        <w:rPr>
          <w:rFonts w:hint="eastAsia" w:ascii="仿宋_GB2312" w:hAnsi="Times New Roman" w:eastAsia="仿宋_GB2312" w:cs="Wingdings"/>
          <w:sz w:val="32"/>
          <w:szCs w:val="32"/>
          <w:lang w:val="en-US" w:eastAsia="zh-CN"/>
        </w:rPr>
        <w:t>579.88</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11.05</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eastAsia="zh-CN"/>
        </w:rPr>
        <w:t>项目资金增加。</w:t>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color w:val="FF0000"/>
          <w:sz w:val="32"/>
          <w:szCs w:val="32"/>
        </w:rPr>
      </w:pPr>
      <w:r>
        <w:rPr>
          <w:rFonts w:hint="eastAsia" w:ascii="仿宋_GB2312" w:hAnsi="Times New Roman" w:eastAsia="仿宋_GB2312" w:cs="Wingdings"/>
          <w:color w:val="auto"/>
          <w:sz w:val="32"/>
          <w:szCs w:val="32"/>
        </w:rPr>
        <w:t>本部门2020年度本年收入合计</w:t>
      </w:r>
      <w:r>
        <w:rPr>
          <w:rFonts w:hint="eastAsia" w:ascii="仿宋_GB2312" w:hAnsi="Times New Roman" w:eastAsia="仿宋_GB2312" w:cs="Wingdings"/>
          <w:color w:val="auto"/>
          <w:sz w:val="32"/>
          <w:szCs w:val="32"/>
          <w:lang w:val="en-US" w:eastAsia="zh-CN"/>
        </w:rPr>
        <w:t>5826.57</w:t>
      </w:r>
      <w:r>
        <w:rPr>
          <w:rFonts w:hint="eastAsia" w:ascii="仿宋_GB2312" w:hAnsi="Times New Roman" w:eastAsia="仿宋_GB2312" w:cs="Wingdings"/>
          <w:color w:val="auto"/>
          <w:sz w:val="32"/>
          <w:szCs w:val="32"/>
        </w:rPr>
        <w:t>万元，</w:t>
      </w:r>
      <w:r>
        <w:rPr>
          <w:rFonts w:hint="eastAsia" w:ascii="仿宋_GB2312" w:hAnsi="Times New Roman" w:eastAsia="仿宋_GB2312" w:cs="Wingdings"/>
          <w:sz w:val="32"/>
          <w:szCs w:val="32"/>
        </w:rPr>
        <w:t>其中：财政拨款收入</w:t>
      </w:r>
      <w:r>
        <w:rPr>
          <w:rFonts w:hint="eastAsia" w:ascii="仿宋_GB2312" w:hAnsi="Times New Roman" w:eastAsia="仿宋_GB2312" w:cs="Wingdings"/>
          <w:sz w:val="32"/>
          <w:szCs w:val="32"/>
          <w:lang w:val="en-US" w:eastAsia="zh-CN"/>
        </w:rPr>
        <w:t>5826.57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5826.57</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1770.66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30.39</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4055.91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69.61</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5826.57</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579.88</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11.05</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项目资金增加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5826.57</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579.88</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11.05</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项目资金增加</w:t>
      </w:r>
      <w:r>
        <w:rPr>
          <w:rFonts w:hint="eastAsia" w:ascii="仿宋_GB2312" w:hAnsi="Times New Roman" w:eastAsia="仿宋_GB2312" w:cs="Wingdings"/>
          <w:sz w:val="32"/>
          <w:szCs w:val="32"/>
        </w:rPr>
        <w:t>。具体情况如下：</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w:t>
      </w:r>
      <w:r>
        <w:rPr>
          <w:rFonts w:hint="eastAsia" w:ascii="仿宋_GB2312" w:hAnsi="Times New Roman" w:eastAsia="仿宋_GB2312" w:cs="Wingdings"/>
          <w:sz w:val="32"/>
          <w:szCs w:val="32"/>
          <w:lang w:val="en-US" w:eastAsia="zh-CN"/>
        </w:rPr>
        <w:t>3362.57</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312.16</w:t>
      </w:r>
      <w:r>
        <w:rPr>
          <w:rFonts w:hint="eastAsia" w:ascii="仿宋_GB2312" w:hAnsi="Times New Roman" w:eastAsia="仿宋_GB2312" w:cs="Wingdings"/>
          <w:sz w:val="32"/>
          <w:szCs w:val="32"/>
        </w:rPr>
        <w:t>万元；主要是</w:t>
      </w:r>
      <w:r>
        <w:rPr>
          <w:rFonts w:hint="eastAsia" w:ascii="仿宋_GB2312" w:hAnsi="Times New Roman" w:eastAsia="仿宋_GB2312" w:cs="Wingdings"/>
          <w:sz w:val="32"/>
          <w:szCs w:val="32"/>
          <w:lang w:eastAsia="zh-CN"/>
        </w:rPr>
        <w:t>项目资金增加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3362.57</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312.16</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10.23</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项目资金增加</w:t>
      </w:r>
      <w:r>
        <w:rPr>
          <w:rFonts w:hint="eastAsia" w:ascii="仿宋_GB2312" w:hAnsi="Times New Roman" w:eastAsia="仿宋_GB2312" w:cs="Wingdings"/>
          <w:sz w:val="32"/>
          <w:szCs w:val="32"/>
        </w:rPr>
        <w:t>。</w:t>
      </w:r>
    </w:p>
    <w:p>
      <w:pPr>
        <w:numPr>
          <w:ilvl w:val="0"/>
          <w:numId w:val="1"/>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w:t>
      </w:r>
      <w:r>
        <w:rPr>
          <w:rFonts w:hint="eastAsia" w:ascii="仿宋_GB2312" w:hAnsi="Times New Roman" w:eastAsia="仿宋_GB2312" w:cs="Wingdings"/>
          <w:sz w:val="32"/>
          <w:szCs w:val="32"/>
          <w:lang w:val="en-US" w:eastAsia="zh-CN"/>
        </w:rPr>
        <w:t>2464.00</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267.72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12.19</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eastAsia="zh-CN"/>
        </w:rPr>
        <w:t>项目资金增加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2464.00</w:t>
      </w:r>
      <w:r>
        <w:rPr>
          <w:rFonts w:hint="eastAsia" w:ascii="仿宋_GB2312" w:hAnsi="Times New Roman" w:eastAsia="仿宋_GB2312" w:cs="Wingdings"/>
          <w:sz w:val="32"/>
          <w:szCs w:val="32"/>
        </w:rPr>
        <w:t>万元，比上年增加</w:t>
      </w:r>
      <w:r>
        <w:rPr>
          <w:rFonts w:hint="eastAsia" w:ascii="仿宋_GB2312" w:hAnsi="Times New Roman" w:eastAsia="仿宋_GB2312" w:cs="Wingdings"/>
          <w:sz w:val="32"/>
          <w:szCs w:val="32"/>
          <w:lang w:val="en-US" w:eastAsia="zh-CN"/>
        </w:rPr>
        <w:t>267.72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12.19</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项目资金增加</w:t>
      </w:r>
      <w:r>
        <w:rPr>
          <w:rFonts w:hint="eastAsia" w:ascii="仿宋_GB2312" w:hAnsi="Times New Roman" w:eastAsia="仿宋_GB2312" w:cs="Wingdings"/>
          <w:sz w:val="32"/>
          <w:szCs w:val="32"/>
        </w:rPr>
        <w:t>。</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本部门2020年度财政拨款本年收入</w:t>
      </w:r>
      <w:r>
        <w:rPr>
          <w:rFonts w:hint="eastAsia" w:ascii="仿宋_GB2312" w:hAnsi="Times New Roman" w:eastAsia="仿宋_GB2312" w:cs="Wingdings"/>
          <w:sz w:val="32"/>
          <w:szCs w:val="32"/>
          <w:lang w:val="en-US" w:eastAsia="zh-CN"/>
        </w:rPr>
        <w:t>5826.57</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68.01</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2830.87</w:t>
      </w:r>
      <w:r>
        <w:rPr>
          <w:rFonts w:hint="eastAsia" w:ascii="仿宋_GB2312" w:hAnsi="Times New Roman" w:eastAsia="仿宋_GB2312" w:cs="Wingdings"/>
          <w:sz w:val="32"/>
          <w:szCs w:val="32"/>
        </w:rPr>
        <w:t>万元，决算数小于预算数主要原因是</w:t>
      </w:r>
      <w:r>
        <w:rPr>
          <w:rFonts w:hint="eastAsia" w:ascii="仿宋_GB2312" w:hAnsi="Times New Roman" w:eastAsia="仿宋_GB2312" w:cs="Wingdings"/>
          <w:sz w:val="32"/>
          <w:szCs w:val="32"/>
          <w:lang w:eastAsia="zh-CN"/>
        </w:rPr>
        <w:t>项目实际支出减少</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5826.57</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68.01</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2830.87</w:t>
      </w:r>
      <w:r>
        <w:rPr>
          <w:rFonts w:hint="eastAsia" w:ascii="仿宋_GB2312" w:hAnsi="Times New Roman" w:eastAsia="仿宋_GB2312" w:cs="Wingdings"/>
          <w:sz w:val="32"/>
          <w:szCs w:val="32"/>
        </w:rPr>
        <w:t>万元，决算数小于预算数主要原因是主要是</w:t>
      </w:r>
      <w:r>
        <w:rPr>
          <w:rFonts w:hint="eastAsia" w:ascii="仿宋_GB2312" w:hAnsi="Times New Roman" w:eastAsia="仿宋_GB2312" w:cs="Wingdings"/>
          <w:sz w:val="32"/>
          <w:szCs w:val="32"/>
          <w:lang w:eastAsia="zh-CN"/>
        </w:rPr>
        <w:t>项目实际支出减少</w:t>
      </w:r>
      <w:r>
        <w:rPr>
          <w:rFonts w:hint="eastAsia" w:ascii="仿宋_GB2312" w:hAnsi="Times New Roman" w:eastAsia="仿宋_GB2312" w:cs="Wingdings"/>
          <w:sz w:val="32"/>
          <w:szCs w:val="32"/>
        </w:rPr>
        <w:t>。具体情况如下：</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一般公共预算财政拨款本年收入完成年初预算</w:t>
      </w:r>
      <w:r>
        <w:rPr>
          <w:rFonts w:hint="eastAsia" w:ascii="仿宋_GB2312" w:hAnsi="Times New Roman" w:eastAsia="仿宋_GB2312" w:cs="Wingdings"/>
          <w:sz w:val="32"/>
          <w:szCs w:val="32"/>
          <w:lang w:val="en-US" w:eastAsia="zh-CN"/>
        </w:rPr>
        <w:t>62.08</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2053.59</w:t>
      </w:r>
      <w:r>
        <w:rPr>
          <w:rFonts w:hint="eastAsia" w:ascii="仿宋_GB2312" w:hAnsi="Times New Roman" w:eastAsia="仿宋_GB2312" w:cs="Wingdings"/>
          <w:sz w:val="32"/>
          <w:szCs w:val="32"/>
        </w:rPr>
        <w:t>万元，主要是</w:t>
      </w:r>
      <w:r>
        <w:rPr>
          <w:rFonts w:hint="eastAsia" w:ascii="仿宋_GB2312" w:hAnsi="Times New Roman" w:eastAsia="仿宋_GB2312" w:cs="Wingdings"/>
          <w:sz w:val="32"/>
          <w:szCs w:val="32"/>
          <w:lang w:eastAsia="zh-CN"/>
        </w:rPr>
        <w:t>项目实际支出减少</w:t>
      </w:r>
      <w:r>
        <w:rPr>
          <w:rFonts w:hint="eastAsia" w:ascii="仿宋_GB2312" w:hAnsi="Times New Roman" w:eastAsia="仿宋_GB2312" w:cs="Wingdings"/>
          <w:sz w:val="32"/>
          <w:szCs w:val="32"/>
        </w:rPr>
        <w:t>；支出完成年初预算</w:t>
      </w:r>
      <w:r>
        <w:rPr>
          <w:rFonts w:hint="eastAsia" w:ascii="仿宋_GB2312" w:hAnsi="Times New Roman" w:eastAsia="仿宋_GB2312" w:cs="Wingdings"/>
          <w:sz w:val="32"/>
          <w:szCs w:val="32"/>
          <w:lang w:val="en-US" w:eastAsia="zh-CN"/>
        </w:rPr>
        <w:t>62.08</w:t>
      </w:r>
      <w:r>
        <w:rPr>
          <w:rFonts w:hint="eastAsia" w:ascii="仿宋_GB2312" w:hAnsi="Times New Roman" w:eastAsia="仿宋_GB2312" w:cs="Wingdings"/>
          <w:sz w:val="32"/>
          <w:szCs w:val="32"/>
        </w:rPr>
        <w:t>%，比年初预算增加减少</w:t>
      </w:r>
      <w:r>
        <w:rPr>
          <w:rFonts w:hint="eastAsia" w:ascii="仿宋_GB2312" w:hAnsi="Times New Roman" w:eastAsia="仿宋_GB2312" w:cs="Wingdings"/>
          <w:sz w:val="32"/>
          <w:szCs w:val="32"/>
          <w:lang w:val="en-US" w:eastAsia="zh-CN"/>
        </w:rPr>
        <w:t>2053.59</w:t>
      </w:r>
      <w:r>
        <w:rPr>
          <w:rFonts w:hint="eastAsia" w:ascii="仿宋_GB2312" w:hAnsi="Times New Roman" w:eastAsia="仿宋_GB2312" w:cs="Wingdings"/>
          <w:sz w:val="32"/>
          <w:szCs w:val="32"/>
        </w:rPr>
        <w:t>万元，主要是</w:t>
      </w:r>
      <w:r>
        <w:rPr>
          <w:rFonts w:hint="eastAsia" w:ascii="仿宋_GB2312" w:hAnsi="Times New Roman" w:eastAsia="仿宋_GB2312" w:cs="Wingdings"/>
          <w:sz w:val="32"/>
          <w:szCs w:val="32"/>
          <w:lang w:eastAsia="zh-CN"/>
        </w:rPr>
        <w:t>项目实际支出减少</w:t>
      </w:r>
      <w:r>
        <w:rPr>
          <w:rFonts w:hint="eastAsia" w:ascii="仿宋_GB2312" w:hAnsi="Times New Roman" w:eastAsia="仿宋_GB2312" w:cs="Wingdings"/>
          <w:sz w:val="32"/>
          <w:szCs w:val="32"/>
        </w:rPr>
        <w:t>。</w:t>
      </w:r>
    </w:p>
    <w:p>
      <w:pPr>
        <w:numPr>
          <w:ilvl w:val="0"/>
          <w:numId w:val="2"/>
        </w:num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政府性基金预算财政拨款本年收入完成年初预算</w:t>
      </w:r>
      <w:r>
        <w:rPr>
          <w:rFonts w:hint="eastAsia" w:ascii="仿宋_GB2312" w:hAnsi="Times New Roman" w:eastAsia="仿宋_GB2312" w:cs="Wingdings"/>
          <w:sz w:val="32"/>
          <w:szCs w:val="32"/>
          <w:lang w:val="en-US" w:eastAsia="zh-CN"/>
        </w:rPr>
        <w:t>78.19</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687.28</w:t>
      </w:r>
      <w:r>
        <w:rPr>
          <w:rFonts w:hint="eastAsia" w:ascii="仿宋_GB2312" w:hAnsi="Times New Roman" w:eastAsia="仿宋_GB2312" w:cs="Wingdings"/>
          <w:sz w:val="32"/>
          <w:szCs w:val="32"/>
        </w:rPr>
        <w:t>万元，主要是</w:t>
      </w:r>
      <w:r>
        <w:rPr>
          <w:rFonts w:hint="eastAsia" w:ascii="仿宋_GB2312" w:hAnsi="Times New Roman" w:eastAsia="仿宋_GB2312" w:cs="Wingdings"/>
          <w:sz w:val="32"/>
          <w:szCs w:val="32"/>
          <w:lang w:eastAsia="zh-CN"/>
        </w:rPr>
        <w:t>项目实际支出减少</w:t>
      </w:r>
      <w:r>
        <w:rPr>
          <w:rFonts w:hint="eastAsia" w:ascii="仿宋_GB2312" w:hAnsi="Times New Roman" w:eastAsia="仿宋_GB2312" w:cs="Wingdings"/>
          <w:sz w:val="32"/>
          <w:szCs w:val="32"/>
        </w:rPr>
        <w:t>；支出完成年初预算</w:t>
      </w:r>
      <w:r>
        <w:rPr>
          <w:rFonts w:hint="eastAsia" w:ascii="仿宋_GB2312" w:hAnsi="Times New Roman" w:eastAsia="仿宋_GB2312" w:cs="Wingdings"/>
          <w:sz w:val="32"/>
          <w:szCs w:val="32"/>
          <w:lang w:val="en-US" w:eastAsia="zh-CN"/>
        </w:rPr>
        <w:t>78.19</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687.28</w:t>
      </w:r>
      <w:r>
        <w:rPr>
          <w:rFonts w:hint="eastAsia" w:ascii="仿宋_GB2312" w:hAnsi="Times New Roman" w:eastAsia="仿宋_GB2312" w:cs="Wingdings"/>
          <w:sz w:val="32"/>
          <w:szCs w:val="32"/>
        </w:rPr>
        <w:t>万元，主要是</w:t>
      </w:r>
      <w:r>
        <w:rPr>
          <w:rFonts w:hint="eastAsia" w:ascii="仿宋_GB2312" w:hAnsi="Times New Roman" w:eastAsia="仿宋_GB2312" w:cs="Wingdings"/>
          <w:sz w:val="32"/>
          <w:szCs w:val="32"/>
          <w:lang w:eastAsia="zh-CN"/>
        </w:rPr>
        <w:t>项目实际支出减少</w:t>
      </w:r>
      <w:r>
        <w:rPr>
          <w:rFonts w:hint="eastAsia" w:ascii="仿宋_GB2312" w:hAnsi="Times New Roman" w:eastAsia="仿宋_GB2312" w:cs="Wingdings"/>
          <w:sz w:val="32"/>
          <w:szCs w:val="32"/>
        </w:rPr>
        <w:t>。</w:t>
      </w:r>
    </w:p>
    <w:p>
      <w:pPr>
        <w:numPr>
          <w:ilvl w:val="0"/>
          <w:numId w:val="3"/>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5826.57</w:t>
      </w:r>
      <w:r>
        <w:rPr>
          <w:rFonts w:hint="eastAsia" w:ascii="仿宋_GB2312" w:hAnsi="Times New Roman" w:eastAsia="仿宋_GB2312" w:cs="Wingdings"/>
          <w:sz w:val="32"/>
          <w:szCs w:val="32"/>
        </w:rPr>
        <w:t>万元，主要用于以下方面：比如：社会保障和就业（类）支出</w:t>
      </w:r>
      <w:r>
        <w:rPr>
          <w:rFonts w:hint="eastAsia" w:ascii="仿宋_GB2312" w:hAnsi="Times New Roman" w:eastAsia="仿宋_GB2312" w:cs="Wingdings"/>
          <w:sz w:val="32"/>
          <w:szCs w:val="32"/>
          <w:lang w:val="en-US" w:eastAsia="zh-CN"/>
        </w:rPr>
        <w:t>1064.21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18.26</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卫生健康支出</w:t>
      </w:r>
      <w:r>
        <w:rPr>
          <w:rFonts w:hint="eastAsia" w:ascii="仿宋_GB2312" w:hAnsi="Times New Roman" w:eastAsia="仿宋_GB2312" w:cs="Wingdings"/>
          <w:sz w:val="32"/>
          <w:szCs w:val="32"/>
          <w:lang w:val="en-US" w:eastAsia="zh-CN"/>
        </w:rPr>
        <w:t>71.56万元，占1.23%；城乡社区支出1738.77万元，占29.84%；农林水支出2853.04万元，占48.97%；</w:t>
      </w:r>
      <w:r>
        <w:rPr>
          <w:rFonts w:hint="eastAsia" w:ascii="仿宋_GB2312" w:hAnsi="Times New Roman" w:eastAsia="仿宋_GB2312" w:cs="Wingdings"/>
          <w:sz w:val="32"/>
          <w:szCs w:val="32"/>
        </w:rPr>
        <w:t>住房保障（类）支出</w:t>
      </w:r>
      <w:r>
        <w:rPr>
          <w:rFonts w:hint="eastAsia" w:ascii="仿宋_GB2312" w:hAnsi="Times New Roman" w:eastAsia="仿宋_GB2312" w:cs="Wingdings"/>
          <w:sz w:val="32"/>
          <w:szCs w:val="32"/>
          <w:lang w:val="en-US" w:eastAsia="zh-CN"/>
        </w:rPr>
        <w:t>98.98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1.70</w:t>
      </w:r>
      <w:r>
        <w:rPr>
          <w:rFonts w:hint="eastAsia" w:ascii="仿宋_GB2312" w:hAnsi="Times New Roman" w:eastAsia="仿宋_GB2312" w:cs="Wingdings"/>
          <w:sz w:val="32"/>
          <w:szCs w:val="32"/>
        </w:rPr>
        <w:t>%。</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1770.66</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1733.81</w:t>
      </w:r>
      <w:r>
        <w:rPr>
          <w:rFonts w:hint="eastAsia" w:ascii="仿宋_GB2312" w:hAnsi="Times New Roman" w:eastAsia="仿宋_GB2312" w:cs="Wingdings"/>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hAnsi="Times New Roman" w:eastAsia="仿宋_GB2312" w:cs="Wingdings"/>
          <w:sz w:val="32"/>
          <w:szCs w:val="32"/>
          <w:lang w:val="en-US" w:eastAsia="zh-CN"/>
        </w:rPr>
        <w:t>36.85</w:t>
      </w:r>
      <w:r>
        <w:rPr>
          <w:rFonts w:hint="eastAsia" w:ascii="仿宋_GB2312" w:hAnsi="Times New Roman" w:eastAsia="仿宋_GB2312" w:cs="Wingdings"/>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12.96</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12.45</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96.06</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0.51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3.94</w:t>
      </w:r>
      <w:r>
        <w:rPr>
          <w:rFonts w:hint="eastAsia" w:ascii="仿宋_GB2312" w:hAnsi="Times New Roman" w:eastAsia="仿宋_GB2312" w:cs="Wingdings"/>
          <w:sz w:val="32"/>
          <w:szCs w:val="32"/>
        </w:rPr>
        <w:t>%，主要是</w:t>
      </w:r>
      <w:r>
        <w:rPr>
          <w:rFonts w:hint="eastAsia" w:ascii="仿宋_GB2312" w:eastAsia="仿宋_GB2312" w:cs="DengXian-Regular"/>
          <w:b w:val="0"/>
          <w:bCs/>
          <w:sz w:val="32"/>
          <w:szCs w:val="32"/>
        </w:rPr>
        <w:t>厉行节约，压缩三公经费支出</w:t>
      </w:r>
      <w:r>
        <w:rPr>
          <w:rFonts w:hint="eastAsia" w:ascii="仿宋_GB2312" w:hAnsi="Times New Roman" w:eastAsia="仿宋_GB2312" w:cs="Wingdings"/>
          <w:sz w:val="32"/>
          <w:szCs w:val="32"/>
        </w:rPr>
        <w:t>；较2019年度增加</w:t>
      </w:r>
      <w:r>
        <w:rPr>
          <w:rFonts w:hint="eastAsia" w:ascii="仿宋_GB2312" w:hAnsi="Times New Roman" w:eastAsia="仿宋_GB2312" w:cs="Wingdings"/>
          <w:sz w:val="32"/>
          <w:szCs w:val="32"/>
          <w:lang w:val="en-US" w:eastAsia="zh-CN"/>
        </w:rPr>
        <w:t>0.42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3.49</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项目增加，下乡任务增加，公车运行维护费增加</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无因公出国（</w:t>
      </w:r>
      <w:r>
        <w:rPr>
          <w:rFonts w:hint="eastAsia" w:ascii="仿宋_GB2312" w:hAnsi="仿宋_GB2312" w:eastAsia="仿宋_GB2312" w:cs="仿宋_GB2312"/>
          <w:b w:val="0"/>
          <w:bCs w:val="0"/>
          <w:sz w:val="32"/>
          <w:szCs w:val="32"/>
          <w:lang w:val="en-US" w:eastAsia="zh-CN"/>
        </w:rPr>
        <w:t>境</w:t>
      </w:r>
      <w:r>
        <w:rPr>
          <w:rFonts w:hint="eastAsia" w:ascii="仿宋_GB2312" w:hAnsi="Times New Roman" w:eastAsia="仿宋_GB2312" w:cs="Wingdings"/>
          <w:sz w:val="32"/>
          <w:szCs w:val="32"/>
          <w:lang w:eastAsia="zh-CN"/>
        </w:rPr>
        <w:t>）情况</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无因公出国（</w:t>
      </w:r>
      <w:r>
        <w:rPr>
          <w:rFonts w:hint="eastAsia" w:ascii="仿宋_GB2312" w:hAnsi="仿宋_GB2312" w:eastAsia="仿宋_GB2312" w:cs="仿宋_GB2312"/>
          <w:b w:val="0"/>
          <w:bCs w:val="0"/>
          <w:sz w:val="32"/>
          <w:szCs w:val="32"/>
          <w:lang w:val="en-US" w:eastAsia="zh-CN"/>
        </w:rPr>
        <w:t>境</w:t>
      </w:r>
      <w:r>
        <w:rPr>
          <w:rFonts w:hint="eastAsia" w:ascii="仿宋_GB2312" w:hAnsi="Times New Roman" w:eastAsia="仿宋_GB2312" w:cs="Wingdings"/>
          <w:sz w:val="32"/>
          <w:szCs w:val="32"/>
          <w:lang w:eastAsia="zh-CN"/>
        </w:rPr>
        <w:t>）情况</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hint="eastAsia" w:ascii="仿宋_GB2312" w:hAnsi="仿宋_GB2312" w:eastAsia="仿宋_GB2312" w:cs="仿宋_GB2312"/>
          <w:b w:val="0"/>
          <w:bCs w:val="0"/>
          <w:color w:val="FF0000"/>
          <w:sz w:val="32"/>
          <w:szCs w:val="32"/>
          <w:lang w:val="en-US" w:eastAsia="zh-CN"/>
        </w:rPr>
      </w:pP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12.45</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96.06</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0.51</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3.94</w:t>
      </w:r>
      <w:r>
        <w:rPr>
          <w:rFonts w:hint="eastAsia" w:ascii="仿宋_GB2312" w:hAnsi="Times New Roman" w:eastAsia="仿宋_GB2312" w:cs="Wingdings"/>
          <w:sz w:val="32"/>
          <w:szCs w:val="32"/>
        </w:rPr>
        <w:t>%,主要是</w:t>
      </w:r>
      <w:r>
        <w:rPr>
          <w:rFonts w:hint="eastAsia" w:ascii="仿宋_GB2312" w:eastAsia="仿宋_GB2312" w:cs="DengXian-Regular"/>
          <w:b w:val="0"/>
          <w:bCs/>
          <w:sz w:val="32"/>
          <w:szCs w:val="32"/>
        </w:rPr>
        <w:t>厉行节约，压缩三公经费支出</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0.42</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增长</w:t>
      </w:r>
      <w:r>
        <w:rPr>
          <w:rFonts w:hint="eastAsia" w:ascii="仿宋_GB2312" w:hAnsi="Times New Roman" w:eastAsia="仿宋_GB2312" w:cs="Wingdings"/>
          <w:sz w:val="32"/>
          <w:szCs w:val="32"/>
          <w:lang w:val="en-US" w:eastAsia="zh-CN"/>
        </w:rPr>
        <w:t>3.49</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项目增加，下乡任务增加</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hint="eastAsia" w:ascii="仿宋_GB2312" w:hAnsi="Times New Roman" w:eastAsia="仿宋_GB2312" w:cs="Wingdings"/>
          <w:color w:val="FF0000"/>
          <w:sz w:val="32"/>
          <w:szCs w:val="32"/>
          <w:lang w:val="en-US" w:eastAsia="zh-CN"/>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万元。公务用车购置费支出较预算增加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无公务用车购置情况</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无公务用车购置情况。</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5</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,发生运行维护费支出12.45万元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0.05</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0.4</w:t>
      </w:r>
      <w:r>
        <w:rPr>
          <w:rFonts w:hint="eastAsia" w:ascii="仿宋_GB2312" w:hAnsi="Times New Roman" w:eastAsia="仿宋_GB2312" w:cs="Wingdings"/>
          <w:sz w:val="32"/>
          <w:szCs w:val="32"/>
        </w:rPr>
        <w:t>%,主要是</w:t>
      </w:r>
      <w:r>
        <w:rPr>
          <w:rFonts w:hint="eastAsia" w:ascii="仿宋_GB2312" w:eastAsia="仿宋_GB2312" w:cs="DengXian-Regular"/>
          <w:b w:val="0"/>
          <w:bCs/>
          <w:sz w:val="32"/>
          <w:szCs w:val="32"/>
        </w:rPr>
        <w:t>厉行节约，压缩三公经费支出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0.42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3.49</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项目增加，下乡任务增加</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w:t>
      </w:r>
      <w:r>
        <w:rPr>
          <w:rFonts w:hint="eastAsia" w:ascii="仿宋_GB2312" w:hAnsi="仿宋_GB2312" w:eastAsia="仿宋_GB2312" w:cs="仿宋_GB2312"/>
          <w:b w:val="0"/>
          <w:bCs w:val="0"/>
          <w:sz w:val="32"/>
          <w:szCs w:val="32"/>
          <w:lang w:val="en-US" w:eastAsia="zh-CN"/>
        </w:rPr>
        <w:t>公务接待</w:t>
      </w:r>
      <w:r>
        <w:rPr>
          <w:rFonts w:hint="eastAsia" w:ascii="仿宋_GB2312" w:hAnsi="仿宋_GB2312" w:eastAsia="仿宋_GB2312" w:cs="仿宋_GB2312"/>
          <w:b w:val="0"/>
          <w:bCs w:val="0"/>
          <w:sz w:val="32"/>
          <w:szCs w:val="32"/>
        </w:rPr>
        <w:t>费支出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人次。公务接待费支出较预算减少</w:t>
      </w:r>
      <w:r>
        <w:rPr>
          <w:rFonts w:hint="eastAsia" w:ascii="仿宋_GB2312" w:hAnsi="Times New Roman" w:eastAsia="仿宋_GB2312" w:cs="Wingdings"/>
          <w:sz w:val="32"/>
          <w:szCs w:val="32"/>
          <w:lang w:val="en-US" w:eastAsia="zh-CN"/>
        </w:rPr>
        <w:t>0.46</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本年未发生接待支出</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本年未发生接待支出</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w:t>
      </w:r>
      <w:r>
        <w:rPr>
          <w:rFonts w:hint="eastAsia" w:ascii="仿宋_GB2312" w:hAnsi="仿宋_GB2312" w:eastAsia="仿宋_GB2312" w:cs="仿宋_GB2312"/>
          <w:sz w:val="32"/>
          <w:szCs w:val="32"/>
          <w:lang w:eastAsia="zh-CN"/>
        </w:rPr>
        <w:t>一般公共预算</w:t>
      </w:r>
      <w:r>
        <w:rPr>
          <w:rFonts w:hint="eastAsia" w:ascii="仿宋_GB2312" w:hAnsi="仿宋_GB2312" w:eastAsia="仿宋_GB2312" w:cs="仿宋_GB2312"/>
          <w:sz w:val="32"/>
          <w:szCs w:val="32"/>
        </w:rPr>
        <w:t>一级项目</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个，涉及资金</w:t>
      </w:r>
      <w:r>
        <w:rPr>
          <w:rFonts w:hint="eastAsia" w:ascii="仿宋_GB2312" w:hAnsi="仿宋_GB2312" w:eastAsia="仿宋_GB2312" w:cs="仿宋_GB2312"/>
          <w:sz w:val="32"/>
          <w:szCs w:val="32"/>
          <w:lang w:val="en-US" w:eastAsia="zh-CN"/>
        </w:rPr>
        <w:t>102</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3.03%</w:t>
      </w:r>
      <w:r>
        <w:rPr>
          <w:rFonts w:hint="eastAsia" w:ascii="仿宋_GB2312" w:hAnsi="仿宋_GB2312" w:eastAsia="仿宋_GB2312" w:cs="仿宋_GB2312"/>
          <w:sz w:val="32"/>
          <w:szCs w:val="32"/>
        </w:rPr>
        <w:t>；政府性基金预算一级项目</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个，</w:t>
      </w:r>
      <w:bookmarkStart w:id="0" w:name="_GoBack"/>
      <w:bookmarkEnd w:id="0"/>
      <w:r>
        <w:rPr>
          <w:rFonts w:hint="eastAsia" w:ascii="仿宋_GB2312" w:hAnsi="仿宋_GB2312" w:eastAsia="仿宋_GB2312" w:cs="仿宋_GB2312"/>
          <w:sz w:val="32"/>
          <w:szCs w:val="32"/>
        </w:rPr>
        <w:t>共涉及资金</w:t>
      </w:r>
      <w:r>
        <w:rPr>
          <w:rFonts w:hint="eastAsia" w:ascii="仿宋_GB2312" w:hAnsi="仿宋_GB2312" w:eastAsia="仿宋_GB2312" w:cs="仿宋_GB2312"/>
          <w:sz w:val="32"/>
          <w:szCs w:val="32"/>
          <w:lang w:val="en-US" w:eastAsia="zh-CN"/>
        </w:rPr>
        <w:t>1188.5</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253.26%</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从评价情况来看，</w:t>
      </w:r>
      <w:r>
        <w:rPr>
          <w:rFonts w:hint="eastAsia" w:ascii="仿宋_GB2312" w:hAnsi="仿宋_GB2312" w:eastAsia="仿宋_GB2312" w:cs="仿宋_GB2312"/>
          <w:sz w:val="32"/>
          <w:szCs w:val="32"/>
          <w:lang w:eastAsia="zh-CN"/>
        </w:rPr>
        <w:t>本部门完成项目均开展了绩效自评。</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eastAsia="zh-CN"/>
        </w:rPr>
        <w:t>中央水利发展资金、中央大中型水库水库移民后期扶持资金、中央水利发展资金（山洪灾害防治项目资金）及大中型水库移民后期扶持基金</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个项目绩效自评结果。</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（1）2020年水库移民后期扶持</w:t>
      </w:r>
      <w:r>
        <w:rPr>
          <w:rFonts w:hint="eastAsia" w:ascii="仿宋_GB2312" w:hAnsi="仿宋_GB2312" w:eastAsia="仿宋_GB2312" w:cs="仿宋_GB2312"/>
          <w:sz w:val="32"/>
          <w:szCs w:val="32"/>
          <w:lang w:eastAsia="zh-CN"/>
        </w:rPr>
        <w:t>共</w:t>
      </w:r>
      <w:r>
        <w:rPr>
          <w:rFonts w:hint="eastAsia" w:ascii="仿宋_GB2312" w:hAnsi="仿宋_GB2312" w:eastAsia="仿宋_GB2312" w:cs="仿宋_GB2312"/>
          <w:sz w:val="32"/>
          <w:szCs w:val="32"/>
          <w:lang w:val="en-US" w:eastAsia="zh-CN"/>
        </w:rPr>
        <w:t>5个项目</w:t>
      </w:r>
      <w:r>
        <w:rPr>
          <w:rFonts w:hint="eastAsia" w:ascii="仿宋_GB2312" w:hAnsi="仿宋_GB2312" w:eastAsia="仿宋_GB2312" w:cs="仿宋_GB2312"/>
          <w:sz w:val="32"/>
          <w:szCs w:val="32"/>
        </w:rPr>
        <w:t>自评综述：根据年初设定的绩效目标，</w:t>
      </w:r>
      <w:r>
        <w:rPr>
          <w:rFonts w:hint="eastAsia" w:ascii="仿宋_GB2312" w:hAnsi="仿宋_GB2312" w:eastAsia="仿宋_GB2312" w:cs="仿宋_GB2312"/>
          <w:sz w:val="32"/>
          <w:szCs w:val="32"/>
          <w:lang w:val="en-US" w:eastAsia="zh-CN"/>
        </w:rPr>
        <w:t>2020年水库移民后期扶持</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87</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469.28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1188.5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253.26%</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完成直补资金受益移民</w:t>
      </w:r>
      <w:r>
        <w:rPr>
          <w:rFonts w:hint="eastAsia" w:ascii="仿宋_GB2312" w:hAnsi="仿宋_GB2312" w:eastAsia="仿宋_GB2312" w:cs="仿宋_GB2312"/>
          <w:sz w:val="32"/>
          <w:szCs w:val="32"/>
          <w:lang w:val="en-US" w:eastAsia="zh-CN"/>
        </w:rPr>
        <w:t>6361人</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lang w:val="en-US" w:eastAsia="zh-CN"/>
        </w:rPr>
        <w:t>是生产开发及配套设施项目1个，</w:t>
      </w:r>
      <w:r>
        <w:rPr>
          <w:rFonts w:hint="eastAsia" w:ascii="仿宋_GB2312" w:hAnsi="仿宋_GB2312" w:eastAsia="仿宋_GB2312" w:cs="仿宋_GB2312"/>
          <w:sz w:val="32"/>
          <w:szCs w:val="32"/>
          <w:lang w:eastAsia="zh-CN"/>
        </w:rPr>
        <w:t>所有项目均已完成并竣工验收。</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（2）2020年中央水利发展资金（山洪灾害防治）项目自评综述：</w:t>
      </w:r>
      <w:r>
        <w:rPr>
          <w:rFonts w:hint="eastAsia" w:ascii="仿宋_GB2312" w:hAnsi="仿宋_GB2312" w:eastAsia="仿宋_GB2312" w:cs="仿宋_GB2312"/>
          <w:sz w:val="32"/>
          <w:szCs w:val="32"/>
        </w:rPr>
        <w:t>根据年初设定的绩效目标，</w:t>
      </w:r>
      <w:r>
        <w:rPr>
          <w:rFonts w:hint="eastAsia" w:ascii="仿宋_GB2312" w:hAnsi="仿宋_GB2312" w:eastAsia="仿宋_GB2312" w:cs="仿宋_GB2312"/>
          <w:sz w:val="32"/>
          <w:szCs w:val="32"/>
          <w:lang w:val="en-US" w:eastAsia="zh-CN"/>
        </w:rPr>
        <w:t>2020年中央水利发展资金（山洪灾害防治）项目</w:t>
      </w:r>
      <w:r>
        <w:rPr>
          <w:rFonts w:hint="eastAsia" w:ascii="仿宋_GB2312" w:hAnsi="仿宋_GB2312" w:eastAsia="仿宋_GB2312" w:cs="仿宋_GB2312"/>
          <w:sz w:val="32"/>
          <w:szCs w:val="32"/>
        </w:rPr>
        <w:t>绩效自评得分为</w:t>
      </w: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万元。项目绩效目标完成情况：一是</w:t>
      </w:r>
      <w:r>
        <w:rPr>
          <w:rFonts w:hint="eastAsia" w:ascii="仿宋_GB2312" w:hAnsi="仿宋_GB2312" w:eastAsia="仿宋_GB2312" w:cs="仿宋_GB2312"/>
          <w:sz w:val="32"/>
          <w:szCs w:val="32"/>
          <w:lang w:eastAsia="zh-CN"/>
        </w:rPr>
        <w:t>编制区级预案修订</w:t>
      </w:r>
      <w:r>
        <w:rPr>
          <w:rFonts w:hint="eastAsia" w:ascii="仿宋_GB2312" w:hAnsi="仿宋_GB2312" w:eastAsia="仿宋_GB2312" w:cs="仿宋_GB2312"/>
          <w:sz w:val="32"/>
          <w:szCs w:val="32"/>
          <w:lang w:val="en-US" w:eastAsia="zh-CN"/>
        </w:rPr>
        <w:t>1个，乡级预案修订7个，</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组织山洪灾害防御知识培训及防汛演练各一次；三是制作安装宣传栏</w:t>
      </w:r>
      <w:r>
        <w:rPr>
          <w:rFonts w:hint="eastAsia" w:ascii="仿宋_GB2312" w:hAnsi="仿宋_GB2312" w:eastAsia="仿宋_GB2312" w:cs="仿宋_GB2312"/>
          <w:sz w:val="32"/>
          <w:szCs w:val="32"/>
          <w:lang w:val="en-US" w:eastAsia="zh-CN"/>
        </w:rPr>
        <w:t>71个，明白卡500张，宣传册100个，所有项目均已完成并验收通过。</w:t>
      </w:r>
    </w:p>
    <w:p>
      <w:pPr>
        <w:adjustRightInd w:val="0"/>
        <w:snapToGrid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2020年中央水利发展资金（地下水超采）项目自评综述：根据年初设定的绩效目标，2020年中央水利发展资金（地下水超采）项目绩效自评得分为96分。全年预算数为84万元，执行数为53万元。项目绩效目标完成情况：一是加大了自备井的关停数量减少了地下水开采量；二是实现了水资源管理的数字化，提高了管理效率。发现的主要问题及原因：一是上传数据有小量出入；二是自备井关停标识不完整，有丢失现象。下一步改进措施：一是加大自备井关停的巡查力度；二是加强水表的运行维护，确保数据的准确性。</w:t>
      </w:r>
    </w:p>
    <w:p>
      <w:pPr>
        <w:adjustRightInd w:val="0"/>
        <w:snapToGrid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2020年中央水利发展资金（小型水库工程设施维修养护）项目自评综述：根据年初设定的绩效目标，2020年中央水利发展资金（小型水库工程设施维修养护）项目绩效自评得分为91分。全年预算数为7万元，执行数为7万元。项目绩效目标完成情况：2020年马连川水库维修养护项目的实施，不但使水利工程外观整洁美观。在汛期或雨雪等恶劣天气条件下，平整的路面及有序的管理也能够保证防汛抢险物资及抢险队伍运输车辆快速通行，为抗洪抢险赢得时间，保障人民群众生命财产安全。通过对库区设施及建筑的日常维养，保证水利工程的正常运行，确保工程效益。</w:t>
      </w:r>
    </w:p>
    <w:p>
      <w:pPr>
        <w:adjustRightInd w:val="0"/>
        <w:snapToGrid w:val="0"/>
        <w:spacing w:line="60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财政评价项目绩效评价结果</w:t>
      </w:r>
    </w:p>
    <w:p>
      <w:pPr>
        <w:adjustRightInd w:val="0"/>
        <w:snapToGrid w:val="0"/>
        <w:spacing w:line="600" w:lineRule="exact"/>
        <w:ind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36.85</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0.03</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0.08</w:t>
      </w:r>
      <w:r>
        <w:rPr>
          <w:rFonts w:hint="eastAsia" w:ascii="仿宋_GB2312" w:hAnsi="仿宋_GB2312" w:eastAsia="仿宋_GB2312" w:cs="仿宋_GB2312"/>
          <w:sz w:val="32"/>
          <w:szCs w:val="32"/>
        </w:rPr>
        <w:t>%。主要原因是</w:t>
      </w:r>
      <w:r>
        <w:rPr>
          <w:rFonts w:hint="eastAsia" w:ascii="仿宋_GB2312" w:hAnsi="Times New Roman" w:eastAsia="仿宋_GB2312" w:cs="Wingdings"/>
          <w:sz w:val="32"/>
          <w:szCs w:val="32"/>
          <w:lang w:eastAsia="zh-CN"/>
        </w:rPr>
        <w:t>厉行节约，减少开支。</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rPr>
        <w:t>八、政府采购情况</w:t>
      </w:r>
    </w:p>
    <w:p>
      <w:pPr>
        <w:snapToGrid w:val="0"/>
        <w:spacing w:line="600" w:lineRule="exact"/>
        <w:ind w:firstLine="640" w:firstLineChars="200"/>
        <w:jc w:val="left"/>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 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辆，</w:t>
      </w:r>
      <w:r>
        <w:rPr>
          <w:rFonts w:hint="eastAsia" w:ascii="仿宋_GB2312" w:hAnsi="仿宋_GB2312" w:eastAsia="仿宋_GB2312" w:cs="仿宋_GB2312"/>
          <w:sz w:val="32"/>
          <w:szCs w:val="32"/>
          <w:lang w:eastAsia="zh-CN"/>
        </w:rPr>
        <w:t>与上年持平</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w:t>
      </w:r>
      <w:r>
        <w:rPr>
          <w:rFonts w:hint="eastAsia" w:ascii="仿宋_GB2312" w:hAnsi="仿宋_GB2312" w:eastAsia="仿宋_GB2312" w:cs="仿宋_GB2312"/>
          <w:sz w:val="32"/>
          <w:szCs w:val="32"/>
          <w:lang w:eastAsia="zh-CN"/>
        </w:rPr>
        <w:t>与上年持平</w:t>
      </w:r>
      <w:r>
        <w:rPr>
          <w:rFonts w:hint="eastAsia" w:ascii="仿宋_GB2312" w:hAnsi="仿宋_GB2312" w:eastAsia="仿宋_GB2312" w:cs="仿宋_GB2312"/>
          <w:sz w:val="32"/>
          <w:szCs w:val="32"/>
        </w:rPr>
        <w:t>，单位价值100万元以上专用设备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w:t>
      </w:r>
      <w:r>
        <w:rPr>
          <w:rFonts w:hint="eastAsia" w:ascii="仿宋_GB2312" w:hAnsi="仿宋_GB2312" w:eastAsia="仿宋_GB2312" w:cs="仿宋_GB2312"/>
          <w:sz w:val="32"/>
          <w:szCs w:val="32"/>
          <w:lang w:eastAsia="zh-CN"/>
        </w:rPr>
        <w:t>，与上年持平</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仿宋_GB2312" w:eastAsia="仿宋_GB2312" w:cs="仿宋_GB2312"/>
          <w:sz w:val="32"/>
          <w:szCs w:val="32"/>
        </w:rPr>
        <w:t xml:space="preserve">1. </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w:t>
      </w:r>
      <w:r>
        <w:rPr>
          <w:rFonts w:hint="eastAsia" w:ascii="仿宋_GB2312" w:eastAsia="仿宋_GB2312" w:cs="DengXian-Regular"/>
          <w:sz w:val="32"/>
          <w:szCs w:val="32"/>
          <w:lang w:eastAsia="zh-CN"/>
        </w:rPr>
        <w:t>国有资本经营</w:t>
      </w:r>
      <w:r>
        <w:rPr>
          <w:rFonts w:hint="eastAsia" w:ascii="仿宋_GB2312" w:hAnsi="Times New Roman" w:eastAsia="仿宋_GB2312" w:cs="DengXian-Regular"/>
          <w:sz w:val="32"/>
          <w:szCs w:val="32"/>
        </w:rPr>
        <w:t>无收支及结转结余情况，故</w:t>
      </w:r>
      <w:r>
        <w:rPr>
          <w:rFonts w:hint="eastAsia" w:ascii="仿宋_GB2312" w:eastAsia="仿宋_GB2312" w:cs="DengXian-Regular"/>
          <w:sz w:val="32"/>
          <w:szCs w:val="32"/>
        </w:rPr>
        <w:t>国有资本经营预算财政拨款支出决算</w:t>
      </w:r>
      <w:r>
        <w:rPr>
          <w:rFonts w:hint="eastAsia" w:ascii="仿宋_GB2312" w:hAnsi="Times New Roman" w:eastAsia="仿宋_GB2312" w:cs="DengXian-Regular"/>
          <w:sz w:val="32"/>
          <w:szCs w:val="32"/>
        </w:rPr>
        <w:t>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4"/>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p>
      <w:pPr>
        <w:rPr>
          <w:rFonts w:hint="eastAsia" w:eastAsiaTheme="minorEastAsia"/>
          <w:lang w:eastAsia="zh-CN"/>
        </w:rPr>
      </w:pPr>
      <w:r>
        <w:rPr>
          <w:rFonts w:hint="eastAsia" w:eastAsiaTheme="minorEastAsia"/>
          <w:lang w:eastAsia="zh-CN"/>
        </w:rPr>
        <w:object>
          <v:shape id="_x0000_i1025" o:spt="75" type="#_x0000_t75" style="height:472.6pt;width:461.2pt;" o:ole="t" filled="f" o:preferrelative="t" stroked="f" coordsize="21600,21600">
            <v:path/>
            <v:fill on="f" focussize="0,0"/>
            <v:stroke on="f"/>
            <v:imagedata r:id="rId16" o:title=""/>
            <o:lock v:ext="edit" aspectratio="t"/>
            <w10:wrap type="none"/>
            <w10:anchorlock/>
          </v:shape>
          <o:OLEObject Type="Embed" ProgID="Excel.Sheet.12" ShapeID="_x0000_i1025" DrawAspect="Content" ObjectID="_1468075725" r:id="rId15">
            <o:LockedField>false</o:LockedField>
          </o:OLEObject>
        </w:object>
      </w:r>
      <w:r>
        <w:rPr>
          <w:rFonts w:hint="eastAsia" w:eastAsiaTheme="minorEastAsia"/>
          <w:lang w:eastAsia="zh-CN"/>
        </w:rPr>
        <w:object>
          <v:shape id="_x0000_i1026" o:spt="75" type="#_x0000_t75" style="height:575.25pt;width:477.55pt;" o:ole="t" filled="f" o:preferrelative="t" stroked="f" coordsize="21600,21600">
            <v:path/>
            <v:fill on="f" focussize="0,0"/>
            <v:stroke on="f"/>
            <v:imagedata r:id="rId18" o:title=""/>
            <o:lock v:ext="edit" aspectratio="t"/>
            <w10:wrap type="none"/>
            <w10:anchorlock/>
          </v:shape>
          <o:OLEObject Type="Embed" ProgID="Excel.Sheet.12" ShapeID="_x0000_i1026" DrawAspect="Content" ObjectID="_1468075726" r:id="rId17">
            <o:LockedField>false</o:LockedField>
          </o:OLEObject>
        </w:object>
      </w:r>
      <w:r>
        <w:rPr>
          <w:rFonts w:hint="eastAsia" w:eastAsiaTheme="minorEastAsia"/>
          <w:lang w:eastAsia="zh-CN"/>
        </w:rPr>
        <w:object>
          <v:shape id="_x0000_i1027" o:spt="75" type="#_x0000_t75" style="height:627pt;width:439.5pt;" o:ole="t" filled="f" o:preferrelative="t" stroked="f" coordsize="21600,21600">
            <v:path/>
            <v:fill on="f" focussize="0,0"/>
            <v:stroke on="f"/>
            <v:imagedata r:id="rId20" o:title=""/>
            <o:lock v:ext="edit" aspectratio="t"/>
            <w10:wrap type="none"/>
            <w10:anchorlock/>
          </v:shape>
          <o:OLEObject Type="Embed" ProgID="Excel.Sheet.12" ShapeID="_x0000_i1027" DrawAspect="Content" ObjectID="_1468075727" r:id="rId19">
            <o:LockedField>false</o:LockedField>
          </o:OLEObject>
        </w:object>
      </w:r>
    </w:p>
    <w:p>
      <w:pPr>
        <w:rPr>
          <w:rFonts w:hint="eastAsia" w:eastAsiaTheme="minorEastAsia"/>
          <w:lang w:eastAsia="zh-CN"/>
        </w:rPr>
      </w:pPr>
      <w:r>
        <w:rPr>
          <w:rFonts w:hint="eastAsia" w:eastAsiaTheme="minorEastAsia"/>
          <w:lang w:eastAsia="zh-CN"/>
        </w:rPr>
        <w:object>
          <v:shape id="_x0000_i1028" o:spt="75" type="#_x0000_t75" style="height:488.9pt;width:433.65pt;" o:ole="t" filled="f" o:preferrelative="t" stroked="f" coordsize="21600,21600">
            <v:path/>
            <v:fill on="f" focussize="0,0"/>
            <v:stroke on="f"/>
            <v:imagedata r:id="rId22" o:title=""/>
            <o:lock v:ext="edit" aspectratio="t"/>
            <w10:wrap type="none"/>
            <w10:anchorlock/>
          </v:shape>
          <o:OLEObject Type="Embed" ProgID="Excel.Sheet.12" ShapeID="_x0000_i1028" DrawAspect="Content" ObjectID="_1468075728" r:id="rId21">
            <o:LockedField>false</o:LockedField>
          </o:OLEObject>
        </w:object>
      </w:r>
    </w:p>
    <w:p>
      <w:pPr>
        <w:pStyle w:val="2"/>
        <w:rPr>
          <w:rFonts w:hint="eastAsia" w:eastAsiaTheme="minorEastAsia"/>
          <w:lang w:eastAsia="zh-CN"/>
        </w:rPr>
      </w:pPr>
    </w:p>
    <w:p>
      <w:pPr>
        <w:pStyle w:val="2"/>
        <w:rPr>
          <w:rFonts w:hint="eastAsia" w:eastAsiaTheme="minorEastAsia"/>
          <w:lang w:eastAsia="zh-CN"/>
        </w:rPr>
        <w:sectPr>
          <w:pgSz w:w="11906" w:h="16838"/>
          <w:pgMar w:top="2098" w:right="1531" w:bottom="1984" w:left="1531" w:header="851" w:footer="992" w:gutter="0"/>
          <w:cols w:space="425" w:num="1"/>
          <w:docGrid w:type="lines" w:linePitch="312" w:charSpace="0"/>
        </w:sectPr>
      </w:pPr>
      <w:r>
        <w:rPr>
          <w:rFonts w:hint="eastAsia" w:eastAsiaTheme="minorEastAsia"/>
          <w:lang w:eastAsia="zh-CN"/>
        </w:rPr>
        <w:object>
          <v:shape id="_x0000_i1029" o:spt="75" type="#_x0000_t75" style="height:519pt;width:446.25pt;" o:ole="t" filled="f" o:preferrelative="t" stroked="f" coordsize="21600,21600">
            <v:path/>
            <v:fill on="f" focussize="0,0"/>
            <v:stroke on="f"/>
            <v:imagedata r:id="rId24" o:title=""/>
            <o:lock v:ext="edit" aspectratio="t"/>
            <w10:wrap type="none"/>
            <w10:anchorlock/>
          </v:shape>
          <o:OLEObject Type="Embed" ProgID="Excel.Sheet.12" ShapeID="_x0000_i1029" DrawAspect="Content" ObjectID="_1468075729" r:id="rId23">
            <o:LockedField>false</o:LockedField>
          </o:OLEObject>
        </w:object>
      </w:r>
    </w:p>
    <w:p>
      <w:pPr>
        <w:widowControl/>
        <w:jc w:val="center"/>
        <w:textAlignment w:val="center"/>
        <w:rPr>
          <w:rFonts w:hint="eastAsia" w:eastAsiaTheme="minorEastAsia"/>
          <w:lang w:eastAsia="zh-CN"/>
        </w:rPr>
        <w:sectPr>
          <w:pgSz w:w="16838" w:h="11906" w:orient="landscape"/>
          <w:pgMar w:top="1531" w:right="2098" w:bottom="1531" w:left="1984" w:header="851" w:footer="992" w:gutter="0"/>
          <w:cols w:space="425" w:num="1"/>
          <w:docGrid w:type="lines" w:linePitch="312" w:charSpace="0"/>
        </w:sectPr>
      </w:pPr>
      <w:r>
        <w:rPr>
          <w:rFonts w:hint="eastAsia" w:eastAsiaTheme="minorEastAsia"/>
          <w:lang w:eastAsia="zh-CN"/>
        </w:rPr>
        <w:object>
          <v:shape id="_x0000_i1030" o:spt="75" type="#_x0000_t75" style="height:492.75pt;width:606.75pt;" o:ole="t" filled="f" o:preferrelative="t" stroked="f" coordsize="21600,21600">
            <v:path/>
            <v:fill on="f" focussize="0,0"/>
            <v:stroke on="f"/>
            <v:imagedata r:id="rId26" o:title=""/>
            <o:lock v:ext="edit" aspectratio="t"/>
            <w10:wrap type="none"/>
            <w10:anchorlock/>
          </v:shape>
          <o:OLEObject Type="Embed" ProgID="Excel.Sheet.12" ShapeID="_x0000_i1030" DrawAspect="Content" ObjectID="_1468075730" r:id="rId25">
            <o:LockedField>false</o:LockedField>
          </o:OLEObject>
        </w:object>
      </w: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12.96</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12.50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12.50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tabs>
                <w:tab w:val="left" w:pos="398"/>
              </w:tabs>
              <w:jc w:val="left"/>
              <w:rPr>
                <w:rFonts w:hint="default" w:ascii="宋体" w:hAnsi="宋体" w:eastAsia="宋体" w:cs="宋体"/>
                <w:color w:val="000000"/>
                <w:szCs w:val="22"/>
                <w:lang w:val="en-US" w:eastAsia="zh-CN"/>
              </w:rPr>
            </w:pPr>
            <w:r>
              <w:rPr>
                <w:rFonts w:hint="eastAsia" w:ascii="宋体" w:hAnsi="宋体" w:eastAsia="宋体" w:cs="宋体"/>
                <w:color w:val="000000"/>
                <w:szCs w:val="22"/>
                <w:lang w:eastAsia="zh-CN"/>
              </w:rPr>
              <w:tab/>
            </w:r>
            <w:r>
              <w:rPr>
                <w:rFonts w:hint="eastAsia" w:ascii="宋体" w:hAnsi="宋体" w:eastAsia="宋体" w:cs="宋体"/>
                <w:color w:val="000000"/>
                <w:szCs w:val="22"/>
                <w:lang w:val="en-US" w:eastAsia="zh-CN"/>
              </w:rPr>
              <w:t>0.46</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12.45</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12.45</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12.45</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p>
        </w:tc>
      </w:tr>
    </w:tbl>
    <w:p>
      <w:pPr>
        <w:sectPr>
          <w:pgSz w:w="11906" w:h="16838"/>
          <w:pgMar w:top="1984" w:right="1531" w:bottom="2098" w:left="1531" w:header="851" w:footer="992" w:gutter="0"/>
          <w:cols w:space="425" w:num="1"/>
          <w:docGrid w:type="lines" w:linePitch="312" w:charSpace="0"/>
        </w:sectPr>
      </w:pPr>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p>
      <w:pPr>
        <w:rPr>
          <w:rFonts w:hint="eastAsia" w:eastAsiaTheme="minorEastAsia"/>
          <w:lang w:eastAsia="zh-CN"/>
        </w:rPr>
        <w:sectPr>
          <w:pgSz w:w="16838" w:h="11906" w:orient="landscape"/>
          <w:pgMar w:top="1531" w:right="1984" w:bottom="1531" w:left="2098" w:header="851" w:footer="992" w:gutter="0"/>
          <w:cols w:space="0" w:num="1"/>
          <w:rtlGutter w:val="0"/>
          <w:docGrid w:type="lines" w:linePitch="315" w:charSpace="0"/>
        </w:sectPr>
      </w:pPr>
      <w:r>
        <w:rPr>
          <w:rFonts w:hint="eastAsia" w:eastAsiaTheme="minorEastAsia"/>
          <w:lang w:eastAsia="zh-CN"/>
        </w:rPr>
        <w:object>
          <v:shape id="_x0000_i1031" o:spt="75" type="#_x0000_t75" style="height:314pt;width:631.25pt;" o:ole="t" filled="f" o:preferrelative="t" stroked="f" coordsize="21600,21600">
            <v:path/>
            <v:fill on="f" focussize="0,0"/>
            <v:stroke on="f"/>
            <v:imagedata r:id="rId28" o:title=""/>
            <o:lock v:ext="edit" aspectratio="t"/>
            <w10:wrap type="none"/>
            <w10:anchorlock/>
          </v:shape>
          <o:OLEObject Type="Embed" ProgID="Excel.Sheet.12" ShapeID="_x0000_i1031" DrawAspect="Content" ObjectID="_1468075731" r:id="rId27">
            <o:LockedField>false</o:LockedField>
          </o:OLEObject>
        </w:object>
      </w:r>
    </w:p>
    <w:p>
      <w:pPr>
        <w:rPr>
          <w:rFonts w:hint="eastAsia" w:eastAsiaTheme="minorEastAsia"/>
          <w:color w:val="auto"/>
          <w:sz w:val="21"/>
          <w:szCs w:val="21"/>
          <w:shd w:val="clear" w:color="FFFFFF" w:fill="D9D9D9"/>
          <w:lang w:eastAsia="zh-CN"/>
        </w:rPr>
      </w:pPr>
      <w:r>
        <w:rPr>
          <w:rFonts w:hint="eastAsia" w:ascii="楷体" w:hAnsi="楷体" w:eastAsia="楷体" w:cs="楷体"/>
          <w:b w:val="0"/>
          <w:bCs w:val="0"/>
          <w:color w:val="auto"/>
          <w:sz w:val="21"/>
          <w:szCs w:val="21"/>
          <w:highlight w:val="none"/>
          <w:shd w:val="clear" w:color="auto" w:fill="auto"/>
        </w:rPr>
        <w:object>
          <v:shape id="_x0000_i1032" o:spt="75" type="#_x0000_t75" style="height:223.5pt;width:482.25pt;" o:ole="t" filled="f" o:preferrelative="t" stroked="f" coordsize="21600,21600">
            <v:path/>
            <v:fill on="f" focussize="0,0"/>
            <v:stroke on="f"/>
            <v:imagedata r:id="rId30" o:title=""/>
            <o:lock v:ext="edit" aspectratio="t"/>
            <w10:wrap type="none"/>
            <w10:anchorlock/>
          </v:shape>
          <o:OLEObject Type="Embed" ProgID="Excel.Sheet.12" ShapeID="_x0000_i1032" DrawAspect="Content" ObjectID="_1468075732" r:id="rId29">
            <o:LockedField>false</o:LockedField>
          </o:OLEObject>
        </w:object>
      </w:r>
    </w:p>
    <w:p>
      <w:pPr>
        <w:rPr>
          <w:sz w:val="21"/>
          <w:szCs w:val="21"/>
        </w:rPr>
      </w:pPr>
    </w:p>
    <w:p/>
    <w:p/>
    <w:p/>
    <w:p/>
    <w:p/>
    <w:p/>
    <w:p/>
    <w:p/>
    <w:p/>
    <w:p>
      <w:pPr>
        <w:rPr>
          <w:rFonts w:hint="eastAsia"/>
          <w:lang w:eastAsia="zh-CN"/>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950409"/>
    <w:multiLevelType w:val="singleLevel"/>
    <w:tmpl w:val="59950409"/>
    <w:lvl w:ilvl="0" w:tentative="0">
      <w:start w:val="1"/>
      <w:numFmt w:val="decimal"/>
      <w:suff w:val="space"/>
      <w:lvlText w:val="%1."/>
      <w:lvlJc w:val="left"/>
    </w:lvl>
  </w:abstractNum>
  <w:abstractNum w:abstractNumId="2">
    <w:nsid w:val="78C1413D"/>
    <w:multiLevelType w:val="singleLevel"/>
    <w:tmpl w:val="78C1413D"/>
    <w:lvl w:ilvl="0" w:tentative="0">
      <w:start w:val="1"/>
      <w:numFmt w:val="decimal"/>
      <w:suff w:val="space"/>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93E7B"/>
    <w:rsid w:val="002D1F4F"/>
    <w:rsid w:val="00366D90"/>
    <w:rsid w:val="003D678E"/>
    <w:rsid w:val="00801F66"/>
    <w:rsid w:val="009334BF"/>
    <w:rsid w:val="03BF0BDE"/>
    <w:rsid w:val="058B71E0"/>
    <w:rsid w:val="073F11D0"/>
    <w:rsid w:val="08BA7254"/>
    <w:rsid w:val="0B9A5BA2"/>
    <w:rsid w:val="0C130A0F"/>
    <w:rsid w:val="0EA325C9"/>
    <w:rsid w:val="17C56BA9"/>
    <w:rsid w:val="1ADB60B0"/>
    <w:rsid w:val="1F483286"/>
    <w:rsid w:val="207B7BFB"/>
    <w:rsid w:val="2EF56FBD"/>
    <w:rsid w:val="2FB96948"/>
    <w:rsid w:val="32464FE4"/>
    <w:rsid w:val="3327616A"/>
    <w:rsid w:val="34C45458"/>
    <w:rsid w:val="35C83C42"/>
    <w:rsid w:val="3A860991"/>
    <w:rsid w:val="3D521833"/>
    <w:rsid w:val="439A2B10"/>
    <w:rsid w:val="43CF1B0E"/>
    <w:rsid w:val="4EEA0A6D"/>
    <w:rsid w:val="4F1F0DBC"/>
    <w:rsid w:val="59992D5A"/>
    <w:rsid w:val="5CA73BD4"/>
    <w:rsid w:val="5D0C63C4"/>
    <w:rsid w:val="5D45165A"/>
    <w:rsid w:val="657A1D24"/>
    <w:rsid w:val="73D824BD"/>
    <w:rsid w:val="78671726"/>
    <w:rsid w:val="7F6F6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0.e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9.emf"/><Relationship Id="rId27" Type="http://schemas.openxmlformats.org/officeDocument/2006/relationships/oleObject" Target="embeddings/oleObject7.bin"/><Relationship Id="rId26" Type="http://schemas.openxmlformats.org/officeDocument/2006/relationships/image" Target="media/image8.emf"/><Relationship Id="rId25" Type="http://schemas.openxmlformats.org/officeDocument/2006/relationships/oleObject" Target="embeddings/oleObject6.bin"/><Relationship Id="rId24" Type="http://schemas.openxmlformats.org/officeDocument/2006/relationships/image" Target="media/image7.emf"/><Relationship Id="rId23" Type="http://schemas.openxmlformats.org/officeDocument/2006/relationships/oleObject" Target="embeddings/oleObject5.bin"/><Relationship Id="rId22" Type="http://schemas.openxmlformats.org/officeDocument/2006/relationships/image" Target="media/image6.emf"/><Relationship Id="rId21" Type="http://schemas.openxmlformats.org/officeDocument/2006/relationships/oleObject" Target="embeddings/oleObject4.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emf"/><Relationship Id="rId17" Type="http://schemas.openxmlformats.org/officeDocument/2006/relationships/oleObject" Target="embeddings/oleObject2.bin"/><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8</TotalTime>
  <ScaleCrop>false</ScaleCrop>
  <LinksUpToDate>false</LinksUpToDate>
  <CharactersWithSpaces>11585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晁宇</cp:lastModifiedBy>
  <dcterms:modified xsi:type="dcterms:W3CDTF">2021-10-13T08:39:13Z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51F14812673D458783ADD388F5B2E0A7</vt:lpwstr>
  </property>
</Properties>
</file>