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0"/>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highlight w:val="yellow"/>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保定市满城区刘家台乡人民政府</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hint="default" w:ascii="黑体" w:hAnsi="黑体" w:eastAsia="黑体" w:cs="黑体"/>
          <w:sz w:val="72"/>
          <w:szCs w:val="96"/>
          <w:highlight w:val="yellow"/>
          <w:lang w:val="en-US" w:eastAsia="zh-CN"/>
        </w:rPr>
      </w:pPr>
      <w:r>
        <w:rPr>
          <w:rFonts w:hint="eastAsia" w:ascii="黑体" w:hAnsi="黑体" w:eastAsia="黑体" w:cs="黑体"/>
          <w:spacing w:val="-20"/>
          <w:sz w:val="72"/>
          <w:szCs w:val="96"/>
          <w:lang w:val="en-US" w:eastAsia="zh-CN"/>
        </w:rPr>
        <w:t>保定市满城区刘家台乡人民政府</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rPr>
          <w:rFonts w:ascii="黑体" w:hAnsi="Times New Roman" w:eastAsia="黑体" w:cs="Times New Roman"/>
          <w:sz w:val="48"/>
          <w:szCs w:val="48"/>
        </w:r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1"/>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adjustRightInd w:val="0"/>
        <w:snapToGrid w:val="0"/>
        <w:spacing w:line="600" w:lineRule="exact"/>
        <w:ind w:firstLine="640" w:firstLineChars="200"/>
        <w:rPr>
          <w:rFonts w:hint="eastAsia" w:ascii="黑体" w:hAnsi="Calibri" w:eastAsia="黑体" w:cs="Times New Roman"/>
          <w:sz w:val="32"/>
          <w:szCs w:val="32"/>
          <w:lang w:val="en-US" w:eastAsia="zh-CN"/>
        </w:rPr>
      </w:pPr>
      <w:r>
        <w:rPr>
          <w:rFonts w:hint="eastAsia" w:ascii="黑体" w:hAnsi="Calibri" w:eastAsia="黑体" w:cs="Times New Roman"/>
          <w:sz w:val="32"/>
          <w:szCs w:val="32"/>
          <w:lang w:val="en-US" w:eastAsia="zh-CN"/>
        </w:rPr>
        <w:t>一、部门职责</w:t>
      </w:r>
    </w:p>
    <w:p>
      <w:pPr>
        <w:tabs>
          <w:tab w:val="left" w:pos="1440"/>
        </w:tabs>
        <w:spacing w:line="220" w:lineRule="atLeast"/>
        <w:ind w:firstLine="640" w:firstLineChars="200"/>
        <w:rPr>
          <w:rFonts w:hint="eastAsia" w:ascii="仿宋_GB2312" w:hAnsi="Calibri" w:eastAsia="仿宋_GB2312" w:cs="Arial Black"/>
          <w:b w:val="0"/>
          <w:bCs w:val="0"/>
          <w:kern w:val="0"/>
          <w:sz w:val="32"/>
          <w:szCs w:val="32"/>
          <w:lang w:val="en-US" w:eastAsia="zh-CN" w:bidi="ar-SA"/>
        </w:rPr>
      </w:pPr>
      <w:r>
        <w:rPr>
          <w:rFonts w:hint="eastAsia" w:ascii="仿宋_GB2312" w:hAnsi="Calibri" w:eastAsia="仿宋_GB2312" w:cs="Arial Black"/>
          <w:b w:val="0"/>
          <w:bCs w:val="0"/>
          <w:kern w:val="0"/>
          <w:sz w:val="32"/>
          <w:szCs w:val="32"/>
          <w:lang w:val="en-US" w:eastAsia="zh-CN" w:bidi="ar-SA"/>
        </w:rPr>
        <w:t>(一)宣传贯彻执行党的路线方针政策和党中央、上级党组织及本乡党员代表大会(党员大会)的决议。贯彻执行法律、法规、规章和上级人民代表大会及其常务委员会决议及上级政府的决定、命令，执行本级人民代表大会的决议。</w:t>
      </w:r>
    </w:p>
    <w:p>
      <w:pPr>
        <w:tabs>
          <w:tab w:val="left" w:pos="1440"/>
        </w:tabs>
        <w:spacing w:line="220" w:lineRule="atLeast"/>
        <w:ind w:firstLine="640" w:firstLineChars="200"/>
        <w:rPr>
          <w:rFonts w:hint="eastAsia" w:ascii="仿宋_GB2312" w:hAnsi="Calibri" w:eastAsia="仿宋_GB2312" w:cs="Arial Black"/>
          <w:b w:val="0"/>
          <w:bCs w:val="0"/>
          <w:kern w:val="0"/>
          <w:sz w:val="32"/>
          <w:szCs w:val="32"/>
          <w:lang w:val="en-US" w:eastAsia="zh-CN" w:bidi="ar-SA"/>
        </w:rPr>
      </w:pPr>
      <w:r>
        <w:rPr>
          <w:rFonts w:hint="eastAsia" w:ascii="仿宋_GB2312" w:hAnsi="Calibri" w:eastAsia="仿宋_GB2312" w:cs="Arial Black"/>
          <w:b w:val="0"/>
          <w:bCs w:val="0"/>
          <w:kern w:val="0"/>
          <w:sz w:val="32"/>
          <w:szCs w:val="32"/>
          <w:lang w:val="en-US" w:eastAsia="zh-CN" w:bidi="ar-SA"/>
        </w:rPr>
        <w:t>(二)加强党对基层治理的全面领导，统筹抓好基层党建工作和基层党组织建设各项制度。推进全面从严治党，强化“两个责任”，确保党的路线方针政策在基层得到全面贯彻落实。</w:t>
      </w:r>
    </w:p>
    <w:p>
      <w:pPr>
        <w:tabs>
          <w:tab w:val="left" w:pos="1440"/>
        </w:tabs>
        <w:spacing w:line="220" w:lineRule="atLeast"/>
        <w:ind w:firstLine="640" w:firstLineChars="200"/>
        <w:rPr>
          <w:rFonts w:hint="eastAsia" w:ascii="仿宋_GB2312" w:hAnsi="Calibri" w:eastAsia="仿宋_GB2312" w:cs="Arial Black"/>
          <w:b w:val="0"/>
          <w:bCs w:val="0"/>
          <w:kern w:val="0"/>
          <w:sz w:val="32"/>
          <w:szCs w:val="32"/>
          <w:lang w:val="en-US" w:eastAsia="zh-CN" w:bidi="ar-SA"/>
        </w:rPr>
      </w:pPr>
      <w:r>
        <w:rPr>
          <w:rFonts w:hint="eastAsia" w:ascii="仿宋_GB2312" w:hAnsi="Calibri" w:eastAsia="仿宋_GB2312" w:cs="Arial Black"/>
          <w:b w:val="0"/>
          <w:bCs w:val="0"/>
          <w:kern w:val="0"/>
          <w:sz w:val="32"/>
          <w:szCs w:val="32"/>
          <w:lang w:val="en-US" w:eastAsia="zh-CN" w:bidi="ar-SA"/>
        </w:rPr>
        <w:t>(三)讨论和决定本乡经济建设、政治建设、文化建设、社会建设、生态文明建设和党的建设以及乡村振兴中的重大问题。</w:t>
      </w:r>
    </w:p>
    <w:p>
      <w:pPr>
        <w:tabs>
          <w:tab w:val="left" w:pos="1440"/>
        </w:tabs>
        <w:spacing w:line="220" w:lineRule="atLeast"/>
        <w:ind w:firstLine="640" w:firstLineChars="200"/>
        <w:rPr>
          <w:rFonts w:hint="eastAsia" w:ascii="仿宋_GB2312" w:hAnsi="Calibri" w:eastAsia="仿宋_GB2312" w:cs="Arial Black"/>
          <w:b w:val="0"/>
          <w:bCs w:val="0"/>
          <w:kern w:val="0"/>
          <w:sz w:val="32"/>
          <w:szCs w:val="32"/>
          <w:lang w:val="en-US" w:eastAsia="zh-CN" w:bidi="ar-SA"/>
        </w:rPr>
      </w:pPr>
      <w:r>
        <w:rPr>
          <w:rFonts w:hint="eastAsia" w:ascii="仿宋_GB2312" w:hAnsi="Calibri" w:eastAsia="仿宋_GB2312" w:cs="Arial Black"/>
          <w:b w:val="0"/>
          <w:bCs w:val="0"/>
          <w:kern w:val="0"/>
          <w:sz w:val="32"/>
          <w:szCs w:val="32"/>
          <w:lang w:val="en-US" w:eastAsia="zh-CN" w:bidi="ar-SA"/>
        </w:rPr>
        <w:t>(四)组织召开本级人民代表大会，充分行使重大事项决定权、监督权和任免权，做好人大代表工作，联系选民、反映群众意见和要求。</w:t>
      </w:r>
    </w:p>
    <w:p>
      <w:pPr>
        <w:tabs>
          <w:tab w:val="left" w:pos="1440"/>
        </w:tabs>
        <w:spacing w:line="220" w:lineRule="atLeast"/>
        <w:ind w:firstLine="640" w:firstLineChars="200"/>
        <w:rPr>
          <w:rFonts w:hint="eastAsia" w:ascii="仿宋_GB2312" w:hAnsi="Calibri" w:eastAsia="仿宋_GB2312" w:cs="Arial Black"/>
          <w:b w:val="0"/>
          <w:bCs w:val="0"/>
          <w:kern w:val="0"/>
          <w:sz w:val="32"/>
          <w:szCs w:val="32"/>
          <w:lang w:val="en-US" w:eastAsia="zh-CN" w:bidi="ar-SA"/>
        </w:rPr>
      </w:pPr>
      <w:r>
        <w:rPr>
          <w:rFonts w:hint="eastAsia" w:ascii="仿宋_GB2312" w:hAnsi="Calibri" w:eastAsia="仿宋_GB2312" w:cs="Arial Black"/>
          <w:b w:val="0"/>
          <w:bCs w:val="0"/>
          <w:kern w:val="0"/>
          <w:sz w:val="32"/>
          <w:szCs w:val="32"/>
          <w:lang w:val="en-US" w:eastAsia="zh-CN" w:bidi="ar-SA"/>
        </w:rPr>
        <w:t>(五)组织实施与群众生活密切相关的各项公共服务，落实基层“最多跑一次”改革工作，拓宽服务渠道，改进服务方式，建立健全群众办事一次办结机制，推进乡便民服务平台标准化建设，实行“一站式服务”“一枚印章管审批(服务)”，提升群众获得感和幸福感。</w:t>
      </w:r>
    </w:p>
    <w:p>
      <w:pPr>
        <w:tabs>
          <w:tab w:val="left" w:pos="1440"/>
        </w:tabs>
        <w:spacing w:line="220" w:lineRule="atLeast"/>
        <w:ind w:firstLine="640" w:firstLineChars="200"/>
        <w:rPr>
          <w:rFonts w:hint="eastAsia" w:ascii="仿宋_GB2312" w:hAnsi="Calibri" w:eastAsia="仿宋_GB2312" w:cs="Arial Black"/>
          <w:b w:val="0"/>
          <w:bCs w:val="0"/>
          <w:kern w:val="0"/>
          <w:sz w:val="32"/>
          <w:szCs w:val="32"/>
          <w:lang w:val="en-US" w:eastAsia="zh-CN" w:bidi="ar-SA"/>
        </w:rPr>
      </w:pPr>
      <w:r>
        <w:rPr>
          <w:rFonts w:hint="eastAsia" w:ascii="仿宋_GB2312" w:hAnsi="Calibri" w:eastAsia="仿宋_GB2312" w:cs="Arial Black"/>
          <w:b w:val="0"/>
          <w:bCs w:val="0"/>
          <w:kern w:val="0"/>
          <w:sz w:val="32"/>
          <w:szCs w:val="32"/>
          <w:lang w:val="en-US" w:eastAsia="zh-CN" w:bidi="ar-SA"/>
        </w:rPr>
        <w:t>(六)执行本行政区域内的经济和社会发展计划、预算，管理本行政区域内的经济、教育、科学、文化、卫生健康、体育事业、人力资源和社会保障、医疗保障和财政、统计、民政、司法行政等行政工作。落实本行政区域内发展规划、专项规划、区域规划、国土空间规划。</w:t>
      </w:r>
    </w:p>
    <w:p>
      <w:pPr>
        <w:tabs>
          <w:tab w:val="left" w:pos="1440"/>
        </w:tabs>
        <w:spacing w:line="220" w:lineRule="atLeast"/>
        <w:ind w:firstLine="640" w:firstLineChars="200"/>
        <w:rPr>
          <w:rFonts w:hint="eastAsia" w:ascii="仿宋_GB2312" w:hAnsi="Calibri" w:eastAsia="仿宋_GB2312" w:cs="Arial Black"/>
          <w:b w:val="0"/>
          <w:bCs w:val="0"/>
          <w:kern w:val="0"/>
          <w:sz w:val="32"/>
          <w:szCs w:val="32"/>
          <w:lang w:val="en-US" w:eastAsia="zh-CN" w:bidi="ar-SA"/>
        </w:rPr>
      </w:pPr>
      <w:r>
        <w:rPr>
          <w:rFonts w:hint="eastAsia" w:ascii="仿宋_GB2312" w:hAnsi="Calibri" w:eastAsia="仿宋_GB2312" w:cs="Arial Black"/>
          <w:b w:val="0"/>
          <w:bCs w:val="0"/>
          <w:kern w:val="0"/>
          <w:sz w:val="32"/>
          <w:szCs w:val="32"/>
          <w:lang w:val="en-US" w:eastAsia="zh-CN" w:bidi="ar-SA"/>
        </w:rPr>
        <w:t>(七)乡党委领导乡政权机关、群团组织和其他各类组织，加强指导和规范，支持和保证这些机关和组织依照国家法律法规以及各自章程履行职责。坚持党管武装的根本原则和制度，协调各方力量，对乡人民武装工作实行统一领导。</w:t>
      </w:r>
    </w:p>
    <w:p>
      <w:pPr>
        <w:tabs>
          <w:tab w:val="left" w:pos="1440"/>
        </w:tabs>
        <w:spacing w:line="220" w:lineRule="atLeast"/>
        <w:ind w:firstLine="640" w:firstLineChars="200"/>
        <w:rPr>
          <w:rFonts w:hint="eastAsia" w:ascii="仿宋_GB2312" w:hAnsi="Calibri" w:eastAsia="仿宋_GB2312" w:cs="Arial Black"/>
          <w:b w:val="0"/>
          <w:bCs w:val="0"/>
          <w:kern w:val="0"/>
          <w:sz w:val="32"/>
          <w:szCs w:val="32"/>
          <w:lang w:val="en-US" w:eastAsia="zh-CN" w:bidi="ar-SA"/>
        </w:rPr>
      </w:pPr>
      <w:r>
        <w:rPr>
          <w:rFonts w:hint="eastAsia" w:ascii="仿宋_GB2312" w:hAnsi="Calibri" w:eastAsia="仿宋_GB2312" w:cs="Arial Black"/>
          <w:b w:val="0"/>
          <w:bCs w:val="0"/>
          <w:kern w:val="0"/>
          <w:sz w:val="32"/>
          <w:szCs w:val="32"/>
          <w:lang w:val="en-US" w:eastAsia="zh-CN" w:bidi="ar-SA"/>
        </w:rPr>
        <w:t>(八)加强乡党委自身建设和村党组织建设，以及其他隶属乡党委的党组织建设，抓好发展党员工作，加强党员队伍建设。维护和执行党的纪律，监督党员干部和其他任何工作人员严格遵守国家法律法规。</w:t>
      </w:r>
    </w:p>
    <w:p>
      <w:pPr>
        <w:tabs>
          <w:tab w:val="left" w:pos="1440"/>
        </w:tabs>
        <w:spacing w:line="220" w:lineRule="atLeast"/>
        <w:ind w:firstLine="640" w:firstLineChars="200"/>
        <w:rPr>
          <w:rFonts w:hint="eastAsia" w:ascii="仿宋_GB2312" w:hAnsi="Calibri" w:eastAsia="仿宋_GB2312" w:cs="Arial Black"/>
          <w:b w:val="0"/>
          <w:bCs w:val="0"/>
          <w:kern w:val="0"/>
          <w:sz w:val="32"/>
          <w:szCs w:val="32"/>
          <w:lang w:val="en-US" w:eastAsia="zh-CN" w:bidi="ar-SA"/>
        </w:rPr>
      </w:pPr>
      <w:r>
        <w:rPr>
          <w:rFonts w:hint="eastAsia" w:ascii="仿宋_GB2312" w:hAnsi="Calibri" w:eastAsia="仿宋_GB2312" w:cs="Arial Black"/>
          <w:b w:val="0"/>
          <w:bCs w:val="0"/>
          <w:kern w:val="0"/>
          <w:sz w:val="32"/>
          <w:szCs w:val="32"/>
          <w:lang w:val="en-US" w:eastAsia="zh-CN" w:bidi="ar-SA"/>
        </w:rPr>
        <w:t>(九)按照干部管理权限，负责对干部的教育、培训、选拔、考核和监督工作。协助管理上级有关部门驻乡单位的干部。做好人才服务工作。</w:t>
      </w:r>
    </w:p>
    <w:p>
      <w:pPr>
        <w:tabs>
          <w:tab w:val="left" w:pos="1440"/>
        </w:tabs>
        <w:spacing w:line="220" w:lineRule="atLeast"/>
        <w:ind w:firstLine="640" w:firstLineChars="200"/>
        <w:rPr>
          <w:rFonts w:hint="eastAsia" w:ascii="仿宋_GB2312" w:hAnsi="Calibri" w:eastAsia="仿宋_GB2312" w:cs="Arial Black"/>
          <w:b w:val="0"/>
          <w:bCs w:val="0"/>
          <w:kern w:val="0"/>
          <w:sz w:val="32"/>
          <w:szCs w:val="32"/>
          <w:lang w:val="en-US" w:eastAsia="zh-CN" w:bidi="ar-SA"/>
        </w:rPr>
      </w:pPr>
      <w:r>
        <w:rPr>
          <w:rFonts w:hint="eastAsia" w:ascii="仿宋_GB2312" w:hAnsi="Calibri" w:eastAsia="仿宋_GB2312" w:cs="Arial Black"/>
          <w:b w:val="0"/>
          <w:bCs w:val="0"/>
          <w:kern w:val="0"/>
          <w:sz w:val="32"/>
          <w:szCs w:val="32"/>
          <w:lang w:val="en-US" w:eastAsia="zh-CN" w:bidi="ar-SA"/>
        </w:rPr>
        <w:t>(十)领导本乡的基层治理，加强社会主义民主法治建设和精神文明建设，加强社会治安综合治理，推行网格化管理服务，落实社会矛盾纠纷排查调处机制，综合发挥人民调解、行政调解和司法调解的作用，及时化解辖区社会矛盾，维护安全稳定。做好综合执法、应急管理、自然资源和生态环保、乡村振兴、民生保障、脱贫致富、民族宗教、防范邪教等工作。承担民兵预备役、征兵、退役军人服务、拥军优属等工作。</w:t>
      </w:r>
    </w:p>
    <w:p>
      <w:pPr>
        <w:tabs>
          <w:tab w:val="left" w:pos="1440"/>
        </w:tabs>
        <w:spacing w:line="220" w:lineRule="atLeast"/>
        <w:ind w:firstLine="640" w:firstLineChars="200"/>
        <w:rPr>
          <w:rFonts w:hint="eastAsia" w:ascii="仿宋_GB2312" w:hAnsi="Calibri" w:eastAsia="仿宋_GB2312" w:cs="Arial Black"/>
          <w:b w:val="0"/>
          <w:bCs w:val="0"/>
          <w:kern w:val="0"/>
          <w:sz w:val="32"/>
          <w:szCs w:val="32"/>
          <w:lang w:val="en-US" w:eastAsia="zh-CN" w:bidi="ar-SA"/>
        </w:rPr>
      </w:pPr>
      <w:r>
        <w:rPr>
          <w:rFonts w:hint="eastAsia" w:ascii="仿宋_GB2312" w:hAnsi="Calibri" w:eastAsia="仿宋_GB2312" w:cs="Arial Black"/>
          <w:b w:val="0"/>
          <w:bCs w:val="0"/>
          <w:kern w:val="0"/>
          <w:sz w:val="32"/>
          <w:szCs w:val="32"/>
          <w:lang w:val="en-US" w:eastAsia="zh-CN" w:bidi="ar-SA"/>
        </w:rPr>
        <w:t>(十一)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pPr>
        <w:keepNext/>
        <w:keepLines/>
        <w:spacing w:line="580" w:lineRule="exact"/>
        <w:ind w:firstLine="640" w:firstLineChars="200"/>
        <w:jc w:val="left"/>
        <w:outlineLvl w:val="0"/>
        <w:rPr>
          <w:rFonts w:hint="eastAsia" w:ascii="仿宋_GB2312" w:hAnsi="Calibri" w:eastAsia="仿宋_GB2312" w:cs="Arial Black"/>
          <w:b w:val="0"/>
          <w:bCs w:val="0"/>
          <w:kern w:val="0"/>
          <w:sz w:val="32"/>
          <w:szCs w:val="32"/>
          <w:lang w:val="en-US" w:eastAsia="zh-CN" w:bidi="ar-SA"/>
        </w:rPr>
      </w:pPr>
      <w:r>
        <w:rPr>
          <w:rFonts w:hint="eastAsia" w:ascii="仿宋_GB2312" w:hAnsi="Calibri" w:eastAsia="仿宋_GB2312" w:cs="Arial Black"/>
          <w:b w:val="0"/>
          <w:bCs w:val="0"/>
          <w:kern w:val="0"/>
          <w:sz w:val="32"/>
          <w:szCs w:val="32"/>
          <w:lang w:val="en-US" w:eastAsia="zh-CN" w:bidi="ar-SA"/>
        </w:rPr>
        <w:t>(十ニ)承办上级党委、人大、政府交办的其他事项</w:t>
      </w:r>
    </w:p>
    <w:p>
      <w:pPr>
        <w:adjustRightInd w:val="0"/>
        <w:snapToGrid w:val="0"/>
        <w:spacing w:line="600" w:lineRule="exact"/>
        <w:ind w:firstLine="640" w:firstLineChars="200"/>
        <w:rPr>
          <w:rFonts w:hint="eastAsia" w:ascii="黑体" w:hAnsi="Calibri" w:eastAsia="黑体" w:cs="Times New Roman"/>
          <w:sz w:val="32"/>
          <w:szCs w:val="32"/>
          <w:lang w:val="en-US" w:eastAsia="zh-CN"/>
        </w:rPr>
      </w:pPr>
      <w:r>
        <w:rPr>
          <w:rFonts w:hint="eastAsia" w:ascii="黑体" w:hAnsi="Calibri" w:eastAsia="黑体" w:cs="Times New Roman"/>
          <w:sz w:val="32"/>
          <w:szCs w:val="32"/>
          <w:lang w:val="en-US" w:eastAsia="zh-CN"/>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7"/>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w:t>
            </w:r>
            <w:r>
              <w:rPr>
                <w:rFonts w:hint="eastAsia" w:ascii="仿宋_GB2312" w:hAnsi="Calibri" w:eastAsia="仿宋_GB2312" w:cs="Arial Black"/>
                <w:kern w:val="0"/>
                <w:sz w:val="28"/>
                <w:szCs w:val="28"/>
                <w:lang w:eastAsia="zh-CN"/>
              </w:rPr>
              <w:t>刘家台乡</w:t>
            </w:r>
            <w:r>
              <w:rPr>
                <w:rFonts w:hint="eastAsia" w:ascii="仿宋_GB2312" w:hAnsi="Calibri" w:eastAsia="仿宋_GB2312" w:cs="Arial Black"/>
                <w:kern w:val="0"/>
                <w:sz w:val="28"/>
                <w:szCs w:val="28"/>
              </w:rPr>
              <w:t>人民政府</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2"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ind w:firstLine="560" w:firstLineChars="200"/>
              <w:jc w:val="left"/>
              <w:rPr>
                <w:rFonts w:ascii="仿宋_GB2312" w:hAnsi="Calibri" w:eastAsia="仿宋_GB2312" w:cs="Arial Black"/>
                <w:kern w:val="0"/>
                <w:sz w:val="28"/>
                <w:szCs w:val="28"/>
              </w:rPr>
            </w:pP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7"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1"/>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adjustRightInd w:val="0"/>
        <w:snapToGrid w:val="0"/>
        <w:spacing w:line="600" w:lineRule="exact"/>
        <w:ind w:firstLine="420" w:firstLineChars="200"/>
        <w:rPr>
          <w:rFonts w:hint="eastAsia" w:ascii="仿宋_GB2312" w:hAnsi="Times New Roman" w:eastAsia="仿宋_GB2312" w:cs="Wingdings"/>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tabs>
          <w:tab w:val="left" w:pos="1440"/>
        </w:tabs>
        <w:spacing w:line="220" w:lineRule="atLeas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610.51</w:t>
      </w:r>
      <w:r>
        <w:rPr>
          <w:rFonts w:hint="eastAsia" w:ascii="仿宋_GB2312" w:hAnsi="Times New Roman" w:eastAsia="仿宋_GB2312" w:cs="Wingdings"/>
          <w:sz w:val="32"/>
          <w:szCs w:val="32"/>
        </w:rPr>
        <w:t>万元。与2019年度决算相比，收支各增加</w:t>
      </w:r>
      <w:r>
        <w:rPr>
          <w:rFonts w:hint="eastAsia" w:ascii="仿宋_GB2312" w:hAnsi="Times New Roman" w:eastAsia="仿宋_GB2312" w:cs="Wingdings"/>
          <w:sz w:val="32"/>
          <w:szCs w:val="32"/>
          <w:lang w:val="en-US" w:eastAsia="zh-CN"/>
        </w:rPr>
        <w:t>25.39</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4.16%</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eastAsia="zh-CN"/>
        </w:rPr>
        <w:t>增加项目预算，</w:t>
      </w:r>
      <w:r>
        <w:rPr>
          <w:rFonts w:hint="eastAsia" w:ascii="仿宋_GB2312" w:hAnsi="Times New Roman" w:eastAsia="仿宋_GB2312" w:cs="Wingdings"/>
          <w:sz w:val="32"/>
          <w:szCs w:val="32"/>
          <w:lang w:val="en-US" w:eastAsia="zh-CN"/>
        </w:rPr>
        <w:t>本年度将农业生产支持补贴纳入了年度收入支出</w:t>
      </w:r>
      <w:r>
        <w:rPr>
          <w:rFonts w:hint="eastAsia" w:ascii="仿宋_GB2312" w:hAnsi="Times New Roman" w:eastAsia="仿宋_GB2312" w:cs="Wingdings"/>
          <w:sz w:val="32"/>
          <w:szCs w:val="32"/>
          <w:lang w:eastAsia="zh-CN"/>
        </w:rPr>
        <w:t>。</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二、收入决算情况说明</w:t>
      </w:r>
    </w:p>
    <w:p>
      <w:pPr>
        <w:snapToGrid w:val="0"/>
        <w:spacing w:line="600" w:lineRule="exact"/>
        <w:ind w:firstLine="640" w:firstLineChars="200"/>
        <w:outlineLvl w:val="1"/>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610.51</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610.51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keepNext/>
        <w:keepLines/>
        <w:snapToGrid w:val="0"/>
        <w:spacing w:line="600" w:lineRule="exact"/>
        <w:ind w:firstLine="640" w:firstLineChars="200"/>
        <w:outlineLvl w:val="1"/>
        <w:rPr>
          <w:rFonts w:ascii="黑体" w:hAnsi="Calibri" w:eastAsia="黑体" w:cs="Times New Roman"/>
          <w:b/>
          <w:bC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610.51</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398.44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65.26</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212.07</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34.74</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610.51</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25.39</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4.16%</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610.51</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25.39</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4.16%</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增加了农林水支出等多个项目支出。具体情况如下：</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w:t>
      </w:r>
      <w:r>
        <w:rPr>
          <w:rFonts w:hint="eastAsia" w:ascii="仿宋_GB2312" w:hAnsi="Times New Roman" w:eastAsia="仿宋_GB2312" w:cs="Wingdings"/>
          <w:sz w:val="32"/>
          <w:szCs w:val="32"/>
          <w:lang w:val="en-US" w:eastAsia="zh-CN"/>
        </w:rPr>
        <w:t>610.51</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25.39</w:t>
      </w:r>
      <w:r>
        <w:rPr>
          <w:rFonts w:hint="eastAsia" w:ascii="仿宋_GB2312" w:hAnsi="Times New Roman" w:eastAsia="仿宋_GB2312" w:cs="Wingdings"/>
          <w:sz w:val="32"/>
          <w:szCs w:val="32"/>
        </w:rPr>
        <w:t>万元；主要是人员工资和保险调整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610.51</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25.39</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4.16%</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增加了农林水支出等多个项目支出。</w:t>
      </w:r>
    </w:p>
    <w:p>
      <w:pPr>
        <w:numPr>
          <w:ilvl w:val="0"/>
          <w:numId w:val="1"/>
        </w:numPr>
        <w:adjustRightInd w:val="0"/>
        <w:snapToGrid w:val="0"/>
        <w:spacing w:line="600" w:lineRule="exact"/>
        <w:ind w:firstLine="640" w:firstLineChars="200"/>
        <w:rPr>
          <w:rFonts w:hint="default" w:ascii="仿宋_GB2312" w:hAnsi="Times New Roman" w:eastAsia="仿宋_GB2312" w:cs="Wingdings"/>
          <w:sz w:val="32"/>
          <w:szCs w:val="32"/>
          <w:lang w:val="en-US"/>
        </w:rPr>
      </w:pPr>
      <w:r>
        <w:rPr>
          <w:rFonts w:hint="eastAsia" w:ascii="仿宋_GB2312" w:hAnsi="Times New Roman" w:eastAsia="仿宋_GB2312" w:cs="Wingdings"/>
          <w:sz w:val="32"/>
          <w:szCs w:val="32"/>
        </w:rPr>
        <w:t>政府性基金预算财政拨款本年收入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610.51</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108.94</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50.10</w:t>
      </w:r>
      <w:r>
        <w:rPr>
          <w:rFonts w:hint="eastAsia" w:ascii="仿宋_GB2312" w:hAnsi="Times New Roman" w:eastAsia="仿宋_GB2312" w:cs="Wingdings"/>
          <w:sz w:val="32"/>
          <w:szCs w:val="32"/>
        </w:rPr>
        <w:t>万元，决算数大于预算数主要原因是人员工资和保险调整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610.51</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108.94</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50.10</w:t>
      </w:r>
      <w:r>
        <w:rPr>
          <w:rFonts w:hint="eastAsia" w:ascii="仿宋_GB2312" w:hAnsi="Times New Roman" w:eastAsia="仿宋_GB2312" w:cs="Wingdings"/>
          <w:sz w:val="32"/>
          <w:szCs w:val="32"/>
        </w:rPr>
        <w:t>万元，决算数大于预算数主要原因是主要是人员工资和保险调整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增加了大气、农村环境保护、农林水支出等多个项目支出。具体情况如下：</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一般公共预算财政拨款本年收入完成年初预算</w:t>
      </w:r>
      <w:r>
        <w:rPr>
          <w:rFonts w:hint="eastAsia" w:ascii="仿宋_GB2312" w:hAnsi="Times New Roman" w:eastAsia="仿宋_GB2312" w:cs="Wingdings"/>
          <w:sz w:val="32"/>
          <w:szCs w:val="32"/>
          <w:lang w:val="en-US" w:eastAsia="zh-CN"/>
        </w:rPr>
        <w:t>108.94</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50.10</w:t>
      </w:r>
      <w:r>
        <w:rPr>
          <w:rFonts w:hint="eastAsia" w:ascii="仿宋_GB2312" w:hAnsi="Times New Roman" w:eastAsia="仿宋_GB2312" w:cs="Wingdings"/>
          <w:sz w:val="32"/>
          <w:szCs w:val="32"/>
        </w:rPr>
        <w:t>万元，主要是人员工资和保险调整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；支出完成年初预算</w:t>
      </w:r>
      <w:r>
        <w:rPr>
          <w:rFonts w:hint="eastAsia" w:ascii="仿宋_GB2312" w:hAnsi="Times New Roman" w:eastAsia="仿宋_GB2312" w:cs="Wingdings"/>
          <w:sz w:val="32"/>
          <w:szCs w:val="32"/>
          <w:lang w:val="en-US" w:eastAsia="zh-CN"/>
        </w:rPr>
        <w:t>108.94</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50.10</w:t>
      </w:r>
      <w:r>
        <w:rPr>
          <w:rFonts w:hint="eastAsia" w:ascii="仿宋_GB2312" w:hAnsi="Times New Roman" w:eastAsia="仿宋_GB2312" w:cs="Wingdings"/>
          <w:sz w:val="32"/>
          <w:szCs w:val="32"/>
        </w:rPr>
        <w:t>万元，主要是人员工资和保险调整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增加了农林水支出等多个项目支出。</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w:t>
      </w:r>
      <w:r>
        <w:rPr>
          <w:rFonts w:hint="eastAsia" w:ascii="仿宋_GB2312" w:hAnsi="Times New Roman" w:eastAsia="仿宋_GB2312" w:cs="Wingdings"/>
          <w:sz w:val="32"/>
          <w:szCs w:val="32"/>
          <w:lang w:val="en-US" w:eastAsia="zh-CN"/>
        </w:rPr>
        <w:t>0万元，年初预算数0万元，调整预算数0万元，</w:t>
      </w:r>
      <w:r>
        <w:rPr>
          <w:rFonts w:hint="eastAsia" w:ascii="仿宋_GB2312" w:hAnsi="Times New Roman" w:eastAsia="仿宋_GB2312" w:cs="Wingdings"/>
          <w:sz w:val="32"/>
          <w:szCs w:val="32"/>
        </w:rPr>
        <w:t>完成</w:t>
      </w:r>
      <w:r>
        <w:rPr>
          <w:rFonts w:hint="eastAsia" w:ascii="仿宋_GB2312" w:hAnsi="Times New Roman" w:eastAsia="仿宋_GB2312" w:cs="Wingdings"/>
          <w:sz w:val="32"/>
          <w:szCs w:val="32"/>
          <w:lang w:val="en-US" w:eastAsia="zh-CN"/>
        </w:rPr>
        <w:t>调整</w:t>
      </w:r>
      <w:r>
        <w:rPr>
          <w:rFonts w:hint="eastAsia" w:ascii="仿宋_GB2312" w:hAnsi="Times New Roman" w:eastAsia="仿宋_GB2312" w:cs="Wingdings"/>
          <w:sz w:val="32"/>
          <w:szCs w:val="32"/>
        </w:rPr>
        <w:t>预算</w:t>
      </w:r>
      <w:r>
        <w:rPr>
          <w:rFonts w:hint="eastAsia" w:ascii="仿宋_GB2312" w:hAnsi="Times New Roman" w:eastAsia="仿宋_GB2312" w:cs="Wingdings"/>
          <w:sz w:val="32"/>
          <w:szCs w:val="32"/>
          <w:highlight w:val="none"/>
          <w:lang w:val="en-US" w:eastAsia="zh-CN"/>
        </w:rPr>
        <w:t>0</w:t>
      </w:r>
      <w:r>
        <w:rPr>
          <w:rFonts w:hint="eastAsia" w:ascii="仿宋_GB2312" w:hAnsi="Times New Roman" w:eastAsia="仿宋_GB2312" w:cs="Wingdings"/>
          <w:sz w:val="32"/>
          <w:szCs w:val="32"/>
          <w:highlight w:val="none"/>
        </w:rPr>
        <w:t>%</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w:t>
      </w:r>
    </w:p>
    <w:p>
      <w:pPr>
        <w:numPr>
          <w:ilvl w:val="0"/>
          <w:numId w:val="3"/>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楷体_GB2312" w:hAnsi="Times New Roman" w:eastAsia="楷体_GB2312" w:cs="Mongolian Baiti"/>
          <w:b/>
          <w:bCs/>
          <w:sz w:val="32"/>
          <w:szCs w:val="32"/>
        </w:rPr>
      </w:pPr>
      <w:r>
        <w:rPr>
          <w:rFonts w:hint="eastAsia" w:ascii="仿宋_GB2312" w:hAnsi="Times New Roman" w:eastAsia="仿宋_GB2312" w:cs="Wingdings"/>
          <w:sz w:val="32"/>
          <w:szCs w:val="32"/>
        </w:rPr>
        <w:t>2020 年度财政拨款支出610.51万元，主要用于以下方面：比如：一般公共服务（类）支出342.98万元，占56.18%，教育支出6.00万元；占0.98%；文化旅游体育与传媒（类）支出4.49万元，占0.74%；社会保障和就业（类）支出48.50万元，占7.94%；卫生健康（类）支出22.36万元，占3.66%；环保节能支出7万元，占1.15%；农林水（类）支出159.42万元，占26.11%;住房保障（类）支出19.76万元，占3.24%。</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398.44</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359.75</w:t>
      </w:r>
      <w:r>
        <w:rPr>
          <w:rFonts w:hint="eastAsia" w:ascii="仿宋_GB2312" w:hAnsi="Times New Roman" w:eastAsia="仿宋_GB2312" w:cs="Wingdings"/>
          <w:sz w:val="32"/>
          <w:szCs w:val="32"/>
        </w:rPr>
        <w:t>万元，主要包括基本工资、津贴补贴、奖金、绩效工资、机关事业单位基本养老保险缴费、职业年金缴费、职工基本医疗保险缴费、住房公积金、其他社会保障缴费、其他工资福利支出、退休费、抚恤金、生活补助、奖励金、其他对个人和家庭的补助支出；公用经费</w:t>
      </w:r>
      <w:r>
        <w:rPr>
          <w:rFonts w:hint="eastAsia" w:ascii="仿宋_GB2312" w:hAnsi="Times New Roman" w:eastAsia="仿宋_GB2312" w:cs="Wingdings"/>
          <w:sz w:val="32"/>
          <w:szCs w:val="32"/>
          <w:lang w:val="en-US" w:eastAsia="zh-CN"/>
        </w:rPr>
        <w:t>38.69</w:t>
      </w:r>
      <w:r>
        <w:rPr>
          <w:rFonts w:hint="eastAsia" w:ascii="仿宋_GB2312" w:hAnsi="Times New Roman" w:eastAsia="仿宋_GB2312" w:cs="Wingdings"/>
          <w:sz w:val="32"/>
          <w:szCs w:val="32"/>
        </w:rPr>
        <w:t>万元，主要包括办公费</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邮电费、取暖费、公务用车运行维护费、其他交通费用、其他商品和服务支出</w:t>
      </w:r>
      <w:r>
        <w:rPr>
          <w:rFonts w:hint="eastAsia" w:ascii="仿宋_GB2312" w:hAnsi="Times New Roman" w:eastAsia="仿宋_GB2312" w:cs="Wingdings"/>
          <w:sz w:val="32"/>
          <w:szCs w:val="32"/>
          <w:lang w:eastAsia="zh-CN"/>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8.01</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7.19</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89.76</w:t>
      </w:r>
      <w:r>
        <w:rPr>
          <w:rFonts w:hint="eastAsia" w:ascii="仿宋_GB2312" w:hAnsi="Times New Roman" w:eastAsia="仿宋_GB2312" w:cs="Wingdings"/>
          <w:sz w:val="32"/>
          <w:szCs w:val="32"/>
        </w:rPr>
        <w:t>%,较预算</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lang w:val="en-US" w:eastAsia="zh-CN"/>
        </w:rPr>
        <w:t>0.82</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lang w:val="en-US" w:eastAsia="zh-CN"/>
        </w:rPr>
        <w:t>10.24</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2020年力行节约，避免了招待费用的支出</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与</w:t>
      </w:r>
      <w:r>
        <w:rPr>
          <w:rFonts w:hint="eastAsia" w:ascii="仿宋_GB2312" w:hAnsi="Times New Roman" w:eastAsia="仿宋_GB2312" w:cs="Wingdings"/>
          <w:sz w:val="32"/>
          <w:szCs w:val="32"/>
        </w:rPr>
        <w:t>2019年度</w:t>
      </w:r>
      <w:r>
        <w:rPr>
          <w:rFonts w:hint="eastAsia" w:ascii="仿宋_GB2312" w:hAnsi="Times New Roman" w:eastAsia="仿宋_GB2312" w:cs="Wingdings"/>
          <w:sz w:val="32"/>
          <w:szCs w:val="32"/>
          <w:lang w:eastAsia="zh-CN"/>
        </w:rPr>
        <w:t>持平</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人/无本单位组织的出国（境）团组。因公出国（境）费支出较预算增加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未发生因公出国（境）费支出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未发生因公出国（境）费支出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7.19</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99.86</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0.01</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0.14</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2020年防火、山林巡查增多</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2020年防火、山林巡查增多</w:t>
      </w:r>
      <w:r>
        <w:rPr>
          <w:rFonts w:hint="eastAsia" w:ascii="仿宋_GB2312" w:hAnsi="Times New Roman" w:eastAsia="仿宋_GB2312" w:cs="Wingdings"/>
          <w:sz w:val="32"/>
          <w:szCs w:val="32"/>
        </w:rPr>
        <w:t>。</w:t>
      </w:r>
    </w:p>
    <w:p>
      <w:pPr>
        <w:pStyle w:val="2"/>
        <w:rPr>
          <w:rFonts w:hint="eastAsia" w:eastAsia="仿宋_GB2312"/>
          <w:lang w:eastAsia="zh-CN"/>
        </w:rPr>
      </w:pPr>
      <w:r>
        <w:rPr>
          <w:rFonts w:hint="eastAsia" w:eastAsia="仿宋_GB2312"/>
          <w:lang w:eastAsia="zh-CN"/>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万元。公务用车购置费支出较预算增加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未发生公务用车购置经费支出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未发生公务用车购置经费支出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仿宋_GB2312" w:eastAsia="仿宋_GB2312" w:cs="仿宋_GB2312"/>
          <w:b w:val="0"/>
          <w:bCs w:val="0"/>
          <w:sz w:val="32"/>
          <w:szCs w:val="32"/>
          <w:lang w:eastAsia="zh-CN"/>
        </w:rPr>
        <w:t>本部门</w:t>
      </w:r>
      <w:r>
        <w:rPr>
          <w:rFonts w:hint="eastAsia" w:ascii="仿宋_GB2312" w:hAnsi="Times New Roman" w:eastAsia="仿宋_GB2312" w:cs="Wingdings"/>
          <w:sz w:val="32"/>
          <w:szCs w:val="32"/>
        </w:rPr>
        <w:t>公务用车保有量</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eastAsia="zh-CN"/>
        </w:rPr>
        <w:t>，</w:t>
      </w:r>
      <w:r>
        <w:rPr>
          <w:rFonts w:hint="eastAsia" w:ascii="仿宋_GB2312" w:hAnsi="仿宋_GB2312" w:eastAsia="仿宋_GB2312" w:cs="仿宋_GB2312"/>
          <w:b w:val="0"/>
          <w:bCs w:val="0"/>
          <w:sz w:val="32"/>
          <w:szCs w:val="32"/>
          <w:lang w:eastAsia="zh-CN"/>
        </w:rPr>
        <w:t>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7.19</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99.86</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0.01</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0.14</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2020年防火、山林巡查增多</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2020年防火、山林巡查增多</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本部门2020年公务用车购置及运行维护费支出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人次。公务接待费支出较预算减少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未发生公务接待费支出</w:t>
      </w:r>
      <w:r>
        <w:rPr>
          <w:rFonts w:hint="eastAsia" w:ascii="仿宋_GB2312" w:hAnsi="Times New Roman" w:eastAsia="仿宋_GB2312" w:cs="Wingdings"/>
          <w:sz w:val="32"/>
          <w:szCs w:val="32"/>
        </w:rPr>
        <w:t>；较上年度减少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未发生公务接待费支出</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212.07</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100.00%</w:t>
      </w:r>
      <w:r>
        <w:rPr>
          <w:rFonts w:hint="eastAsia" w:ascii="仿宋_GB2312" w:hAnsi="仿宋_GB2312" w:eastAsia="仿宋_GB2312" w:cs="仿宋_GB2312"/>
          <w:sz w:val="32"/>
          <w:szCs w:val="32"/>
        </w:rPr>
        <w:t>。</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val="en-US" w:eastAsia="zh-CN"/>
        </w:rPr>
        <w:t>一般公共预算</w:t>
      </w:r>
      <w:r>
        <w:rPr>
          <w:rFonts w:hint="eastAsia" w:ascii="仿宋_GB2312" w:hAnsi="仿宋_GB2312" w:eastAsia="仿宋_GB2312" w:cs="仿宋_GB2312"/>
          <w:sz w:val="32"/>
          <w:szCs w:val="32"/>
        </w:rPr>
        <w:t>项目等</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个项目绩效自评结果。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河道四乱清理经费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河道四乱清理经费</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7.00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7.00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拆除违建，保障河道顺畅二是全乡人居环境整洁群众满意</w:t>
      </w:r>
      <w:r>
        <w:rPr>
          <w:rFonts w:hint="eastAsia" w:ascii="仿宋_GB2312" w:hAnsi="仿宋_GB2312" w:eastAsia="仿宋_GB2312" w:cs="仿宋_GB2312"/>
          <w:sz w:val="32"/>
          <w:szCs w:val="32"/>
          <w:highlight w:val="none"/>
        </w:rPr>
        <w:t>。</w:t>
      </w:r>
    </w:p>
    <w:p>
      <w:pPr>
        <w:adjustRightInd w:val="0"/>
        <w:snapToGrid w:val="0"/>
        <w:spacing w:line="58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修缮改造乡政府资金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修缮改造乡政府资金”</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3.00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2.99</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99.67</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维修政府房顶、大院面积；二是维修质量达标。</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乡政府改善办公条件经费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修缮改造乡政府资金”</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5.00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4.99</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99.8</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维修政府办公房屋，二是维修质量达标。</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维稳经费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维稳经费</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维护信访稳定，让群众满意，二是信访事件处理完成达。</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维稳经费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维稳经费</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2.95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98.33</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保障疫情期间信访稳定，二是保障政府工作的顺利开展。</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维稳经费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维稳经费</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2.23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74.33</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保障“两会”期间信访稳定工作，二是保障政府工作的顺利开展</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果品收购期疏导交通经费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果品收购期疏导交通经费</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3.00</w:t>
      </w:r>
      <w:r>
        <w:rPr>
          <w:rFonts w:hint="eastAsia" w:ascii="仿宋_GB2312" w:hAnsi="仿宋_GB2312" w:eastAsia="仿宋_GB2312" w:cs="仿宋_GB2312"/>
          <w:sz w:val="32"/>
          <w:szCs w:val="32"/>
        </w:rPr>
        <w:t>万元，执</w:t>
      </w:r>
      <w:r>
        <w:rPr>
          <w:rFonts w:hint="eastAsia" w:ascii="仿宋_GB2312" w:hAnsi="仿宋_GB2312" w:eastAsia="仿宋_GB2312" w:cs="仿宋_GB2312"/>
          <w:sz w:val="32"/>
          <w:szCs w:val="32"/>
          <w:highlight w:val="none"/>
        </w:rPr>
        <w:t>行数为</w:t>
      </w:r>
      <w:r>
        <w:rPr>
          <w:rFonts w:hint="eastAsia" w:ascii="仿宋_GB2312" w:hAnsi="仿宋_GB2312" w:eastAsia="仿宋_GB2312" w:cs="仿宋_GB2312"/>
          <w:sz w:val="32"/>
          <w:szCs w:val="32"/>
          <w:highlight w:val="none"/>
          <w:lang w:val="en-US" w:eastAsia="zh-CN"/>
        </w:rPr>
        <w:t>3.00</w:t>
      </w:r>
      <w:r>
        <w:rPr>
          <w:rFonts w:hint="eastAsia" w:ascii="仿宋_GB2312" w:hAnsi="仿宋_GB2312" w:eastAsia="仿宋_GB2312" w:cs="仿宋_GB2312"/>
          <w:sz w:val="32"/>
          <w:szCs w:val="32"/>
          <w:highlight w:val="none"/>
        </w:rPr>
        <w:t>万元，完成预算的100%。项目绩效目标完成情况：一是</w:t>
      </w:r>
      <w:r>
        <w:rPr>
          <w:rFonts w:hint="eastAsia" w:ascii="仿宋_GB2312" w:hAnsi="仿宋_GB2312" w:eastAsia="仿宋_GB2312" w:cs="仿宋_GB2312"/>
          <w:sz w:val="32"/>
          <w:szCs w:val="32"/>
          <w:highlight w:val="none"/>
          <w:lang w:eastAsia="zh-CN"/>
        </w:rPr>
        <w:t>确保刘家台乡保涞路沿线果品收购期道路畅通二是让群众满意</w:t>
      </w:r>
      <w:r>
        <w:rPr>
          <w:rFonts w:hint="eastAsia" w:ascii="仿宋_GB2312" w:hAnsi="仿宋_GB2312" w:eastAsia="仿宋_GB2312" w:cs="仿宋_GB2312"/>
          <w:sz w:val="32"/>
          <w:szCs w:val="32"/>
          <w:highlight w:val="none"/>
        </w:rPr>
        <w:t>。</w:t>
      </w:r>
    </w:p>
    <w:p>
      <w:pPr>
        <w:adjustRightInd w:val="0"/>
        <w:snapToGrid w:val="0"/>
        <w:spacing w:line="58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）“红色遗址维护费”项目自评综述：根据年初设定的绩效目标，“红色遗址维护费”项目绩效自评得分为100分。全年预算数为</w:t>
      </w:r>
      <w:r>
        <w:rPr>
          <w:rFonts w:hint="eastAsia" w:ascii="仿宋_GB2312" w:hAnsi="仿宋_GB2312" w:eastAsia="仿宋_GB2312" w:cs="仿宋_GB2312"/>
          <w:sz w:val="32"/>
          <w:szCs w:val="32"/>
          <w:lang w:val="en-US" w:eastAsia="zh-CN"/>
        </w:rPr>
        <w:t>6.00</w:t>
      </w:r>
      <w:r>
        <w:rPr>
          <w:rFonts w:hint="eastAsia" w:ascii="仿宋_GB2312" w:hAnsi="仿宋_GB2312" w:eastAsia="仿宋_GB2312" w:cs="仿宋_GB2312"/>
          <w:sz w:val="32"/>
          <w:szCs w:val="32"/>
        </w:rPr>
        <w:t>万元，执</w:t>
      </w:r>
      <w:r>
        <w:rPr>
          <w:rFonts w:hint="eastAsia" w:ascii="仿宋_GB2312" w:hAnsi="仿宋_GB2312" w:eastAsia="仿宋_GB2312" w:cs="仿宋_GB2312"/>
          <w:sz w:val="32"/>
          <w:szCs w:val="32"/>
          <w:highlight w:val="none"/>
        </w:rPr>
        <w:t>行数为</w:t>
      </w:r>
      <w:r>
        <w:rPr>
          <w:rFonts w:hint="eastAsia" w:ascii="仿宋_GB2312" w:hAnsi="仿宋_GB2312" w:eastAsia="仿宋_GB2312" w:cs="仿宋_GB2312"/>
          <w:sz w:val="32"/>
          <w:szCs w:val="32"/>
          <w:highlight w:val="none"/>
          <w:lang w:val="en-US" w:eastAsia="zh-CN"/>
        </w:rPr>
        <w:t>6.00</w:t>
      </w:r>
      <w:r>
        <w:rPr>
          <w:rFonts w:hint="eastAsia" w:ascii="仿宋_GB2312" w:hAnsi="仿宋_GB2312" w:eastAsia="仿宋_GB2312" w:cs="仿宋_GB2312"/>
          <w:sz w:val="32"/>
          <w:szCs w:val="32"/>
          <w:highlight w:val="none"/>
        </w:rPr>
        <w:t>万元，完成预算的100%。项目绩效目标完成情况：一是</w:t>
      </w:r>
      <w:r>
        <w:rPr>
          <w:rFonts w:hint="eastAsia" w:ascii="仿宋_GB2312" w:hAnsi="仿宋_GB2312" w:eastAsia="仿宋_GB2312" w:cs="仿宋_GB2312"/>
          <w:sz w:val="32"/>
          <w:szCs w:val="32"/>
        </w:rPr>
        <w:t>红色遗址维护</w:t>
      </w:r>
      <w:r>
        <w:rPr>
          <w:rFonts w:hint="eastAsia" w:ascii="仿宋_GB2312" w:hAnsi="仿宋_GB2312" w:eastAsia="仿宋_GB2312" w:cs="仿宋_GB2312"/>
          <w:sz w:val="32"/>
          <w:szCs w:val="32"/>
          <w:highlight w:val="none"/>
        </w:rPr>
        <w:t>。</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农村文化建设资金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农村文化建设资金</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4.50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4.49</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99.78</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提高人民群众集体文化水平</w:t>
      </w:r>
      <w:r>
        <w:rPr>
          <w:rFonts w:hint="eastAsia" w:ascii="仿宋_GB2312" w:hAnsi="仿宋_GB2312" w:eastAsia="仿宋_GB2312" w:cs="仿宋_GB2312"/>
          <w:sz w:val="32"/>
          <w:szCs w:val="32"/>
        </w:rPr>
        <w:t>；二是保障</w:t>
      </w:r>
      <w:r>
        <w:rPr>
          <w:rFonts w:hint="eastAsia" w:ascii="仿宋_GB2312" w:hAnsi="仿宋_GB2312" w:eastAsia="仿宋_GB2312" w:cs="仿宋_GB2312"/>
          <w:sz w:val="32"/>
          <w:szCs w:val="32"/>
          <w:lang w:eastAsia="zh-CN"/>
        </w:rPr>
        <w:t>人民群众的精神文化生活丰富多彩</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刘家台乡防控经费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刘家台乡防控经费</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一是保障了</w:t>
      </w:r>
      <w:r>
        <w:rPr>
          <w:rFonts w:hint="eastAsia" w:ascii="仿宋_GB2312" w:hAnsi="仿宋_GB2312" w:eastAsia="仿宋_GB2312" w:cs="仿宋_GB2312"/>
          <w:sz w:val="32"/>
          <w:szCs w:val="32"/>
          <w:highlight w:val="none"/>
          <w:lang w:eastAsia="zh-CN"/>
        </w:rPr>
        <w:t>乡村疫情防控工作正常开展</w:t>
      </w:r>
      <w:r>
        <w:rPr>
          <w:rFonts w:hint="eastAsia" w:ascii="仿宋_GB2312" w:hAnsi="仿宋_GB2312" w:eastAsia="仿宋_GB2312" w:cs="仿宋_GB2312"/>
          <w:sz w:val="32"/>
          <w:szCs w:val="32"/>
          <w:highlight w:val="none"/>
        </w:rPr>
        <w:t>。</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九年一贯制寄宿学校租地款</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九年一贯制寄宿学校租地款</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6.00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6.00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改善教学条件。</w:t>
      </w:r>
    </w:p>
    <w:p>
      <w:pPr>
        <w:adjustRightInd w:val="0"/>
        <w:snapToGrid w:val="0"/>
        <w:spacing w:line="58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）“2019年中央农村综合改革转移支付资金保财农改[2019]4号”项目自评综述：根据年初设定的绩效目标，“2019年中央农村综合改革转移支付资金保财农改[2019]4号”项目绩效自评得分为100分。全年预算数为</w:t>
      </w:r>
      <w:r>
        <w:rPr>
          <w:rFonts w:hint="eastAsia" w:ascii="仿宋_GB2312" w:hAnsi="仿宋_GB2312" w:eastAsia="仿宋_GB2312" w:cs="仿宋_GB2312"/>
          <w:sz w:val="32"/>
          <w:szCs w:val="32"/>
          <w:lang w:val="en-US" w:eastAsia="zh-CN"/>
        </w:rPr>
        <w:t>24.24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24.24</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：一是保障了</w:t>
      </w:r>
      <w:r>
        <w:rPr>
          <w:rFonts w:hint="eastAsia" w:ascii="仿宋_GB2312" w:hAnsi="仿宋_GB2312" w:eastAsia="仿宋_GB2312" w:cs="仿宋_GB2312"/>
          <w:sz w:val="32"/>
          <w:szCs w:val="32"/>
          <w:highlight w:val="none"/>
          <w:lang w:eastAsia="zh-CN"/>
        </w:rPr>
        <w:t>村级项目正常开展。</w:t>
      </w:r>
    </w:p>
    <w:p>
      <w:pPr>
        <w:adjustRightInd w:val="0"/>
        <w:snapToGrid w:val="0"/>
        <w:spacing w:line="58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）“农村综合改革一事一议资金”项目自评综述：根据年初设定的绩效目标，“农村综合改革一事一议资金”项目绩效自评得分为100分。全年预算数为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改变村级面貌</w:t>
      </w:r>
      <w:r>
        <w:rPr>
          <w:rFonts w:hint="eastAsia" w:ascii="仿宋_GB2312" w:hAnsi="仿宋_GB2312" w:eastAsia="仿宋_GB2312" w:cs="仿宋_GB2312"/>
          <w:sz w:val="32"/>
          <w:szCs w:val="32"/>
          <w:highlight w:val="none"/>
        </w:rPr>
        <w:t>；二是</w:t>
      </w:r>
      <w:r>
        <w:rPr>
          <w:rFonts w:hint="eastAsia" w:ascii="仿宋_GB2312" w:hAnsi="仿宋_GB2312" w:eastAsia="仿宋_GB2312" w:cs="仿宋_GB2312"/>
          <w:sz w:val="32"/>
          <w:szCs w:val="32"/>
          <w:highlight w:val="none"/>
          <w:lang w:eastAsia="zh-CN"/>
        </w:rPr>
        <w:t>方便村民生活</w:t>
      </w:r>
      <w:r>
        <w:rPr>
          <w:rFonts w:hint="eastAsia" w:ascii="仿宋_GB2312" w:hAnsi="仿宋_GB2312" w:eastAsia="仿宋_GB2312" w:cs="仿宋_GB2312"/>
          <w:sz w:val="32"/>
          <w:szCs w:val="32"/>
          <w:highlight w:val="none"/>
        </w:rPr>
        <w:t>。</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）“村干部基础职务补贴”项目自评综述：根据年初设定的绩效目标，“村干部基础职务补贴”项目绩效自评得分为100分。全年预算数为</w:t>
      </w:r>
      <w:r>
        <w:rPr>
          <w:rFonts w:hint="eastAsia" w:ascii="仿宋_GB2312" w:hAnsi="仿宋_GB2312" w:eastAsia="仿宋_GB2312" w:cs="仿宋_GB2312"/>
          <w:sz w:val="32"/>
          <w:szCs w:val="32"/>
          <w:lang w:val="en-US" w:eastAsia="zh-CN"/>
        </w:rPr>
        <w:t>72.44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66.5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91.80</w:t>
      </w:r>
      <w:r>
        <w:rPr>
          <w:rFonts w:hint="eastAsia" w:ascii="仿宋_GB2312" w:hAnsi="仿宋_GB2312" w:eastAsia="仿宋_GB2312" w:cs="仿宋_GB2312"/>
          <w:sz w:val="32"/>
          <w:szCs w:val="32"/>
        </w:rPr>
        <w:t>%。项目绩效目标完成情况：一是保障村干部的日常生活，使村干部老有所养，老有所依；二是促使村干部积极主动的开展村内各项工作，发挥积极带头作用。</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“村干部保险”项目自评综述：根据年初设定的绩效目标， “村干部保险”项目绩效自评得分为100分。全年预算数为</w:t>
      </w:r>
      <w:r>
        <w:rPr>
          <w:rFonts w:hint="eastAsia" w:ascii="仿宋_GB2312" w:hAnsi="仿宋_GB2312" w:eastAsia="仿宋_GB2312" w:cs="仿宋_GB2312"/>
          <w:sz w:val="32"/>
          <w:szCs w:val="32"/>
          <w:lang w:val="en-US" w:eastAsia="zh-CN"/>
        </w:rPr>
        <w:t>8.64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2.76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31.94</w:t>
      </w:r>
      <w:r>
        <w:rPr>
          <w:rFonts w:hint="eastAsia" w:ascii="仿宋_GB2312" w:hAnsi="仿宋_GB2312" w:eastAsia="仿宋_GB2312" w:cs="仿宋_GB2312"/>
          <w:sz w:val="32"/>
          <w:szCs w:val="32"/>
        </w:rPr>
        <w:t>%。项目绩效目标完成情况：一是保障了村干部的日常生活，使村干部老有所养，老有所依；二是促使村干部积极主动的开展村内各项工作，发挥积极带头作用。</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“2020年7-9月份区财政局农村“两委”干部补贴资金”项目自评综述：根据年初设定的绩效目标， “2020年7-9月份区财政局农村“两委”干部补贴资金”项目绩效自评得分为100分。全年预算数为</w:t>
      </w:r>
      <w:r>
        <w:rPr>
          <w:rFonts w:hint="eastAsia" w:ascii="仿宋_GB2312" w:hAnsi="仿宋_GB2312" w:eastAsia="仿宋_GB2312" w:cs="仿宋_GB2312"/>
          <w:sz w:val="32"/>
          <w:szCs w:val="32"/>
          <w:lang w:val="en-US" w:eastAsia="zh-CN"/>
        </w:rPr>
        <w:t>20.68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20.68</w:t>
      </w:r>
      <w:r>
        <w:rPr>
          <w:rFonts w:hint="eastAsia" w:ascii="仿宋_GB2312" w:hAnsi="仿宋_GB2312" w:eastAsia="仿宋_GB2312" w:cs="仿宋_GB2312"/>
          <w:sz w:val="32"/>
          <w:szCs w:val="32"/>
        </w:rPr>
        <w:t>万元，完成预算的100%。项目绩效目标完成情况：一是保障了村干部的日常生活，使村干部老有所养，老有所依；二是促使村干部积极主动的开展村内各项工作，发挥积极带头作用。</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“正常离任村干部生活补贴”项目自评综述：根据年初设定的绩效目标， “正常离任村干部生活补贴”项目绩效自评得分为100分。全年预算数为</w:t>
      </w:r>
      <w:r>
        <w:rPr>
          <w:rFonts w:hint="eastAsia" w:ascii="仿宋_GB2312" w:hAnsi="仿宋_GB2312" w:eastAsia="仿宋_GB2312" w:cs="仿宋_GB2312"/>
          <w:sz w:val="32"/>
          <w:szCs w:val="32"/>
          <w:lang w:val="en-US" w:eastAsia="zh-CN"/>
        </w:rPr>
        <w:t>5.76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3.38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58.68</w:t>
      </w:r>
      <w:r>
        <w:rPr>
          <w:rFonts w:hint="eastAsia" w:ascii="仿宋_GB2312" w:hAnsi="仿宋_GB2312" w:eastAsia="仿宋_GB2312" w:cs="仿宋_GB2312"/>
          <w:sz w:val="32"/>
          <w:szCs w:val="32"/>
        </w:rPr>
        <w:t>%。项目绩效目标完成情况：一是保障了正常离任村干部的日常生活；二是体现了党组织对离任村干部的关怀。</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增加</w:t>
      </w:r>
      <w:r>
        <w:rPr>
          <w:rFonts w:hint="eastAsia" w:ascii="仿宋_GB2312" w:hAnsi="仿宋_GB2312" w:eastAsia="仿宋_GB2312" w:cs="仿宋_GB2312"/>
          <w:sz w:val="32"/>
          <w:szCs w:val="32"/>
          <w:lang w:val="en-US" w:eastAsia="zh-CN"/>
        </w:rPr>
        <w:t>2019年度村级组织运转经费</w:t>
      </w:r>
      <w:r>
        <w:rPr>
          <w:rFonts w:hint="eastAsia" w:ascii="仿宋_GB2312" w:hAnsi="仿宋_GB2312" w:eastAsia="仿宋_GB2312" w:cs="仿宋_GB2312"/>
          <w:sz w:val="32"/>
          <w:szCs w:val="32"/>
        </w:rPr>
        <w:t>”项目自评综述：根据年初设定的绩效目标， “</w:t>
      </w:r>
      <w:r>
        <w:rPr>
          <w:rFonts w:hint="eastAsia" w:ascii="仿宋_GB2312" w:hAnsi="仿宋_GB2312" w:eastAsia="仿宋_GB2312" w:cs="仿宋_GB2312"/>
          <w:sz w:val="32"/>
          <w:szCs w:val="32"/>
          <w:lang w:eastAsia="zh-CN"/>
        </w:rPr>
        <w:t>增加</w:t>
      </w:r>
      <w:r>
        <w:rPr>
          <w:rFonts w:hint="eastAsia" w:ascii="仿宋_GB2312" w:hAnsi="仿宋_GB2312" w:eastAsia="仿宋_GB2312" w:cs="仿宋_GB2312"/>
          <w:sz w:val="32"/>
          <w:szCs w:val="32"/>
          <w:lang w:val="en-US" w:eastAsia="zh-CN"/>
        </w:rPr>
        <w:t>2019年度村级组织运转经费</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万元，完成预算的100%。项目绩效目标完成情况：一是保障了村级组织正常运转和党建提升；二是保障了村级工作顺利开展和正常运行。</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增加</w:t>
      </w:r>
      <w:r>
        <w:rPr>
          <w:rFonts w:hint="eastAsia" w:ascii="仿宋_GB2312" w:hAnsi="仿宋_GB2312" w:eastAsia="仿宋_GB2312" w:cs="仿宋_GB2312"/>
          <w:sz w:val="32"/>
          <w:szCs w:val="32"/>
          <w:lang w:val="en-US" w:eastAsia="zh-CN"/>
        </w:rPr>
        <w:t>2020年度上半年村级组织运转经费</w:t>
      </w:r>
      <w:r>
        <w:rPr>
          <w:rFonts w:hint="eastAsia" w:ascii="仿宋_GB2312" w:hAnsi="仿宋_GB2312" w:eastAsia="仿宋_GB2312" w:cs="仿宋_GB2312"/>
          <w:sz w:val="32"/>
          <w:szCs w:val="32"/>
        </w:rPr>
        <w:t>”项目自评综述：根据年初设定的绩效目标， “</w:t>
      </w:r>
      <w:r>
        <w:rPr>
          <w:rFonts w:hint="eastAsia" w:ascii="仿宋_GB2312" w:hAnsi="仿宋_GB2312" w:eastAsia="仿宋_GB2312" w:cs="仿宋_GB2312"/>
          <w:sz w:val="32"/>
          <w:szCs w:val="32"/>
          <w:lang w:eastAsia="zh-CN"/>
        </w:rPr>
        <w:t>增加</w:t>
      </w:r>
      <w:r>
        <w:rPr>
          <w:rFonts w:hint="eastAsia" w:ascii="仿宋_GB2312" w:hAnsi="仿宋_GB2312" w:eastAsia="仿宋_GB2312" w:cs="仿宋_GB2312"/>
          <w:sz w:val="32"/>
          <w:szCs w:val="32"/>
          <w:lang w:val="en-US" w:eastAsia="zh-CN"/>
        </w:rPr>
        <w:t>2020年度上半年村级组织运转经费</w:t>
      </w:r>
      <w:r>
        <w:rPr>
          <w:rFonts w:hint="eastAsia" w:ascii="仿宋_GB2312" w:hAnsi="仿宋_GB2312" w:eastAsia="仿宋_GB2312" w:cs="仿宋_GB2312"/>
          <w:sz w:val="32"/>
          <w:szCs w:val="32"/>
        </w:rPr>
        <w:t>”项目绩效自评得分为100分。全年预算数为</w:t>
      </w:r>
      <w:r>
        <w:rPr>
          <w:rFonts w:hint="eastAsia" w:ascii="仿宋_GB2312" w:hAnsi="仿宋_GB2312" w:eastAsia="仿宋_GB2312" w:cs="仿宋_GB2312"/>
          <w:sz w:val="32"/>
          <w:szCs w:val="32"/>
          <w:lang w:val="en-US" w:eastAsia="zh-CN"/>
        </w:rPr>
        <w:t>7.72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7.70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99.74</w:t>
      </w:r>
      <w:r>
        <w:rPr>
          <w:rFonts w:hint="eastAsia" w:ascii="仿宋_GB2312" w:hAnsi="仿宋_GB2312" w:eastAsia="仿宋_GB2312" w:cs="仿宋_GB2312"/>
          <w:sz w:val="32"/>
          <w:szCs w:val="32"/>
        </w:rPr>
        <w:t>%。项目绩效目标完成情况：一是保障了村级组织正常运转和党建提升；二是保障了村级工作顺利开展和正常运行。</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 “基层组织运转经费和党建提升经费”项目自评综述：根据年初设定的绩效目标， “基层组织运转经费和党建提升经费”项目绩效自评得分为100分。全年预算数为</w:t>
      </w:r>
      <w:r>
        <w:rPr>
          <w:rFonts w:hint="eastAsia" w:ascii="仿宋_GB2312" w:hAnsi="仿宋_GB2312" w:eastAsia="仿宋_GB2312" w:cs="仿宋_GB2312"/>
          <w:sz w:val="32"/>
          <w:szCs w:val="32"/>
          <w:lang w:val="en-US" w:eastAsia="zh-CN"/>
        </w:rPr>
        <w:t>2.56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2.10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82.03</w:t>
      </w:r>
      <w:r>
        <w:rPr>
          <w:rFonts w:hint="eastAsia" w:ascii="仿宋_GB2312" w:hAnsi="仿宋_GB2312" w:eastAsia="仿宋_GB2312" w:cs="仿宋_GB2312"/>
          <w:sz w:val="32"/>
          <w:szCs w:val="32"/>
        </w:rPr>
        <w:t>%。项目绩效目标完成情况：一是保障了村级组织正常运转和党建提升；二是保障了村级工作顺利开展和正常运行。</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为服务群众专项、村级办公、党组织活动</w:t>
      </w:r>
      <w:r>
        <w:rPr>
          <w:rFonts w:hint="eastAsia" w:ascii="仿宋_GB2312" w:hAnsi="仿宋_GB2312" w:eastAsia="仿宋_GB2312" w:cs="仿宋_GB2312"/>
          <w:sz w:val="32"/>
          <w:szCs w:val="32"/>
        </w:rPr>
        <w:t>经费”项目自评综述：根据年初设定的绩效目标，“</w:t>
      </w:r>
      <w:r>
        <w:rPr>
          <w:rFonts w:hint="eastAsia" w:ascii="仿宋_GB2312" w:hAnsi="仿宋_GB2312" w:eastAsia="仿宋_GB2312" w:cs="仿宋_GB2312"/>
          <w:sz w:val="32"/>
          <w:szCs w:val="32"/>
          <w:lang w:eastAsia="zh-CN"/>
        </w:rPr>
        <w:t>为服务群众专项、村级办公、党组织活动</w:t>
      </w:r>
      <w:r>
        <w:rPr>
          <w:rFonts w:hint="eastAsia" w:ascii="仿宋_GB2312" w:hAnsi="仿宋_GB2312" w:eastAsia="仿宋_GB2312" w:cs="仿宋_GB2312"/>
          <w:sz w:val="32"/>
          <w:szCs w:val="32"/>
        </w:rPr>
        <w:t>经费”项目绩效自评得分为100分。全年预算数为</w:t>
      </w:r>
      <w:r>
        <w:rPr>
          <w:rFonts w:hint="eastAsia" w:ascii="仿宋_GB2312" w:hAnsi="仿宋_GB2312" w:eastAsia="仿宋_GB2312" w:cs="仿宋_GB2312"/>
          <w:sz w:val="32"/>
          <w:szCs w:val="32"/>
          <w:lang w:val="en-US" w:eastAsia="zh-CN"/>
        </w:rPr>
        <w:t>7.06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7.06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99.50</w:t>
      </w:r>
      <w:r>
        <w:rPr>
          <w:rFonts w:hint="eastAsia" w:ascii="仿宋_GB2312" w:hAnsi="仿宋_GB2312" w:eastAsia="仿宋_GB2312" w:cs="仿宋_GB2312"/>
          <w:sz w:val="32"/>
          <w:szCs w:val="32"/>
        </w:rPr>
        <w:t>%。项目绩效目标完成情况：一是保障了</w:t>
      </w:r>
      <w:r>
        <w:rPr>
          <w:rFonts w:hint="eastAsia" w:ascii="仿宋_GB2312" w:hAnsi="仿宋_GB2312" w:eastAsia="仿宋_GB2312" w:cs="仿宋_GB2312"/>
          <w:sz w:val="32"/>
          <w:szCs w:val="32"/>
          <w:lang w:val="en-US" w:eastAsia="zh-CN"/>
        </w:rPr>
        <w:t>乡</w:t>
      </w:r>
      <w:r>
        <w:rPr>
          <w:rFonts w:hint="eastAsia" w:ascii="仿宋_GB2312" w:hAnsi="仿宋_GB2312" w:eastAsia="仿宋_GB2312" w:cs="仿宋_GB2312"/>
          <w:sz w:val="32"/>
          <w:szCs w:val="32"/>
        </w:rPr>
        <w:t>级组织正常运转和党建提升；二是保障了</w:t>
      </w:r>
      <w:r>
        <w:rPr>
          <w:rFonts w:hint="eastAsia" w:ascii="仿宋_GB2312" w:hAnsi="仿宋_GB2312" w:eastAsia="仿宋_GB2312" w:cs="仿宋_GB2312"/>
          <w:sz w:val="32"/>
          <w:szCs w:val="32"/>
          <w:lang w:val="en-US" w:eastAsia="zh-CN"/>
        </w:rPr>
        <w:t>乡</w:t>
      </w:r>
      <w:r>
        <w:rPr>
          <w:rFonts w:hint="eastAsia" w:ascii="仿宋_GB2312" w:hAnsi="仿宋_GB2312" w:eastAsia="仿宋_GB2312" w:cs="仿宋_GB2312"/>
          <w:sz w:val="32"/>
          <w:szCs w:val="32"/>
        </w:rPr>
        <w:t>级工作顺利开展和正常运行。</w:t>
      </w:r>
    </w:p>
    <w:p>
      <w:pPr>
        <w:pStyle w:val="2"/>
        <w:rPr>
          <w:rFonts w:hint="eastAsia"/>
        </w:rPr>
      </w:pPr>
    </w:p>
    <w:p>
      <w:pPr>
        <w:adjustRightInd w:val="0"/>
        <w:snapToGrid w:val="0"/>
        <w:spacing w:line="58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具体统计表如下：</w:t>
      </w:r>
    </w:p>
    <w:tbl>
      <w:tblPr>
        <w:tblStyle w:val="6"/>
        <w:tblW w:w="9060" w:type="dxa"/>
        <w:tblInd w:w="93" w:type="dxa"/>
        <w:tblLayout w:type="fixed"/>
        <w:tblCellMar>
          <w:top w:w="0" w:type="dxa"/>
          <w:left w:w="108" w:type="dxa"/>
          <w:bottom w:w="0" w:type="dxa"/>
          <w:right w:w="108" w:type="dxa"/>
        </w:tblCellMar>
      </w:tblPr>
      <w:tblGrid>
        <w:gridCol w:w="781"/>
        <w:gridCol w:w="4272"/>
        <w:gridCol w:w="1225"/>
        <w:gridCol w:w="927"/>
        <w:gridCol w:w="927"/>
        <w:gridCol w:w="928"/>
      </w:tblGrid>
      <w:tr>
        <w:tblPrEx>
          <w:tblCellMar>
            <w:top w:w="0" w:type="dxa"/>
            <w:left w:w="108" w:type="dxa"/>
            <w:bottom w:w="0" w:type="dxa"/>
            <w:right w:w="108" w:type="dxa"/>
          </w:tblCellMar>
        </w:tblPrEx>
        <w:trPr>
          <w:trHeight w:val="645" w:hRule="atLeast"/>
        </w:trPr>
        <w:tc>
          <w:tcPr>
            <w:tcW w:w="781" w:type="dxa"/>
            <w:vMerge w:val="restart"/>
            <w:tcBorders>
              <w:top w:val="single" w:color="auto" w:sz="4" w:space="0"/>
              <w:left w:val="single" w:color="auto" w:sz="4" w:space="0"/>
              <w:right w:val="single" w:color="auto" w:sz="4" w:space="0"/>
            </w:tcBorders>
            <w:vAlign w:val="bottom"/>
          </w:tcPr>
          <w:p>
            <w:pPr>
              <w:keepNext w:val="0"/>
              <w:keepLines w:val="0"/>
              <w:widowControl/>
              <w:suppressLineNumbers w:val="0"/>
              <w:jc w:val="center"/>
              <w:textAlignment w:val="bottom"/>
              <w:rPr>
                <w:rFonts w:ascii="宋体" w:hAnsi="宋体" w:eastAsia="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序号</w:t>
            </w:r>
          </w:p>
        </w:tc>
        <w:tc>
          <w:tcPr>
            <w:tcW w:w="4272" w:type="dxa"/>
            <w:vMerge w:val="restart"/>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项目名称</w:t>
            </w:r>
          </w:p>
        </w:tc>
        <w:tc>
          <w:tcPr>
            <w:tcW w:w="1225" w:type="dxa"/>
            <w:vMerge w:val="restart"/>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资金数额（万元）</w:t>
            </w:r>
          </w:p>
        </w:tc>
        <w:tc>
          <w:tcPr>
            <w:tcW w:w="2782" w:type="dxa"/>
            <w:gridSpan w:val="3"/>
            <w:tcBorders>
              <w:top w:val="single" w:color="auto" w:sz="4" w:space="0"/>
              <w:left w:val="nil"/>
              <w:bottom w:val="single" w:color="auto" w:sz="4" w:space="0"/>
              <w:right w:val="single" w:color="auto" w:sz="4" w:space="0"/>
            </w:tcBorders>
            <w:vAlign w:val="bottom"/>
          </w:tcPr>
          <w:p>
            <w:pPr>
              <w:keepNext w:val="0"/>
              <w:keepLines w:val="0"/>
              <w:widowControl/>
              <w:suppressLineNumbers w:val="0"/>
              <w:jc w:val="center"/>
              <w:textAlignment w:val="bottom"/>
              <w:rPr>
                <w:rFonts w:asci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年底绩效目标实现情况</w:t>
            </w:r>
          </w:p>
        </w:tc>
      </w:tr>
      <w:tr>
        <w:tblPrEx>
          <w:tblCellMar>
            <w:top w:w="0" w:type="dxa"/>
            <w:left w:w="108" w:type="dxa"/>
            <w:bottom w:w="0" w:type="dxa"/>
            <w:right w:w="108" w:type="dxa"/>
          </w:tblCellMar>
        </w:tblPrEx>
        <w:trPr>
          <w:trHeight w:val="645" w:hRule="atLeast"/>
        </w:trPr>
        <w:tc>
          <w:tcPr>
            <w:tcW w:w="781" w:type="dxa"/>
            <w:vMerge w:val="continue"/>
            <w:tcBorders>
              <w:left w:val="single" w:color="auto" w:sz="4" w:space="0"/>
              <w:bottom w:val="single" w:color="auto" w:sz="4" w:space="0"/>
              <w:right w:val="single" w:color="auto" w:sz="4" w:space="0"/>
            </w:tcBorders>
            <w:vAlign w:val="bottom"/>
          </w:tcPr>
          <w:p>
            <w:pPr>
              <w:jc w:val="center"/>
              <w:rPr>
                <w:rFonts w:ascii="宋体" w:cs="宋体"/>
                <w:color w:val="000000"/>
                <w:kern w:val="0"/>
                <w:sz w:val="22"/>
              </w:rPr>
            </w:pPr>
          </w:p>
        </w:tc>
        <w:tc>
          <w:tcPr>
            <w:tcW w:w="4272" w:type="dxa"/>
            <w:vMerge w:val="continue"/>
            <w:tcBorders>
              <w:top w:val="single" w:color="auto" w:sz="4" w:space="0"/>
              <w:left w:val="single" w:color="auto" w:sz="4" w:space="0"/>
              <w:bottom w:val="single" w:color="auto" w:sz="4" w:space="0"/>
              <w:right w:val="single" w:color="auto" w:sz="4" w:space="0"/>
            </w:tcBorders>
            <w:vAlign w:val="bottom"/>
          </w:tcPr>
          <w:p>
            <w:pPr>
              <w:jc w:val="center"/>
              <w:rPr>
                <w:rFonts w:ascii="宋体" w:cs="宋体"/>
                <w:color w:val="000000"/>
                <w:kern w:val="0"/>
                <w:sz w:val="22"/>
              </w:rPr>
            </w:pPr>
          </w:p>
        </w:tc>
        <w:tc>
          <w:tcPr>
            <w:tcW w:w="1225" w:type="dxa"/>
            <w:vMerge w:val="continue"/>
            <w:tcBorders>
              <w:top w:val="single" w:color="auto" w:sz="4" w:space="0"/>
              <w:left w:val="single" w:color="auto" w:sz="4" w:space="0"/>
              <w:bottom w:val="single" w:color="auto" w:sz="4" w:space="0"/>
              <w:right w:val="single" w:color="auto" w:sz="4" w:space="0"/>
            </w:tcBorders>
            <w:vAlign w:val="bottom"/>
          </w:tcPr>
          <w:p>
            <w:pPr>
              <w:jc w:val="center"/>
              <w:rPr>
                <w:rFonts w:ascii="宋体" w:cs="宋体"/>
                <w:color w:val="000000"/>
                <w:kern w:val="0"/>
                <w:sz w:val="22"/>
              </w:rPr>
            </w:pPr>
          </w:p>
        </w:tc>
        <w:tc>
          <w:tcPr>
            <w:tcW w:w="927" w:type="dxa"/>
            <w:tcBorders>
              <w:top w:val="nil"/>
              <w:left w:val="nil"/>
              <w:bottom w:val="single" w:color="auto" w:sz="4" w:space="0"/>
              <w:right w:val="single" w:color="auto" w:sz="4" w:space="0"/>
            </w:tcBorders>
            <w:vAlign w:val="bottom"/>
          </w:tcPr>
          <w:p>
            <w:pPr>
              <w:keepNext w:val="0"/>
              <w:keepLines w:val="0"/>
              <w:widowControl/>
              <w:suppressLineNumbers w:val="0"/>
              <w:jc w:val="center"/>
              <w:textAlignment w:val="bottom"/>
              <w:rPr>
                <w:rFonts w:asci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能实现</w:t>
            </w:r>
          </w:p>
        </w:tc>
        <w:tc>
          <w:tcPr>
            <w:tcW w:w="927" w:type="dxa"/>
            <w:tcBorders>
              <w:top w:val="nil"/>
              <w:left w:val="nil"/>
              <w:bottom w:val="single" w:color="auto" w:sz="4" w:space="0"/>
              <w:right w:val="single" w:color="auto" w:sz="4" w:space="0"/>
            </w:tcBorders>
            <w:vAlign w:val="bottom"/>
          </w:tcPr>
          <w:p>
            <w:pPr>
              <w:keepNext w:val="0"/>
              <w:keepLines w:val="0"/>
              <w:widowControl/>
              <w:suppressLineNumbers w:val="0"/>
              <w:jc w:val="center"/>
              <w:textAlignment w:val="bottom"/>
              <w:rPr>
                <w:rFonts w:asci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不能完全实现</w:t>
            </w:r>
          </w:p>
        </w:tc>
        <w:tc>
          <w:tcPr>
            <w:tcW w:w="928" w:type="dxa"/>
            <w:tcBorders>
              <w:top w:val="nil"/>
              <w:left w:val="nil"/>
              <w:bottom w:val="single" w:color="auto" w:sz="4" w:space="0"/>
              <w:right w:val="single" w:color="auto" w:sz="4" w:space="0"/>
            </w:tcBorders>
            <w:vAlign w:val="bottom"/>
          </w:tcPr>
          <w:p>
            <w:pPr>
              <w:keepNext w:val="0"/>
              <w:keepLines w:val="0"/>
              <w:widowControl/>
              <w:suppressLineNumbers w:val="0"/>
              <w:jc w:val="center"/>
              <w:textAlignment w:val="bottom"/>
              <w:rPr>
                <w:rFonts w:asci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差距较大</w:t>
            </w: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eastAsia="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1</w:t>
            </w:r>
          </w:p>
        </w:tc>
        <w:tc>
          <w:tcPr>
            <w:tcW w:w="4272" w:type="dxa"/>
            <w:tcBorders>
              <w:top w:val="nil"/>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ascii="宋体" w:hAnsi="宋体" w:eastAsia="宋体" w:cs="Arial"/>
                <w:color w:val="000000"/>
                <w:kern w:val="0"/>
                <w:sz w:val="22"/>
              </w:rPr>
            </w:pPr>
            <w:r>
              <w:rPr>
                <w:rFonts w:hint="eastAsia" w:ascii="宋体" w:hAnsi="宋体" w:eastAsia="宋体" w:cs="宋体"/>
                <w:i w:val="0"/>
                <w:iCs w:val="0"/>
                <w:color w:val="000000"/>
                <w:kern w:val="0"/>
                <w:sz w:val="22"/>
                <w:szCs w:val="22"/>
                <w:u w:val="none"/>
                <w:lang w:val="en-US" w:eastAsia="zh-CN" w:bidi="ar"/>
              </w:rPr>
              <w:t>河道四乱清理经费</w:t>
            </w:r>
          </w:p>
        </w:tc>
        <w:tc>
          <w:tcPr>
            <w:tcW w:w="1225" w:type="dxa"/>
            <w:tcBorders>
              <w:top w:val="nil"/>
              <w:left w:val="nil"/>
              <w:bottom w:val="single" w:color="auto" w:sz="4" w:space="0"/>
              <w:right w:val="single" w:color="auto" w:sz="4" w:space="0"/>
            </w:tcBorders>
            <w:vAlign w:val="bottom"/>
          </w:tcPr>
          <w:p>
            <w:pPr>
              <w:keepNext w:val="0"/>
              <w:keepLines w:val="0"/>
              <w:widowControl/>
              <w:suppressLineNumbers w:val="0"/>
              <w:jc w:val="right"/>
              <w:textAlignment w:val="bottom"/>
              <w:rPr>
                <w:rFonts w:ascii="Arial" w:hAnsi="Arial" w:eastAsia="宋体" w:cs="Arial"/>
                <w:color w:val="000000"/>
                <w:kern w:val="0"/>
                <w:sz w:val="20"/>
                <w:szCs w:val="20"/>
              </w:rPr>
            </w:pPr>
            <w:r>
              <w:rPr>
                <w:rFonts w:hint="default" w:ascii="Arial" w:hAnsi="Arial" w:eastAsia="宋体" w:cs="Arial"/>
                <w:i w:val="0"/>
                <w:iCs w:val="0"/>
                <w:color w:val="000000"/>
                <w:kern w:val="0"/>
                <w:sz w:val="20"/>
                <w:szCs w:val="20"/>
                <w:u w:val="none"/>
                <w:lang w:val="en-US" w:eastAsia="zh-CN" w:bidi="ar"/>
              </w:rPr>
              <w:t xml:space="preserve">7.00 </w:t>
            </w:r>
          </w:p>
        </w:tc>
        <w:tc>
          <w:tcPr>
            <w:tcW w:w="927" w:type="dxa"/>
            <w:tcBorders>
              <w:top w:val="nil"/>
              <w:left w:val="nil"/>
              <w:bottom w:val="single" w:color="auto" w:sz="4" w:space="0"/>
              <w:right w:val="single" w:color="auto" w:sz="4" w:space="0"/>
            </w:tcBorders>
            <w:vAlign w:val="bottom"/>
          </w:tcPr>
          <w:p>
            <w:pPr>
              <w:keepNext w:val="0"/>
              <w:keepLines w:val="0"/>
              <w:widowControl/>
              <w:suppressLineNumbers w:val="0"/>
              <w:jc w:val="center"/>
              <w:textAlignment w:val="bottom"/>
              <w:rPr>
                <w:rFonts w:ascii="宋体" w:eastAsia="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nil"/>
              <w:left w:val="nil"/>
              <w:bottom w:val="single" w:color="auto" w:sz="4" w:space="0"/>
              <w:right w:val="single" w:color="auto" w:sz="4" w:space="0"/>
            </w:tcBorders>
            <w:vAlign w:val="bottom"/>
          </w:tcPr>
          <w:p>
            <w:pPr>
              <w:jc w:val="left"/>
              <w:rPr>
                <w:rFonts w:ascii="宋体" w:cs="宋体"/>
                <w:color w:val="000000"/>
                <w:kern w:val="0"/>
                <w:sz w:val="22"/>
              </w:rPr>
            </w:pPr>
          </w:p>
        </w:tc>
        <w:tc>
          <w:tcPr>
            <w:tcW w:w="928" w:type="dxa"/>
            <w:tcBorders>
              <w:top w:val="nil"/>
              <w:left w:val="nil"/>
              <w:bottom w:val="single" w:color="auto" w:sz="4" w:space="0"/>
              <w:right w:val="single" w:color="auto" w:sz="4" w:space="0"/>
            </w:tcBorders>
            <w:vAlign w:val="bottom"/>
          </w:tcPr>
          <w:p>
            <w:pPr>
              <w:jc w:val="left"/>
              <w:rPr>
                <w:rFonts w:asci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eastAsia="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2</w:t>
            </w:r>
          </w:p>
        </w:tc>
        <w:tc>
          <w:tcPr>
            <w:tcW w:w="4272" w:type="dxa"/>
            <w:tcBorders>
              <w:top w:val="nil"/>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修缮改造乡政府资金</w:t>
            </w:r>
          </w:p>
        </w:tc>
        <w:tc>
          <w:tcPr>
            <w:tcW w:w="1225" w:type="dxa"/>
            <w:tcBorders>
              <w:top w:val="nil"/>
              <w:left w:val="nil"/>
              <w:bottom w:val="single" w:color="auto" w:sz="4" w:space="0"/>
              <w:right w:val="single" w:color="auto" w:sz="4" w:space="0"/>
            </w:tcBorders>
            <w:vAlign w:val="bottom"/>
          </w:tcPr>
          <w:p>
            <w:pPr>
              <w:keepNext w:val="0"/>
              <w:keepLines w:val="0"/>
              <w:widowControl/>
              <w:suppressLineNumbers w:val="0"/>
              <w:jc w:val="right"/>
              <w:textAlignment w:val="bottom"/>
              <w:rPr>
                <w:rFonts w:ascii="Arial" w:hAnsi="Arial" w:cs="Arial"/>
                <w:color w:val="000000"/>
                <w:sz w:val="20"/>
                <w:szCs w:val="20"/>
              </w:rPr>
            </w:pPr>
            <w:r>
              <w:rPr>
                <w:rFonts w:hint="default" w:ascii="Arial" w:hAnsi="Arial" w:eastAsia="宋体" w:cs="Arial"/>
                <w:i w:val="0"/>
                <w:iCs w:val="0"/>
                <w:color w:val="000000"/>
                <w:kern w:val="0"/>
                <w:sz w:val="20"/>
                <w:szCs w:val="20"/>
                <w:u w:val="none"/>
                <w:lang w:val="en-US" w:eastAsia="zh-CN" w:bidi="ar"/>
              </w:rPr>
              <w:t>2.99</w:t>
            </w:r>
          </w:p>
        </w:tc>
        <w:tc>
          <w:tcPr>
            <w:tcW w:w="927" w:type="dxa"/>
            <w:tcBorders>
              <w:top w:val="nil"/>
              <w:left w:val="nil"/>
              <w:bottom w:val="single" w:color="auto" w:sz="4" w:space="0"/>
              <w:right w:val="single" w:color="auto" w:sz="4" w:space="0"/>
            </w:tcBorders>
            <w:vAlign w:val="bottom"/>
          </w:tcPr>
          <w:p>
            <w:pPr>
              <w:keepNext w:val="0"/>
              <w:keepLines w:val="0"/>
              <w:widowControl/>
              <w:suppressLineNumbers w:val="0"/>
              <w:jc w:val="center"/>
              <w:textAlignment w:val="bottom"/>
              <w:rPr>
                <w:rFonts w:ascii="宋体" w:eastAsia="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nil"/>
              <w:left w:val="nil"/>
              <w:bottom w:val="single" w:color="auto" w:sz="4" w:space="0"/>
              <w:right w:val="single" w:color="auto" w:sz="4" w:space="0"/>
            </w:tcBorders>
            <w:vAlign w:val="bottom"/>
          </w:tcPr>
          <w:p>
            <w:pPr>
              <w:jc w:val="left"/>
              <w:rPr>
                <w:rFonts w:ascii="宋体" w:cs="宋体"/>
                <w:color w:val="000000"/>
                <w:kern w:val="0"/>
                <w:sz w:val="22"/>
              </w:rPr>
            </w:pPr>
          </w:p>
        </w:tc>
        <w:tc>
          <w:tcPr>
            <w:tcW w:w="928" w:type="dxa"/>
            <w:tcBorders>
              <w:top w:val="nil"/>
              <w:left w:val="nil"/>
              <w:bottom w:val="single" w:color="auto" w:sz="4" w:space="0"/>
              <w:right w:val="single" w:color="auto" w:sz="4" w:space="0"/>
            </w:tcBorders>
            <w:vAlign w:val="bottom"/>
          </w:tcPr>
          <w:p>
            <w:pPr>
              <w:jc w:val="left"/>
              <w:rPr>
                <w:rFonts w:ascii="宋体" w:cs="宋体"/>
                <w:color w:val="000000"/>
                <w:kern w:val="0"/>
                <w:sz w:val="22"/>
              </w:rPr>
            </w:pPr>
          </w:p>
        </w:tc>
      </w:tr>
      <w:tr>
        <w:tblPrEx>
          <w:tblCellMar>
            <w:top w:w="0" w:type="dxa"/>
            <w:left w:w="108" w:type="dxa"/>
            <w:bottom w:w="0" w:type="dxa"/>
            <w:right w:w="108" w:type="dxa"/>
          </w:tblCellMar>
        </w:tblPrEx>
        <w:trPr>
          <w:trHeight w:val="414" w:hRule="atLeast"/>
        </w:trPr>
        <w:tc>
          <w:tcPr>
            <w:tcW w:w="781" w:type="dxa"/>
            <w:tcBorders>
              <w:top w:val="nil"/>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3</w:t>
            </w:r>
          </w:p>
        </w:tc>
        <w:tc>
          <w:tcPr>
            <w:tcW w:w="4272" w:type="dxa"/>
            <w:tcBorders>
              <w:top w:val="nil"/>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乡政府改善办公条件经费</w:t>
            </w:r>
          </w:p>
        </w:tc>
        <w:tc>
          <w:tcPr>
            <w:tcW w:w="1225" w:type="dxa"/>
            <w:tcBorders>
              <w:top w:val="nil"/>
              <w:left w:val="nil"/>
              <w:bottom w:val="single" w:color="auto" w:sz="4" w:space="0"/>
              <w:right w:val="single" w:color="auto" w:sz="4" w:space="0"/>
            </w:tcBorders>
            <w:vAlign w:val="bottom"/>
          </w:tcPr>
          <w:p>
            <w:pPr>
              <w:keepNext w:val="0"/>
              <w:keepLines w:val="0"/>
              <w:widowControl/>
              <w:suppressLineNumbers w:val="0"/>
              <w:jc w:val="right"/>
              <w:textAlignment w:val="bottom"/>
              <w:rPr>
                <w:rFonts w:hint="default" w:ascii="Arial" w:hAnsi="Arial" w:cs="Arial" w:eastAsiaTheme="minorEastAsia"/>
                <w:color w:val="000000"/>
                <w:sz w:val="20"/>
                <w:szCs w:val="20"/>
                <w:lang w:val="en-US" w:eastAsia="zh-CN"/>
              </w:rPr>
            </w:pPr>
            <w:r>
              <w:rPr>
                <w:rFonts w:hint="default" w:ascii="Arial" w:hAnsi="Arial" w:eastAsia="宋体" w:cs="Arial"/>
                <w:i w:val="0"/>
                <w:iCs w:val="0"/>
                <w:color w:val="000000"/>
                <w:kern w:val="0"/>
                <w:sz w:val="20"/>
                <w:szCs w:val="20"/>
                <w:u w:val="none"/>
                <w:lang w:val="en-US" w:eastAsia="zh-CN" w:bidi="ar"/>
              </w:rPr>
              <w:t>4.99</w:t>
            </w:r>
          </w:p>
        </w:tc>
        <w:tc>
          <w:tcPr>
            <w:tcW w:w="927" w:type="dxa"/>
            <w:tcBorders>
              <w:top w:val="nil"/>
              <w:left w:val="nil"/>
              <w:bottom w:val="single" w:color="auto" w:sz="4" w:space="0"/>
              <w:right w:val="single" w:color="auto" w:sz="4" w:space="0"/>
            </w:tcBorders>
            <w:vAlign w:val="bottom"/>
          </w:tcPr>
          <w:p>
            <w:pPr>
              <w:keepNext w:val="0"/>
              <w:keepLines w:val="0"/>
              <w:widowControl/>
              <w:suppressLineNumbers w:val="0"/>
              <w:jc w:val="center"/>
              <w:textAlignment w:val="bottom"/>
              <w:rPr>
                <w:rFonts w:asci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nil"/>
              <w:left w:val="nil"/>
              <w:bottom w:val="single" w:color="auto" w:sz="4" w:space="0"/>
              <w:right w:val="single" w:color="auto" w:sz="4" w:space="0"/>
            </w:tcBorders>
            <w:vAlign w:val="bottom"/>
          </w:tcPr>
          <w:p>
            <w:pPr>
              <w:jc w:val="left"/>
              <w:rPr>
                <w:rFonts w:ascii="宋体" w:cs="宋体"/>
                <w:color w:val="FF0000"/>
                <w:kern w:val="0"/>
                <w:sz w:val="22"/>
              </w:rPr>
            </w:pPr>
          </w:p>
        </w:tc>
        <w:tc>
          <w:tcPr>
            <w:tcW w:w="928" w:type="dxa"/>
            <w:tcBorders>
              <w:top w:val="nil"/>
              <w:left w:val="nil"/>
              <w:bottom w:val="single" w:color="auto" w:sz="4" w:space="0"/>
              <w:right w:val="single" w:color="auto" w:sz="4" w:space="0"/>
            </w:tcBorders>
            <w:vAlign w:val="bottom"/>
          </w:tcPr>
          <w:p>
            <w:pPr>
              <w:jc w:val="left"/>
              <w:rPr>
                <w:rFonts w:asci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4</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维稳经费</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ascii="Arial" w:hAnsi="Arial" w:cs="Arial"/>
                <w:color w:val="000000"/>
                <w:sz w:val="20"/>
                <w:szCs w:val="20"/>
              </w:rPr>
            </w:pPr>
            <w:r>
              <w:rPr>
                <w:rFonts w:hint="default" w:ascii="Arial" w:hAnsi="Arial" w:eastAsia="宋体" w:cs="Arial"/>
                <w:i w:val="0"/>
                <w:iCs w:val="0"/>
                <w:color w:val="000000"/>
                <w:kern w:val="0"/>
                <w:sz w:val="20"/>
                <w:szCs w:val="20"/>
                <w:u w:val="none"/>
                <w:lang w:val="en-US" w:eastAsia="zh-CN" w:bidi="ar"/>
              </w:rPr>
              <w:t>3</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5</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维稳经费</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ascii="Arial" w:hAnsi="Arial" w:cs="Arial"/>
                <w:color w:val="000000"/>
                <w:sz w:val="20"/>
                <w:szCs w:val="20"/>
              </w:rPr>
            </w:pPr>
            <w:r>
              <w:rPr>
                <w:rFonts w:hint="default" w:ascii="Arial" w:hAnsi="Arial" w:eastAsia="宋体" w:cs="Arial"/>
                <w:i w:val="0"/>
                <w:iCs w:val="0"/>
                <w:color w:val="000000"/>
                <w:kern w:val="0"/>
                <w:sz w:val="20"/>
                <w:szCs w:val="20"/>
                <w:u w:val="none"/>
                <w:lang w:val="en-US" w:eastAsia="zh-CN" w:bidi="ar"/>
              </w:rPr>
              <w:t>2.95</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6</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维稳经费</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ascii="Arial" w:hAnsi="Arial" w:cs="Arial"/>
                <w:color w:val="000000"/>
                <w:sz w:val="20"/>
                <w:szCs w:val="20"/>
              </w:rPr>
            </w:pPr>
            <w:r>
              <w:rPr>
                <w:rFonts w:hint="default" w:ascii="Arial" w:hAnsi="Arial" w:eastAsia="宋体" w:cs="Arial"/>
                <w:i w:val="0"/>
                <w:iCs w:val="0"/>
                <w:color w:val="000000"/>
                <w:kern w:val="0"/>
                <w:sz w:val="20"/>
                <w:szCs w:val="20"/>
                <w:u w:val="none"/>
                <w:lang w:val="en-US" w:eastAsia="zh-CN" w:bidi="ar"/>
              </w:rPr>
              <w:t>2.23</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 xml:space="preserve"> √</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left"/>
              <w:textAlignment w:val="bottom"/>
              <w:rPr>
                <w:rFonts w:ascii="宋体" w:hAnsi="宋体" w:eastAsia="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 xml:space="preserve">    </w:t>
            </w: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7</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果品收购期疏导交通经费</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ascii="Arial" w:hAnsi="Arial" w:cs="Arial"/>
                <w:color w:val="000000"/>
                <w:sz w:val="20"/>
                <w:szCs w:val="20"/>
              </w:rPr>
            </w:pPr>
            <w:r>
              <w:rPr>
                <w:rFonts w:hint="default" w:ascii="Arial" w:hAnsi="Arial" w:eastAsia="宋体" w:cs="Arial"/>
                <w:i w:val="0"/>
                <w:iCs w:val="0"/>
                <w:color w:val="000000"/>
                <w:kern w:val="0"/>
                <w:sz w:val="20"/>
                <w:szCs w:val="20"/>
                <w:u w:val="none"/>
                <w:lang w:val="en-US" w:eastAsia="zh-CN" w:bidi="ar"/>
              </w:rPr>
              <w:t>3</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kern w:val="0"/>
                <w:sz w:val="22"/>
              </w:rPr>
            </w:pPr>
            <w:r>
              <w:rPr>
                <w:rFonts w:hint="eastAsia" w:ascii="宋体" w:hAnsi="宋体" w:eastAsia="宋体" w:cs="宋体"/>
                <w:i w:val="0"/>
                <w:iCs w:val="0"/>
                <w:color w:val="000000"/>
                <w:kern w:val="0"/>
                <w:sz w:val="22"/>
                <w:szCs w:val="22"/>
                <w:u w:val="none"/>
                <w:lang w:val="en-US" w:eastAsia="zh-CN" w:bidi="ar"/>
              </w:rPr>
              <w:t>8</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红色遗址维护费</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hint="default" w:ascii="Arial" w:hAnsi="Arial" w:cs="Arial" w:eastAsiaTheme="minorEastAsia"/>
                <w:color w:val="000000"/>
                <w:sz w:val="20"/>
                <w:szCs w:val="20"/>
                <w:lang w:val="en-US" w:eastAsia="zh-CN"/>
              </w:rPr>
            </w:pPr>
            <w:r>
              <w:rPr>
                <w:rFonts w:hint="default" w:ascii="Arial" w:hAnsi="Arial" w:eastAsia="宋体" w:cs="Arial"/>
                <w:i w:val="0"/>
                <w:iCs w:val="0"/>
                <w:color w:val="000000"/>
                <w:kern w:val="0"/>
                <w:sz w:val="20"/>
                <w:szCs w:val="20"/>
                <w:u w:val="none"/>
                <w:lang w:val="en-US" w:eastAsia="zh-CN" w:bidi="ar"/>
              </w:rPr>
              <w:t>6</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kern w:val="0"/>
                <w:sz w:val="22"/>
              </w:rPr>
            </w:pPr>
            <w:r>
              <w:rPr>
                <w:rFonts w:hint="eastAsia" w:ascii="宋体" w:hAnsi="宋体" w:eastAsia="宋体" w:cs="宋体"/>
                <w:i w:val="0"/>
                <w:iCs w:val="0"/>
                <w:color w:val="000000"/>
                <w:kern w:val="0"/>
                <w:sz w:val="22"/>
                <w:szCs w:val="22"/>
                <w:u w:val="none"/>
                <w:lang w:val="en-US" w:eastAsia="zh-CN" w:bidi="ar"/>
              </w:rPr>
              <w:t xml:space="preserve"> √</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left"/>
              <w:textAlignment w:val="bottom"/>
              <w:rPr>
                <w:rFonts w:ascii="宋体" w:hAnsi="宋体" w:eastAsia="宋体" w:cs="宋体"/>
                <w:kern w:val="0"/>
                <w:sz w:val="22"/>
              </w:rPr>
            </w:pPr>
            <w:r>
              <w:rPr>
                <w:rFonts w:hint="eastAsia" w:ascii="宋体" w:hAnsi="宋体" w:eastAsia="宋体" w:cs="宋体"/>
                <w:i w:val="0"/>
                <w:iCs w:val="0"/>
                <w:color w:val="000000"/>
                <w:kern w:val="0"/>
                <w:sz w:val="22"/>
                <w:szCs w:val="22"/>
                <w:u w:val="none"/>
                <w:lang w:val="en-US" w:eastAsia="zh-CN" w:bidi="ar"/>
              </w:rPr>
              <w:t xml:space="preserve">    </w:t>
            </w:r>
          </w:p>
        </w:tc>
        <w:tc>
          <w:tcPr>
            <w:tcW w:w="928"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left"/>
              <w:textAlignment w:val="bottom"/>
              <w:rPr>
                <w:rFonts w:ascii="宋体" w:hAnsi="宋体" w:eastAsia="宋体" w:cs="宋体"/>
                <w:kern w:val="0"/>
                <w:sz w:val="22"/>
              </w:rPr>
            </w:pPr>
            <w:r>
              <w:rPr>
                <w:rFonts w:hint="eastAsia" w:ascii="宋体" w:hAnsi="宋体" w:eastAsia="宋体" w:cs="宋体"/>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kern w:val="0"/>
                <w:sz w:val="22"/>
              </w:rPr>
            </w:pPr>
            <w:r>
              <w:rPr>
                <w:rFonts w:hint="eastAsia" w:ascii="宋体" w:hAnsi="宋体" w:eastAsia="宋体" w:cs="宋体"/>
                <w:i w:val="0"/>
                <w:iCs w:val="0"/>
                <w:color w:val="000000"/>
                <w:kern w:val="0"/>
                <w:sz w:val="22"/>
                <w:szCs w:val="22"/>
                <w:u w:val="none"/>
                <w:lang w:val="en-US" w:eastAsia="zh-CN" w:bidi="ar"/>
              </w:rPr>
              <w:t>9</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农村文化建设资金</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hint="default" w:ascii="Arial" w:hAnsi="Arial" w:cs="Arial" w:eastAsiaTheme="minorEastAsia"/>
                <w:color w:val="000000"/>
                <w:sz w:val="20"/>
                <w:szCs w:val="20"/>
                <w:lang w:val="en-US" w:eastAsia="zh-CN"/>
              </w:rPr>
            </w:pPr>
            <w:r>
              <w:rPr>
                <w:rFonts w:hint="default" w:ascii="Arial" w:hAnsi="Arial" w:eastAsia="宋体" w:cs="Arial"/>
                <w:i w:val="0"/>
                <w:iCs w:val="0"/>
                <w:color w:val="000000"/>
                <w:kern w:val="0"/>
                <w:sz w:val="20"/>
                <w:szCs w:val="20"/>
                <w:u w:val="none"/>
                <w:lang w:val="en-US" w:eastAsia="zh-CN" w:bidi="ar"/>
              </w:rPr>
              <w:t>4.49</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kern w:val="0"/>
                <w:sz w:val="22"/>
              </w:rPr>
            </w:pPr>
            <w:r>
              <w:rPr>
                <w:rFonts w:hint="eastAsia" w:ascii="宋体" w:hAnsi="宋体" w:eastAsia="宋体" w:cs="宋体"/>
                <w:i w:val="0"/>
                <w:iCs w:val="0"/>
                <w:color w:val="000000"/>
                <w:kern w:val="0"/>
                <w:sz w:val="22"/>
                <w:szCs w:val="22"/>
                <w:u w:val="none"/>
                <w:lang w:val="en-US" w:eastAsia="zh-CN" w:bidi="ar"/>
              </w:rPr>
              <w:t xml:space="preserve"> √</w:t>
            </w:r>
          </w:p>
        </w:tc>
        <w:tc>
          <w:tcPr>
            <w:tcW w:w="927"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10</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刘家台乡防控经费</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ascii="Arial" w:hAnsi="Arial" w:cs="Arial"/>
                <w:color w:val="000000"/>
                <w:sz w:val="20"/>
                <w:szCs w:val="20"/>
              </w:rPr>
            </w:pPr>
            <w:r>
              <w:rPr>
                <w:rFonts w:hint="default" w:ascii="Arial" w:hAnsi="Arial" w:eastAsia="宋体" w:cs="Arial"/>
                <w:i w:val="0"/>
                <w:iCs w:val="0"/>
                <w:color w:val="000000"/>
                <w:kern w:val="0"/>
                <w:sz w:val="20"/>
                <w:szCs w:val="20"/>
                <w:u w:val="none"/>
                <w:lang w:val="en-US" w:eastAsia="zh-CN" w:bidi="ar"/>
              </w:rPr>
              <w:t>10</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11</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九年一贯制寄宿学校租地款</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ascii="Arial" w:hAnsi="Arial" w:cs="Arial"/>
                <w:color w:val="000000"/>
                <w:sz w:val="20"/>
                <w:szCs w:val="20"/>
              </w:rPr>
            </w:pPr>
            <w:r>
              <w:rPr>
                <w:rFonts w:hint="default" w:ascii="Arial" w:hAnsi="Arial" w:eastAsia="宋体" w:cs="Arial"/>
                <w:i w:val="0"/>
                <w:iCs w:val="0"/>
                <w:color w:val="000000"/>
                <w:kern w:val="0"/>
                <w:sz w:val="20"/>
                <w:szCs w:val="20"/>
                <w:u w:val="none"/>
                <w:lang w:val="en-US" w:eastAsia="zh-CN" w:bidi="ar"/>
              </w:rPr>
              <w:t>6</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12</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2019年中央农村综合改革转移支付资金保财农改[2019]4号</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ascii="Arial" w:hAnsi="Arial" w:cs="Arial"/>
                <w:color w:val="000000"/>
                <w:sz w:val="20"/>
                <w:szCs w:val="20"/>
              </w:rPr>
            </w:pPr>
            <w:r>
              <w:rPr>
                <w:rFonts w:hint="default" w:ascii="Arial" w:hAnsi="Arial" w:eastAsia="宋体" w:cs="Arial"/>
                <w:i w:val="0"/>
                <w:iCs w:val="0"/>
                <w:color w:val="000000"/>
                <w:kern w:val="0"/>
                <w:sz w:val="20"/>
                <w:szCs w:val="20"/>
                <w:u w:val="none"/>
                <w:lang w:val="en-US" w:eastAsia="zh-CN" w:bidi="ar"/>
              </w:rPr>
              <w:t>24.24</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宋体" w:hAnsi="宋体" w:cs="宋体" w:eastAsiaTheme="minorEastAsia"/>
                <w:color w:val="000000"/>
                <w:kern w:val="0"/>
                <w:sz w:val="22"/>
                <w:lang w:val="en-US" w:eastAsia="zh-CN"/>
              </w:rPr>
            </w:pPr>
            <w:r>
              <w:rPr>
                <w:rFonts w:hint="eastAsia" w:ascii="宋体" w:hAnsi="宋体" w:eastAsia="宋体" w:cs="宋体"/>
                <w:i w:val="0"/>
                <w:iCs w:val="0"/>
                <w:color w:val="000000"/>
                <w:kern w:val="0"/>
                <w:sz w:val="22"/>
                <w:szCs w:val="22"/>
                <w:u w:val="none"/>
                <w:lang w:val="en-US" w:eastAsia="zh-CN" w:bidi="ar"/>
              </w:rPr>
              <w:t>13</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农村综合改革一事一议资金</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hint="default" w:ascii="Arial" w:hAnsi="Arial" w:cs="Arial" w:eastAsiaTheme="minorEastAsia"/>
                <w:color w:val="000000"/>
                <w:sz w:val="20"/>
                <w:szCs w:val="20"/>
                <w:lang w:val="en-US" w:eastAsia="zh-CN"/>
              </w:rPr>
            </w:pPr>
            <w:r>
              <w:rPr>
                <w:rFonts w:hint="default" w:ascii="Arial" w:hAnsi="Arial" w:eastAsia="宋体" w:cs="Arial"/>
                <w:i w:val="0"/>
                <w:iCs w:val="0"/>
                <w:color w:val="000000"/>
                <w:kern w:val="0"/>
                <w:sz w:val="20"/>
                <w:szCs w:val="20"/>
                <w:u w:val="none"/>
                <w:lang w:val="en-US" w:eastAsia="zh-CN" w:bidi="ar"/>
              </w:rPr>
              <w:t>10</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eastAsia" w:ascii="宋体" w:hAnsi="宋体" w:cs="宋体"/>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center"/>
              <w:rPr>
                <w:rFonts w:hint="eastAsia" w:ascii="宋体" w:hAnsi="宋体" w:cs="宋体"/>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宋体" w:hAnsi="宋体" w:cs="宋体" w:eastAsiaTheme="minorEastAsia"/>
                <w:color w:val="000000"/>
                <w:kern w:val="0"/>
                <w:sz w:val="22"/>
                <w:lang w:val="en-US" w:eastAsia="zh-CN"/>
              </w:rPr>
            </w:pPr>
            <w:r>
              <w:rPr>
                <w:rFonts w:hint="eastAsia" w:ascii="宋体" w:hAnsi="宋体" w:eastAsia="宋体" w:cs="宋体"/>
                <w:i w:val="0"/>
                <w:iCs w:val="0"/>
                <w:color w:val="000000"/>
                <w:kern w:val="0"/>
                <w:sz w:val="22"/>
                <w:szCs w:val="22"/>
                <w:u w:val="none"/>
                <w:lang w:val="en-US" w:eastAsia="zh-CN" w:bidi="ar"/>
              </w:rPr>
              <w:t>14</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村干部基础职务补贴</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hint="default" w:ascii="Arial" w:hAnsi="Arial" w:cs="Arial" w:eastAsiaTheme="minorEastAsia"/>
                <w:color w:val="000000"/>
                <w:sz w:val="20"/>
                <w:szCs w:val="20"/>
                <w:lang w:val="en-US" w:eastAsia="zh-CN"/>
              </w:rPr>
            </w:pPr>
            <w:r>
              <w:rPr>
                <w:rFonts w:hint="default" w:ascii="Arial" w:hAnsi="Arial" w:eastAsia="宋体" w:cs="Arial"/>
                <w:i w:val="0"/>
                <w:iCs w:val="0"/>
                <w:color w:val="000000"/>
                <w:kern w:val="0"/>
                <w:sz w:val="20"/>
                <w:szCs w:val="20"/>
                <w:u w:val="none"/>
                <w:lang w:val="en-US" w:eastAsia="zh-CN" w:bidi="ar"/>
              </w:rPr>
              <w:t>66.5</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eastAsia" w:ascii="宋体" w:hAnsi="宋体" w:cs="宋体"/>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center"/>
              <w:rPr>
                <w:rFonts w:hint="eastAsia" w:ascii="宋体" w:hAnsi="宋体" w:cs="宋体"/>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宋体" w:hAnsi="宋体" w:cs="宋体" w:eastAsiaTheme="minorEastAsia"/>
                <w:color w:val="000000"/>
                <w:kern w:val="0"/>
                <w:sz w:val="22"/>
                <w:lang w:val="en-US" w:eastAsia="zh-CN"/>
              </w:rPr>
            </w:pPr>
            <w:r>
              <w:rPr>
                <w:rFonts w:hint="eastAsia" w:ascii="宋体" w:hAnsi="宋体" w:eastAsia="宋体" w:cs="宋体"/>
                <w:i w:val="0"/>
                <w:iCs w:val="0"/>
                <w:color w:val="000000"/>
                <w:kern w:val="0"/>
                <w:sz w:val="22"/>
                <w:szCs w:val="22"/>
                <w:u w:val="none"/>
                <w:lang w:val="en-US" w:eastAsia="zh-CN" w:bidi="ar"/>
              </w:rPr>
              <w:t>15</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村干部保险</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hint="default" w:ascii="Arial" w:hAnsi="Arial" w:cs="Arial" w:eastAsiaTheme="minorEastAsia"/>
                <w:color w:val="000000"/>
                <w:sz w:val="20"/>
                <w:szCs w:val="20"/>
                <w:lang w:val="en-US" w:eastAsia="zh-CN"/>
              </w:rPr>
            </w:pPr>
            <w:r>
              <w:rPr>
                <w:rFonts w:hint="default" w:ascii="Arial" w:hAnsi="Arial" w:eastAsia="宋体" w:cs="Arial"/>
                <w:i w:val="0"/>
                <w:iCs w:val="0"/>
                <w:color w:val="000000"/>
                <w:kern w:val="0"/>
                <w:sz w:val="20"/>
                <w:szCs w:val="20"/>
                <w:u w:val="none"/>
                <w:lang w:val="en-US" w:eastAsia="zh-CN" w:bidi="ar"/>
              </w:rPr>
              <w:t>2.76</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eastAsia" w:ascii="宋体" w:hAnsi="宋体" w:cs="宋体"/>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center"/>
              <w:rPr>
                <w:rFonts w:hint="eastAsia" w:ascii="宋体" w:hAnsi="宋体" w:cs="宋体"/>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eastAsia" w:ascii="宋体" w:hAnsi="宋体" w:cs="宋体" w:eastAsiaTheme="minorEastAsia"/>
                <w:color w:val="000000"/>
                <w:kern w:val="0"/>
                <w:sz w:val="22"/>
                <w:lang w:val="en-US" w:eastAsia="zh-CN"/>
              </w:rPr>
            </w:pPr>
            <w:r>
              <w:rPr>
                <w:rFonts w:hint="eastAsia" w:ascii="宋体" w:hAnsi="宋体" w:eastAsia="宋体" w:cs="宋体"/>
                <w:i w:val="0"/>
                <w:iCs w:val="0"/>
                <w:color w:val="000000"/>
                <w:kern w:val="0"/>
                <w:sz w:val="22"/>
                <w:szCs w:val="22"/>
                <w:u w:val="none"/>
                <w:lang w:val="en-US" w:eastAsia="zh-CN" w:bidi="ar"/>
              </w:rPr>
              <w:t>16</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2020年7-9月份区财政局农村“两委”干部补贴资金</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ascii="Arial" w:hAnsi="Arial" w:cs="Arial"/>
                <w:color w:val="000000"/>
                <w:sz w:val="20"/>
                <w:szCs w:val="20"/>
              </w:rPr>
            </w:pPr>
            <w:r>
              <w:rPr>
                <w:rFonts w:hint="default" w:ascii="Arial" w:hAnsi="Arial" w:eastAsia="宋体" w:cs="Arial"/>
                <w:i w:val="0"/>
                <w:iCs w:val="0"/>
                <w:color w:val="000000"/>
                <w:kern w:val="0"/>
                <w:sz w:val="20"/>
                <w:szCs w:val="20"/>
                <w:u w:val="none"/>
                <w:lang w:val="en-US" w:eastAsia="zh-CN" w:bidi="ar"/>
              </w:rPr>
              <w:t>20.68</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color w:val="000000"/>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center"/>
              <w:rPr>
                <w:rFonts w:ascii="宋体" w:hAnsi="宋体" w:cs="宋体"/>
                <w:color w:val="000000"/>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宋体" w:hAnsi="宋体" w:cs="宋体" w:eastAsiaTheme="minorEastAsia"/>
                <w:kern w:val="0"/>
                <w:sz w:val="22"/>
                <w:lang w:val="en-US" w:eastAsia="zh-CN"/>
              </w:rPr>
            </w:pPr>
            <w:r>
              <w:rPr>
                <w:rFonts w:hint="eastAsia" w:ascii="宋体" w:hAnsi="宋体" w:eastAsia="宋体" w:cs="宋体"/>
                <w:i w:val="0"/>
                <w:iCs w:val="0"/>
                <w:color w:val="000000"/>
                <w:kern w:val="0"/>
                <w:sz w:val="22"/>
                <w:szCs w:val="22"/>
                <w:u w:val="none"/>
                <w:lang w:val="en-US" w:eastAsia="zh-CN" w:bidi="ar"/>
              </w:rPr>
              <w:t>17</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正常离任村干部生活补贴</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hint="default" w:ascii="Arial" w:hAnsi="Arial" w:cs="Arial"/>
                <w:color w:val="000000"/>
                <w:sz w:val="20"/>
                <w:szCs w:val="20"/>
                <w:lang w:val="en-US" w:eastAsia="zh-CN"/>
              </w:rPr>
            </w:pPr>
            <w:r>
              <w:rPr>
                <w:rFonts w:hint="eastAsia" w:ascii="Arial" w:hAnsi="Arial" w:eastAsia="宋体" w:cs="Arial"/>
                <w:i w:val="0"/>
                <w:iCs w:val="0"/>
                <w:color w:val="000000"/>
                <w:kern w:val="0"/>
                <w:sz w:val="20"/>
                <w:szCs w:val="20"/>
                <w:u w:val="none"/>
                <w:lang w:val="en-US" w:eastAsia="zh-CN" w:bidi="ar"/>
              </w:rPr>
              <w:t>3.38</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eastAsia" w:ascii="宋体" w:hAnsi="宋体" w:cs="宋体"/>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left"/>
              <w:rPr>
                <w:rFonts w:hint="eastAsia" w:ascii="宋体" w:hAnsi="宋体" w:cs="宋体"/>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宋体" w:hAnsi="宋体" w:cs="宋体" w:eastAsiaTheme="minorEastAsia"/>
                <w:kern w:val="0"/>
                <w:sz w:val="22"/>
                <w:lang w:val="en-US" w:eastAsia="zh-CN"/>
              </w:rPr>
            </w:pPr>
            <w:r>
              <w:rPr>
                <w:rFonts w:hint="eastAsia" w:ascii="宋体" w:hAnsi="宋体" w:eastAsia="宋体" w:cs="宋体"/>
                <w:i w:val="0"/>
                <w:iCs w:val="0"/>
                <w:color w:val="000000"/>
                <w:kern w:val="0"/>
                <w:sz w:val="22"/>
                <w:szCs w:val="22"/>
                <w:u w:val="none"/>
                <w:lang w:val="en-US" w:eastAsia="zh-CN" w:bidi="ar"/>
              </w:rPr>
              <w:t>18</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增加2019年度村级组织运转经费</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hint="eastAsia" w:ascii="Arial" w:hAnsi="Arial" w:cs="Arial"/>
                <w:color w:val="000000"/>
                <w:sz w:val="20"/>
                <w:szCs w:val="20"/>
                <w:lang w:val="en-US" w:eastAsia="zh-CN"/>
              </w:rPr>
            </w:pPr>
            <w:r>
              <w:rPr>
                <w:rFonts w:hint="default" w:ascii="Arial" w:hAnsi="Arial" w:eastAsia="宋体" w:cs="Arial"/>
                <w:i w:val="0"/>
                <w:iCs w:val="0"/>
                <w:color w:val="000000"/>
                <w:kern w:val="0"/>
                <w:sz w:val="20"/>
                <w:szCs w:val="20"/>
                <w:u w:val="none"/>
                <w:lang w:val="en-US" w:eastAsia="zh-CN" w:bidi="ar"/>
              </w:rPr>
              <w:t>15</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eastAsia" w:ascii="宋体" w:hAnsi="宋体" w:cs="宋体"/>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left"/>
              <w:rPr>
                <w:rFonts w:hint="eastAsia" w:ascii="宋体" w:hAnsi="宋体" w:cs="宋体"/>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宋体" w:hAnsi="宋体" w:cs="宋体" w:eastAsiaTheme="minorEastAsia"/>
                <w:kern w:val="0"/>
                <w:sz w:val="22"/>
                <w:lang w:val="en-US" w:eastAsia="zh-CN"/>
              </w:rPr>
            </w:pPr>
            <w:r>
              <w:rPr>
                <w:rFonts w:hint="eastAsia" w:ascii="宋体" w:hAnsi="宋体" w:eastAsia="宋体" w:cs="宋体"/>
                <w:i w:val="0"/>
                <w:iCs w:val="0"/>
                <w:color w:val="000000"/>
                <w:kern w:val="0"/>
                <w:sz w:val="22"/>
                <w:szCs w:val="22"/>
                <w:u w:val="none"/>
                <w:lang w:val="en-US" w:eastAsia="zh-CN" w:bidi="ar"/>
              </w:rPr>
              <w:t>19</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增加2020年度上半年村级组织运转经费</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hint="default" w:ascii="Arial" w:hAnsi="Arial" w:cs="Arial" w:eastAsiaTheme="minorEastAsia"/>
                <w:color w:val="000000"/>
                <w:sz w:val="20"/>
                <w:szCs w:val="20"/>
                <w:lang w:val="en-US" w:eastAsia="zh-CN"/>
              </w:rPr>
            </w:pPr>
            <w:r>
              <w:rPr>
                <w:rFonts w:hint="default" w:ascii="Arial" w:hAnsi="Arial" w:eastAsia="宋体" w:cs="Arial"/>
                <w:i w:val="0"/>
                <w:iCs w:val="0"/>
                <w:color w:val="000000"/>
                <w:kern w:val="0"/>
                <w:sz w:val="20"/>
                <w:szCs w:val="20"/>
                <w:u w:val="none"/>
                <w:lang w:val="en-US" w:eastAsia="zh-CN" w:bidi="ar"/>
              </w:rPr>
              <w:t>7.7</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ascii="宋体" w:hAnsi="宋体" w:cs="宋体"/>
                <w:kern w:val="0"/>
                <w:sz w:val="22"/>
              </w:rPr>
            </w:pPr>
            <w:r>
              <w:rPr>
                <w:rFonts w:hint="eastAsia" w:ascii="宋体" w:hAnsi="宋体" w:eastAsia="宋体" w:cs="宋体"/>
                <w:i w:val="0"/>
                <w:iCs w:val="0"/>
                <w:color w:val="000000"/>
                <w:kern w:val="0"/>
                <w:sz w:val="22"/>
                <w:szCs w:val="22"/>
                <w:u w:val="none"/>
                <w:lang w:val="en-US" w:eastAsia="zh-CN" w:bidi="ar"/>
              </w:rPr>
              <w:t xml:space="preserve"> √</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left"/>
              <w:textAlignment w:val="bottom"/>
              <w:rPr>
                <w:rFonts w:ascii="宋体" w:hAnsi="宋体" w:eastAsia="宋体" w:cs="宋体"/>
                <w:kern w:val="0"/>
                <w:sz w:val="22"/>
              </w:rPr>
            </w:pPr>
            <w:r>
              <w:rPr>
                <w:rFonts w:hint="eastAsia" w:ascii="宋体" w:hAnsi="宋体" w:eastAsia="宋体" w:cs="宋体"/>
                <w:i w:val="0"/>
                <w:iCs w:val="0"/>
                <w:color w:val="000000"/>
                <w:kern w:val="0"/>
                <w:sz w:val="22"/>
                <w:szCs w:val="22"/>
                <w:u w:val="none"/>
                <w:lang w:val="en-US" w:eastAsia="zh-CN" w:bidi="ar"/>
              </w:rPr>
              <w:t xml:space="preserve">    </w:t>
            </w: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宋体" w:hAnsi="宋体" w:cs="宋体" w:eastAsiaTheme="minorEastAsia"/>
                <w:kern w:val="0"/>
                <w:sz w:val="22"/>
                <w:lang w:val="en-US" w:eastAsia="zh-CN"/>
              </w:rPr>
            </w:pPr>
            <w:r>
              <w:rPr>
                <w:rFonts w:hint="eastAsia" w:ascii="宋体" w:hAnsi="宋体" w:eastAsia="宋体" w:cs="宋体"/>
                <w:i w:val="0"/>
                <w:iCs w:val="0"/>
                <w:color w:val="000000"/>
                <w:kern w:val="0"/>
                <w:sz w:val="22"/>
                <w:szCs w:val="22"/>
                <w:u w:val="none"/>
                <w:lang w:val="en-US" w:eastAsia="zh-CN" w:bidi="ar"/>
              </w:rPr>
              <w:t>20</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基层组织运转经费和党建提升经费</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hint="default" w:ascii="Arial" w:hAnsi="Arial" w:cs="Arial" w:eastAsiaTheme="minorEastAsia"/>
                <w:color w:val="000000"/>
                <w:sz w:val="20"/>
                <w:szCs w:val="20"/>
                <w:lang w:val="en-US" w:eastAsia="zh-CN"/>
              </w:rPr>
            </w:pPr>
            <w:r>
              <w:rPr>
                <w:rFonts w:hint="default" w:ascii="Arial" w:hAnsi="Arial" w:eastAsia="宋体" w:cs="Arial"/>
                <w:i w:val="0"/>
                <w:iCs w:val="0"/>
                <w:color w:val="000000"/>
                <w:kern w:val="0"/>
                <w:sz w:val="20"/>
                <w:szCs w:val="20"/>
                <w:u w:val="none"/>
                <w:lang w:val="en-US" w:eastAsia="zh-CN" w:bidi="ar"/>
              </w:rPr>
              <w:t>2.</w:t>
            </w:r>
            <w:r>
              <w:rPr>
                <w:rFonts w:hint="eastAsia" w:ascii="Arial" w:hAnsi="Arial" w:eastAsia="宋体" w:cs="Arial"/>
                <w:i w:val="0"/>
                <w:iCs w:val="0"/>
                <w:color w:val="000000"/>
                <w:kern w:val="0"/>
                <w:sz w:val="20"/>
                <w:szCs w:val="20"/>
                <w:u w:val="none"/>
                <w:lang w:val="en-US" w:eastAsia="zh-CN" w:bidi="ar"/>
              </w:rPr>
              <w:t>10</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eastAsia" w:ascii="宋体" w:hAnsi="宋体" w:cs="宋体"/>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left"/>
              <w:rPr>
                <w:rFonts w:hint="eastAsia" w:ascii="宋体" w:hAnsi="宋体" w:cs="宋体"/>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宋体" w:hAnsi="宋体" w:cs="宋体" w:eastAsiaTheme="minorEastAsia"/>
                <w:kern w:val="0"/>
                <w:sz w:val="22"/>
                <w:lang w:val="en-US" w:eastAsia="zh-CN"/>
              </w:rPr>
            </w:pPr>
            <w:r>
              <w:rPr>
                <w:rFonts w:hint="eastAsia" w:ascii="宋体" w:hAnsi="宋体" w:eastAsia="宋体" w:cs="宋体"/>
                <w:i w:val="0"/>
                <w:iCs w:val="0"/>
                <w:color w:val="000000"/>
                <w:kern w:val="0"/>
                <w:sz w:val="22"/>
                <w:szCs w:val="22"/>
                <w:u w:val="none"/>
                <w:lang w:val="en-US" w:eastAsia="zh-CN" w:bidi="ar"/>
              </w:rPr>
              <w:t>21</w:t>
            </w:r>
          </w:p>
        </w:tc>
        <w:tc>
          <w:tcPr>
            <w:tcW w:w="4272"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both"/>
              <w:textAlignment w:val="bottom"/>
              <w:rPr>
                <w:rFonts w:hint="eastAsia" w:cs="Arial"/>
                <w:color w:val="000000"/>
                <w:sz w:val="22"/>
              </w:rPr>
            </w:pPr>
            <w:r>
              <w:rPr>
                <w:rFonts w:hint="eastAsia" w:ascii="宋体" w:hAnsi="宋体" w:eastAsia="宋体" w:cs="宋体"/>
                <w:i w:val="0"/>
                <w:iCs w:val="0"/>
                <w:color w:val="000000"/>
                <w:kern w:val="0"/>
                <w:sz w:val="22"/>
                <w:szCs w:val="22"/>
                <w:u w:val="none"/>
                <w:lang w:val="en-US" w:eastAsia="zh-CN" w:bidi="ar"/>
              </w:rPr>
              <w:t>为服务群众专项、村级办公、党组织活动经费</w:t>
            </w:r>
          </w:p>
        </w:tc>
        <w:tc>
          <w:tcPr>
            <w:tcW w:w="1225"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right"/>
              <w:textAlignment w:val="bottom"/>
              <w:rPr>
                <w:rFonts w:hint="default" w:ascii="Arial" w:hAnsi="Arial" w:cs="Arial" w:eastAsiaTheme="minorEastAsia"/>
                <w:color w:val="000000"/>
                <w:sz w:val="20"/>
                <w:szCs w:val="20"/>
                <w:lang w:val="en-US" w:eastAsia="zh-CN"/>
              </w:rPr>
            </w:pPr>
            <w:r>
              <w:rPr>
                <w:rFonts w:hint="default" w:ascii="Arial" w:hAnsi="Arial" w:eastAsia="宋体" w:cs="Arial"/>
                <w:i w:val="0"/>
                <w:iCs w:val="0"/>
                <w:color w:val="000000"/>
                <w:kern w:val="0"/>
                <w:sz w:val="20"/>
                <w:szCs w:val="20"/>
                <w:u w:val="none"/>
                <w:lang w:val="en-US" w:eastAsia="zh-CN" w:bidi="ar"/>
              </w:rPr>
              <w:t>7.06</w:t>
            </w:r>
          </w:p>
        </w:tc>
        <w:tc>
          <w:tcPr>
            <w:tcW w:w="92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eastAsia" w:ascii="宋体" w:hAnsi="宋体" w:cs="宋体"/>
                <w:kern w:val="0"/>
                <w:sz w:val="22"/>
              </w:rPr>
            </w:pPr>
            <w:r>
              <w:rPr>
                <w:rFonts w:hint="eastAsia" w:ascii="宋体" w:hAnsi="宋体" w:eastAsia="宋体" w:cs="宋体"/>
                <w:i w:val="0"/>
                <w:iCs w:val="0"/>
                <w:color w:val="000000"/>
                <w:kern w:val="0"/>
                <w:sz w:val="22"/>
                <w:szCs w:val="22"/>
                <w:u w:val="none"/>
                <w:lang w:val="en-US" w:eastAsia="zh-CN" w:bidi="ar"/>
              </w:rPr>
              <w:t>√</w:t>
            </w:r>
          </w:p>
        </w:tc>
        <w:tc>
          <w:tcPr>
            <w:tcW w:w="927" w:type="dxa"/>
            <w:tcBorders>
              <w:top w:val="single" w:color="auto" w:sz="4" w:space="0"/>
              <w:left w:val="single" w:color="auto" w:sz="4" w:space="0"/>
              <w:bottom w:val="single" w:color="auto" w:sz="4" w:space="0"/>
              <w:right w:val="single" w:color="auto" w:sz="4" w:space="0"/>
            </w:tcBorders>
            <w:vAlign w:val="bottom"/>
          </w:tcPr>
          <w:p>
            <w:pPr>
              <w:jc w:val="left"/>
              <w:rPr>
                <w:rFonts w:hint="eastAsia" w:ascii="宋体" w:hAnsi="宋体" w:cs="宋体"/>
                <w:kern w:val="0"/>
                <w:sz w:val="22"/>
              </w:rPr>
            </w:pPr>
          </w:p>
        </w:tc>
        <w:tc>
          <w:tcPr>
            <w:tcW w:w="928" w:type="dxa"/>
            <w:tcBorders>
              <w:top w:val="single" w:color="auto" w:sz="4" w:space="0"/>
              <w:left w:val="single" w:color="auto" w:sz="4" w:space="0"/>
              <w:bottom w:val="single" w:color="auto" w:sz="4" w:space="0"/>
              <w:right w:val="single" w:color="auto" w:sz="4" w:space="0"/>
            </w:tcBorders>
            <w:vAlign w:val="bottom"/>
          </w:tcPr>
          <w:p>
            <w:pPr>
              <w:rPr>
                <w:rFonts w:ascii="宋体" w:hAnsi="宋体" w:cs="宋体"/>
                <w:color w:val="FF0000"/>
                <w:kern w:val="0"/>
                <w:sz w:val="22"/>
              </w:rPr>
            </w:pPr>
          </w:p>
        </w:tc>
      </w:tr>
    </w:tbl>
    <w:p>
      <w:pPr>
        <w:numPr>
          <w:ilvl w:val="0"/>
          <w:numId w:val="0"/>
        </w:numPr>
        <w:adjustRightInd w:val="0"/>
        <w:snapToGrid w:val="0"/>
        <w:spacing w:line="600" w:lineRule="exact"/>
        <w:ind w:leftChars="200"/>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财政评价项目绩效评价结果</w:t>
      </w:r>
    </w:p>
    <w:p>
      <w:pPr>
        <w:adjustRightInd w:val="0"/>
        <w:snapToGrid w:val="0"/>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38.69</w:t>
      </w:r>
      <w:r>
        <w:rPr>
          <w:rFonts w:hint="eastAsia" w:ascii="仿宋_GB2312" w:hAnsi="仿宋_GB2312" w:eastAsia="仿宋_GB2312" w:cs="仿宋_GB2312"/>
          <w:sz w:val="32"/>
          <w:szCs w:val="32"/>
        </w:rPr>
        <w:t>万元，比2019年度减少</w:t>
      </w:r>
      <w:r>
        <w:rPr>
          <w:rFonts w:hint="eastAsia" w:ascii="仿宋_GB2312" w:hAnsi="仿宋_GB2312" w:eastAsia="仿宋_GB2312" w:cs="仿宋_GB2312"/>
          <w:sz w:val="32"/>
          <w:szCs w:val="32"/>
          <w:lang w:val="en-US" w:eastAsia="zh-CN"/>
        </w:rPr>
        <w:t>1.46</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3.59</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val="en-US" w:eastAsia="zh-CN"/>
        </w:rPr>
        <w:t>节约开支，厉行节俭</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仿宋_GB2312" w:hAnsi="仿宋_GB2312" w:eastAsia="仿宋_GB2312" w:cs="仿宋_GB2312"/>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辆，主要是</w:t>
      </w:r>
      <w:r>
        <w:rPr>
          <w:rFonts w:hint="eastAsia" w:ascii="仿宋_GB2312" w:hAnsi="仿宋_GB2312" w:eastAsia="仿宋_GB2312" w:cs="仿宋_GB2312"/>
          <w:sz w:val="32"/>
          <w:szCs w:val="32"/>
          <w:lang w:val="en-US" w:eastAsia="zh-CN"/>
        </w:rPr>
        <w:t>未发生公务用车购置经费支出</w:t>
      </w:r>
      <w:r>
        <w:rPr>
          <w:rFonts w:hint="eastAsia" w:ascii="仿宋_GB2312" w:hAnsi="仿宋_GB2312" w:eastAsia="仿宋_GB2312" w:cs="仿宋_GB2312"/>
          <w:sz w:val="32"/>
          <w:szCs w:val="32"/>
        </w:rPr>
        <w:t>。其中，副部（省）级及以上领导用车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辆，其他用车主要是</w:t>
      </w:r>
      <w:r>
        <w:rPr>
          <w:rFonts w:hint="eastAsia" w:ascii="仿宋_GB2312" w:hAnsi="仿宋_GB2312" w:eastAsia="仿宋_GB2312" w:cs="仿宋_GB2312"/>
          <w:sz w:val="32"/>
          <w:szCs w:val="32"/>
          <w:lang w:val="en-US" w:eastAsia="zh-CN"/>
        </w:rPr>
        <w:t>防火及矿山巡查公务车</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hAnsi="仿宋_GB2312" w:eastAsia="仿宋_GB2312" w:cs="仿宋_GB2312"/>
          <w:sz w:val="32"/>
          <w:szCs w:val="32"/>
          <w:lang w:val="en-US" w:eastAsia="zh-CN"/>
        </w:rPr>
        <w:t>中央空调</w:t>
      </w:r>
      <w:r>
        <w:rPr>
          <w:rFonts w:hint="eastAsia" w:ascii="仿宋_GB2312" w:hAnsi="仿宋_GB2312" w:eastAsia="仿宋_GB2312" w:cs="仿宋_GB2312"/>
          <w:sz w:val="32"/>
          <w:szCs w:val="32"/>
        </w:rPr>
        <w:t xml:space="preserve"> ，单位价值100万元以上专用设备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hAnsi="仿宋_GB2312" w:eastAsia="仿宋_GB2312" w:cs="仿宋_GB2312"/>
          <w:sz w:val="32"/>
          <w:szCs w:val="32"/>
          <w:lang w:val="en-US" w:eastAsia="zh-CN"/>
        </w:rPr>
        <w:t>未发生单位价值100万元以上专用设备支出</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w:t>
      </w:r>
      <w:r>
        <w:rPr>
          <w:rFonts w:hint="eastAsia" w:ascii="仿宋_GB2312" w:hAnsi="仿宋_GB2312" w:eastAsia="仿宋_GB2312" w:cs="仿宋_GB2312"/>
          <w:sz w:val="32"/>
          <w:szCs w:val="32"/>
          <w:highlight w:val="none"/>
        </w:rPr>
        <w:t>国有资金经营预算</w:t>
      </w:r>
      <w:r>
        <w:rPr>
          <w:rFonts w:hint="eastAsia" w:ascii="仿宋_GB2312" w:hAnsi="仿宋_GB2312" w:eastAsia="仿宋_GB2312" w:cs="仿宋_GB2312"/>
          <w:sz w:val="32"/>
          <w:szCs w:val="32"/>
        </w:rPr>
        <w:t>收支及结转结余情况，故国有资本经营预算财政拨款支出决算表以空表列示。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140970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1.1pt;height:263.1pt;width:613.65pt;z-index:251661312;v-text-anchor:middle;mso-width-relative:page;mso-height-relative:page;" fillcolor="#7F7F7F [1612]" filled="t" stroked="t" coordsize="21600,21600" o:gfxdata="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s8+FD2gAAAAwBAAAP&#10;AAAAAAAAAAEAIAAAACIAAABkcnMvZG93bnJldi54bWxQSwECFAAUAAAACACHTuJAwZ2fCYgCAABM&#10;BQAADgAAAAAAAAABACAAAAApAQAAZHJzL2Uyb0RvYy54bWxQSwUGAAAAAAYABgBZAQAAIwYAAAAA&#10;">
                <v:fill type="pattern" on="t" color2="#FFFFFF [3212]" o:title="5%" focussize="0,0" r:id="rId11"/>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8"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bookmarkStart w:id="0" w:name="_GoBack"/>
      <w:bookmarkEnd w:id="0"/>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1"/>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6"/>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610.51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342.98</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6.00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4.49</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48.5</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22.36</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8"/>
                <w:szCs w:val="18"/>
                <w:lang w:val="en-US"/>
              </w:rPr>
            </w:pPr>
            <w:r>
              <w:rPr>
                <w:rFonts w:hint="eastAsia" w:ascii="宋体" w:hAnsi="宋体" w:eastAsia="宋体" w:cs="宋体"/>
                <w:i w:val="0"/>
                <w:iCs w:val="0"/>
                <w:color w:val="000000"/>
                <w:kern w:val="0"/>
                <w:sz w:val="18"/>
                <w:szCs w:val="18"/>
                <w:u w:val="none"/>
                <w:lang w:val="en-US" w:eastAsia="zh-CN" w:bidi="ar"/>
              </w:rPr>
              <w:t>7.00</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159.42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19.76</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eastAsia="zh-CN" w:bidi="ar"/>
              </w:rPr>
              <w:t>610.51</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eastAsia="zh-CN" w:bidi="ar"/>
              </w:rPr>
              <w:t>610.51</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用事业基金弥补收支差额</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eastAsia="zh-CN" w:bidi="ar"/>
              </w:rPr>
              <w:t>610.51</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eastAsia="zh-CN" w:bidi="ar"/>
              </w:rPr>
              <w:t>610.51</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6"/>
        <w:tblW w:w="9792" w:type="dxa"/>
        <w:jc w:val="center"/>
        <w:tblLayout w:type="fixed"/>
        <w:tblCellMar>
          <w:top w:w="0" w:type="dxa"/>
          <w:left w:w="0" w:type="dxa"/>
          <w:bottom w:w="0" w:type="dxa"/>
          <w:right w:w="0" w:type="dxa"/>
        </w:tblCellMar>
      </w:tblPr>
      <w:tblGrid>
        <w:gridCol w:w="1033"/>
        <w:gridCol w:w="59"/>
        <w:gridCol w:w="59"/>
        <w:gridCol w:w="1822"/>
        <w:gridCol w:w="1350"/>
        <w:gridCol w:w="1350"/>
        <w:gridCol w:w="823"/>
        <w:gridCol w:w="823"/>
        <w:gridCol w:w="823"/>
        <w:gridCol w:w="823"/>
        <w:gridCol w:w="827"/>
      </w:tblGrid>
      <w:tr>
        <w:tblPrEx>
          <w:tblCellMar>
            <w:top w:w="0" w:type="dxa"/>
            <w:left w:w="0" w:type="dxa"/>
            <w:bottom w:w="0" w:type="dxa"/>
            <w:right w:w="0" w:type="dxa"/>
          </w:tblCellMar>
        </w:tblPrEx>
        <w:trPr>
          <w:trHeight w:val="670" w:hRule="atLeast"/>
          <w:jc w:val="center"/>
        </w:trPr>
        <w:tc>
          <w:tcPr>
            <w:tcW w:w="9792"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103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8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650"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1033"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8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473"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297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3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13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82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1151"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1822"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15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8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15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8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297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3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3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8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297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610.51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610.51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一般公共服务支出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342.98</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342.98</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342.98</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342.98</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189.91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189.91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2010308</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8.18</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8.18</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2010350</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127.91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127.91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2010399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其他政府办公厅（室）及相关机构事务支出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16.98</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16.98</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教育支出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6.00 </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6.00 </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20509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教育费附加安排的支出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6.00 </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6.00 </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2050999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其他教育费附加安排的支出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6.00 </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6.00 </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207</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20701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文化和旅游</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2070109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48.50 </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48.50 </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48.50 </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48.50 </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36.40 </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36.40 </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2080506</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7.54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7.54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卫生健康支出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22.36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22.36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21004</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公共卫生</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2100409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重大公共卫生服务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21011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行政事业单位医疗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12.36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12.36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2101101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2101102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4.3</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4.3</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节能环保支出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21104</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自然生态保护</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2110402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农林水支出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159.42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159.42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农业农村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24.24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24.24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2130122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农业生产发展</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24.24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24.24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21307</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农村综合改革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135.19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135.19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2130701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2130705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125.19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125.19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221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住房保障支出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住房改革支出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792"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6"/>
        <w:tblW w:w="9680" w:type="dxa"/>
        <w:jc w:val="center"/>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610.51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398.44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212.07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342.98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317.82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25.16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342.98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317.82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25.16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189.91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189.91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8.18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8.18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2010350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127.91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127.91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其他政府办公厅（室）及相关机构事务支出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16.98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教育支出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20509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教育费附加安排的支出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2050999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其他教育费附加安排的支出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4.49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4.49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20701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文化和旅游</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4.49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4.49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2070109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4.49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4.49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36.4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36.4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908"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7.54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7.54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公共卫生</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2100409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重大公共卫生服务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2101101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2101102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节能环保支出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21104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自然生态保护</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2110402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农林水支出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159.42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159.42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农业农村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2130122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农业生产发展</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农村综合改革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2130701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2130705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125.19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125.19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221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22102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2210201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6"/>
        <w:tblW w:w="9990" w:type="dxa"/>
        <w:jc w:val="center"/>
        <w:tblLayout w:type="fixed"/>
        <w:tblCellMar>
          <w:top w:w="0" w:type="dxa"/>
          <w:left w:w="0" w:type="dxa"/>
          <w:bottom w:w="0" w:type="dxa"/>
          <w:right w:w="0" w:type="dxa"/>
        </w:tblCellMar>
      </w:tblPr>
      <w:tblGrid>
        <w:gridCol w:w="117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6"/>
              <w:tblW w:w="9736" w:type="dxa"/>
              <w:tblInd w:w="0" w:type="dxa"/>
              <w:tblLayout w:type="fixed"/>
              <w:tblCellMar>
                <w:top w:w="0" w:type="dxa"/>
                <w:left w:w="108" w:type="dxa"/>
                <w:bottom w:w="0" w:type="dxa"/>
                <w:right w:w="108" w:type="dxa"/>
              </w:tblCellMar>
            </w:tblPr>
            <w:tblGrid>
              <w:gridCol w:w="2317"/>
              <w:gridCol w:w="465"/>
              <w:gridCol w:w="748"/>
              <w:gridCol w:w="2456"/>
              <w:gridCol w:w="446"/>
              <w:gridCol w:w="791"/>
              <w:gridCol w:w="810"/>
              <w:gridCol w:w="750"/>
              <w:gridCol w:w="701"/>
              <w:gridCol w:w="252"/>
            </w:tblGrid>
            <w:tr>
              <w:tblPrEx>
                <w:tblCellMar>
                  <w:top w:w="0" w:type="dxa"/>
                  <w:left w:w="108" w:type="dxa"/>
                  <w:bottom w:w="0" w:type="dxa"/>
                  <w:right w:w="108" w:type="dxa"/>
                </w:tblCellMar>
              </w:tblPrEx>
              <w:trPr>
                <w:gridAfter w:val="1"/>
                <w:wAfter w:w="252" w:type="dxa"/>
                <w:trHeight w:val="18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9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61"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9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1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451"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9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1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5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70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9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1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5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0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1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610.51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791" w:type="dxa"/>
                  <w:tcBorders>
                    <w:top w:val="nil"/>
                    <w:left w:val="nil"/>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 xml:space="preserve">342.98 </w:t>
                  </w:r>
                </w:p>
              </w:tc>
              <w:tc>
                <w:tcPr>
                  <w:tcW w:w="810" w:type="dxa"/>
                  <w:tcBorders>
                    <w:top w:val="nil"/>
                    <w:left w:val="nil"/>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 xml:space="preserve">342.98 </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p>
              </w:tc>
              <w:tc>
                <w:tcPr>
                  <w:tcW w:w="252" w:type="dxa"/>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791"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 xml:space="preserve">6.00 </w:t>
                  </w:r>
                </w:p>
              </w:tc>
              <w:tc>
                <w:tcPr>
                  <w:tcW w:w="810"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 xml:space="preserve">6.00 </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791"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宋体" w:hAnsi="宋体" w:eastAsia="宋体" w:cs="Arial"/>
                      <w:color w:val="000000"/>
                      <w:kern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 xml:space="preserve">4.49 </w:t>
                  </w:r>
                </w:p>
              </w:tc>
              <w:tc>
                <w:tcPr>
                  <w:tcW w:w="810"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Times New Roman" w:hAnsi="Times New Roman" w:eastAsia="宋体" w:cs="Times New Roman"/>
                      <w:kern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 xml:space="preserve">4.49 </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791"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 xml:space="preserve">48.50 </w:t>
                  </w:r>
                </w:p>
              </w:tc>
              <w:tc>
                <w:tcPr>
                  <w:tcW w:w="810"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 xml:space="preserve">48.50 </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791"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 xml:space="preserve">22.36 </w:t>
                  </w:r>
                </w:p>
              </w:tc>
              <w:tc>
                <w:tcPr>
                  <w:tcW w:w="810"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 xml:space="preserve">22.36 </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791"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 xml:space="preserve">7.00 </w:t>
                  </w:r>
                </w:p>
              </w:tc>
              <w:tc>
                <w:tcPr>
                  <w:tcW w:w="810"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 xml:space="preserve">7.00 </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default" w:ascii="宋体" w:hAnsi="宋体" w:eastAsia="宋体" w:cs="Arial"/>
                      <w:color w:val="000000"/>
                      <w:kern w:val="0"/>
                      <w:sz w:val="15"/>
                      <w:szCs w:val="15"/>
                      <w:lang w:val="en-US" w:eastAsia="zh-CN"/>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791"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 xml:space="preserve">159.42 </w:t>
                  </w:r>
                </w:p>
              </w:tc>
              <w:tc>
                <w:tcPr>
                  <w:tcW w:w="810"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 xml:space="preserve">159.42 </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791"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 xml:space="preserve">19.76 </w:t>
                  </w:r>
                </w:p>
              </w:tc>
              <w:tc>
                <w:tcPr>
                  <w:tcW w:w="810"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 xml:space="preserve">19.76 </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262"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292"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eastAsia="zh-CN"/>
                    </w:rPr>
                  </w:pPr>
                  <w:r>
                    <w:rPr>
                      <w:rFonts w:hint="eastAsia" w:ascii="宋体" w:hAnsi="宋体" w:eastAsia="宋体" w:cs="Arial"/>
                      <w:color w:val="000000"/>
                      <w:kern w:val="0"/>
                      <w:sz w:val="15"/>
                      <w:szCs w:val="15"/>
                      <w:lang w:eastAsia="zh-CN"/>
                    </w:rPr>
                    <w:t>610.51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791"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Arial"/>
                      <w:color w:val="000000"/>
                      <w:kern w:val="0"/>
                      <w:sz w:val="15"/>
                      <w:szCs w:val="15"/>
                      <w:lang w:eastAsia="zh-CN"/>
                    </w:rPr>
                  </w:pPr>
                  <w:r>
                    <w:rPr>
                      <w:rFonts w:hint="eastAsia" w:ascii="宋体" w:hAnsi="宋体" w:eastAsia="宋体" w:cs="宋体"/>
                      <w:i w:val="0"/>
                      <w:iCs w:val="0"/>
                      <w:color w:val="000000"/>
                      <w:kern w:val="0"/>
                      <w:sz w:val="15"/>
                      <w:szCs w:val="15"/>
                      <w:u w:val="none"/>
                      <w:lang w:val="en-US" w:eastAsia="zh-CN" w:bidi="ar"/>
                    </w:rPr>
                    <w:t xml:space="preserve">610.51 </w:t>
                  </w:r>
                </w:p>
              </w:tc>
              <w:tc>
                <w:tcPr>
                  <w:tcW w:w="810"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 xml:space="preserve">610.51 </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right"/>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right"/>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right"/>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791" w:type="dxa"/>
                  <w:tcBorders>
                    <w:top w:val="nil"/>
                    <w:left w:val="nil"/>
                    <w:bottom w:val="single" w:color="000000" w:sz="4" w:space="0"/>
                    <w:right w:val="single" w:color="000000" w:sz="4" w:space="0"/>
                  </w:tcBorders>
                  <w:shd w:val="clear" w:color="auto" w:fill="auto"/>
                  <w:vAlign w:val="bottom"/>
                </w:tcPr>
                <w:p>
                  <w:pPr>
                    <w:jc w:val="center"/>
                    <w:rPr>
                      <w:rFonts w:hint="eastAsia" w:ascii="宋体" w:hAnsi="宋体" w:eastAsia="宋体" w:cs="Arial"/>
                      <w:color w:val="000000"/>
                      <w:kern w:val="0"/>
                      <w:sz w:val="15"/>
                      <w:szCs w:val="15"/>
                    </w:rPr>
                  </w:pPr>
                </w:p>
              </w:tc>
              <w:tc>
                <w:tcPr>
                  <w:tcW w:w="810" w:type="dxa"/>
                  <w:tcBorders>
                    <w:top w:val="nil"/>
                    <w:left w:val="nil"/>
                    <w:bottom w:val="single" w:color="000000" w:sz="4" w:space="0"/>
                    <w:right w:val="single" w:color="000000" w:sz="4" w:space="0"/>
                  </w:tcBorders>
                  <w:shd w:val="clear" w:color="auto" w:fill="auto"/>
                  <w:vAlign w:val="bottom"/>
                </w:tcPr>
                <w:p>
                  <w:pPr>
                    <w:jc w:val="right"/>
                    <w:rPr>
                      <w:rFonts w:ascii="Times New Roman" w:hAnsi="Times New Roman" w:eastAsia="Times New Roman" w:cs="Times New Roman"/>
                      <w:kern w:val="0"/>
                      <w:sz w:val="15"/>
                      <w:szCs w:val="15"/>
                    </w:rPr>
                  </w:pP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eastAsia="zh-CN"/>
                    </w:rPr>
                  </w:pPr>
                  <w:r>
                    <w:rPr>
                      <w:rFonts w:hint="eastAsia" w:ascii="宋体" w:hAnsi="宋体" w:eastAsia="宋体" w:cs="Arial"/>
                      <w:color w:val="000000"/>
                      <w:kern w:val="0"/>
                      <w:sz w:val="15"/>
                      <w:szCs w:val="15"/>
                      <w:lang w:eastAsia="zh-CN"/>
                    </w:rPr>
                    <w:t>610.51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791"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Arial"/>
                      <w:color w:val="000000"/>
                      <w:kern w:val="0"/>
                      <w:sz w:val="15"/>
                      <w:szCs w:val="15"/>
                      <w:lang w:eastAsia="zh-CN"/>
                    </w:rPr>
                  </w:pPr>
                  <w:r>
                    <w:rPr>
                      <w:rFonts w:hint="eastAsia" w:ascii="宋体" w:hAnsi="宋体" w:eastAsia="宋体" w:cs="宋体"/>
                      <w:i w:val="0"/>
                      <w:iCs w:val="0"/>
                      <w:color w:val="000000"/>
                      <w:kern w:val="0"/>
                      <w:sz w:val="15"/>
                      <w:szCs w:val="15"/>
                      <w:u w:val="none"/>
                      <w:lang w:val="en-US" w:eastAsia="zh-CN" w:bidi="ar"/>
                    </w:rPr>
                    <w:t>610.51</w:t>
                  </w:r>
                </w:p>
              </w:tc>
              <w:tc>
                <w:tcPr>
                  <w:tcW w:w="810"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right"/>
                    <w:textAlignment w:val="bottom"/>
                    <w:rPr>
                      <w:rFonts w:hint="default" w:ascii="Times New Roman" w:hAnsi="Times New Roman" w:eastAsia="Times New Roman" w:cs="Times New Roman"/>
                      <w:kern w:val="0"/>
                      <w:sz w:val="15"/>
                      <w:szCs w:val="15"/>
                      <w:lang w:val="en-US"/>
                    </w:rPr>
                  </w:pPr>
                  <w:r>
                    <w:rPr>
                      <w:rFonts w:hint="eastAsia" w:ascii="Times New Roman" w:hAnsi="Times New Roman" w:eastAsia="宋体" w:cs="Times New Roman"/>
                      <w:i w:val="0"/>
                      <w:iCs w:val="0"/>
                      <w:color w:val="000000"/>
                      <w:kern w:val="0"/>
                      <w:sz w:val="15"/>
                      <w:szCs w:val="15"/>
                      <w:u w:val="none"/>
                      <w:lang w:val="en-US" w:eastAsia="zh-CN" w:bidi="ar"/>
                    </w:rPr>
                    <w:t>610.51</w:t>
                  </w:r>
                </w:p>
              </w:tc>
              <w:tc>
                <w:tcPr>
                  <w:tcW w:w="7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0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610.51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398.44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212.07</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一般公共服务支出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342.98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317.82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25.16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342.98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317.82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25.16</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189.91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189.91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8.18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8.18</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2010350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127.91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127.91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2010399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其他政府办公厅（室）及相关机构事务支出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16.98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16.98</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教育支出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20509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教育费附加安排的支出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2050999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其他教育费附加安排的支出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207</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文化旅游体育与传媒支出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20701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文化和旅游</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2070109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群众文化</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48.50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48.50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48.50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48.50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36.40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36.40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2080506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7.54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7.54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22.36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12.36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公共卫生</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2100409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重大公共卫生服务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12.36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12.36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2101102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4.30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4.30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节能环保支出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21104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自然生态保护</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2110402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农林水支出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159.42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159.42</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农业农村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24.24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24.24</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2130122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农业生产发展</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24.24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24.24</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21307</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农村综合改革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135.19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135.19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2130701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2130705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125.19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125.19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住房保障支出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住房改革支出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2210201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19.76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rPr>
                <w:rFonts w:hint="eastAsia" w:ascii="宋体" w:hAnsi="宋体" w:eastAsia="宋体" w:cs="宋体"/>
                <w:color w:val="000000"/>
                <w:kern w:val="0"/>
                <w:sz w:val="18"/>
                <w:szCs w:val="18"/>
                <w:lang w:val="en-US" w:eastAsia="zh-CN" w:bidi="ar"/>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6"/>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315.39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38.69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164.27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1.87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30.15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9.18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35.54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35.07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0.36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6.42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9.72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12.36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 xml:space="preserve">9.00 </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2.08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0.05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19.76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0.55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44.36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4.56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39.21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0.59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7.19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10.38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0.12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eastAsia="zh-CN"/>
              </w:rPr>
            </w:pPr>
            <w:r>
              <w:rPr>
                <w:rFonts w:hint="eastAsia" w:ascii="宋体" w:hAnsi="宋体" w:eastAsia="宋体" w:cs="宋体"/>
                <w:i w:val="0"/>
                <w:iCs w:val="0"/>
                <w:color w:val="000000"/>
                <w:kern w:val="0"/>
                <w:sz w:val="16"/>
                <w:szCs w:val="16"/>
                <w:u w:val="none"/>
                <w:lang w:val="en-US" w:eastAsia="zh-CN" w:bidi="ar"/>
              </w:rPr>
              <w:t>359.75</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38.69</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6"/>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8.01</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0.81</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7.19</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7.19</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7.19</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6"/>
        <w:tblW w:w="9664" w:type="dxa"/>
        <w:jc w:val="center"/>
        <w:tblLayout w:type="fixed"/>
        <w:tblCellMar>
          <w:top w:w="0" w:type="dxa"/>
          <w:left w:w="0" w:type="dxa"/>
          <w:bottom w:w="0" w:type="dxa"/>
          <w:right w:w="0" w:type="dxa"/>
        </w:tblCellMar>
      </w:tblPr>
      <w:tblGrid>
        <w:gridCol w:w="967"/>
        <w:gridCol w:w="61"/>
        <w:gridCol w:w="61"/>
        <w:gridCol w:w="2051"/>
        <w:gridCol w:w="1006"/>
        <w:gridCol w:w="1169"/>
        <w:gridCol w:w="1169"/>
        <w:gridCol w:w="1006"/>
        <w:gridCol w:w="1169"/>
        <w:gridCol w:w="1005"/>
      </w:tblGrid>
      <w:tr>
        <w:tblPrEx>
          <w:tblCellMar>
            <w:top w:w="0" w:type="dxa"/>
            <w:left w:w="0" w:type="dxa"/>
            <w:bottom w:w="0" w:type="dxa"/>
            <w:right w:w="0" w:type="dxa"/>
          </w:tblCellMar>
        </w:tblPrEx>
        <w:trPr>
          <w:trHeight w:val="780" w:hRule="atLeast"/>
          <w:jc w:val="center"/>
        </w:trPr>
        <w:tc>
          <w:tcPr>
            <w:tcW w:w="9664"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9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0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74"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9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0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74"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1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00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344"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089"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051"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00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205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205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314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314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Cs w:val="22"/>
                <w:lang w:val="en-US" w:eastAsia="zh-CN"/>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ascii="宋体" w:hAnsi="宋体" w:eastAsia="宋体" w:cs="宋体"/>
          <w:sz w:val="20"/>
          <w:szCs w:val="22"/>
        </w:rPr>
        <w:t>注：本表反映部门本年度政府性基金预算财政拨款收入、支出及结转结余情况。</w:t>
      </w:r>
      <w:r>
        <w:rPr>
          <w:rFonts w:hint="eastAsia" w:ascii="宋体" w:hAnsi="宋体" w:eastAsia="宋体" w:cs="宋体"/>
          <w:b/>
          <w:highlight w:val="none"/>
        </w:rPr>
        <w:t>本部门本年度无相关支出情况，按要求以空表列示。</w:t>
      </w:r>
      <w:r>
        <w:rPr>
          <w:b/>
          <w:sz w:val="20"/>
          <w:szCs w:val="22"/>
          <w:highlight w:val="yellow"/>
        </w:rPr>
        <w:br w:type="page"/>
      </w:r>
    </w:p>
    <w:tbl>
      <w:tblPr>
        <w:tblStyle w:val="6"/>
        <w:tblW w:w="9064" w:type="dxa"/>
        <w:tblInd w:w="0" w:type="dxa"/>
        <w:tblLayout w:type="fixed"/>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highlight w:val="none"/>
        </w:rPr>
      </w:pPr>
      <w:r>
        <w:rPr>
          <w:rFonts w:hint="eastAsia" w:ascii="宋体" w:hAnsi="宋体" w:eastAsia="宋体" w:cs="宋体"/>
        </w:rPr>
        <w:t>注：本表反映部门本年度国有资本经营预算财政拨款收入、支出及结转结余情况。</w:t>
      </w:r>
      <w:r>
        <w:rPr>
          <w:rFonts w:hint="eastAsia" w:ascii="宋体" w:hAnsi="宋体" w:eastAsia="宋体" w:cs="宋体"/>
          <w:b/>
          <w:highlight w:val="none"/>
        </w:rPr>
        <w:t>本部门本年度无相关支出情况，按要求以空表列示。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950409"/>
    <w:multiLevelType w:val="singleLevel"/>
    <w:tmpl w:val="59950409"/>
    <w:lvl w:ilvl="0" w:tentative="0">
      <w:start w:val="1"/>
      <w:numFmt w:val="decimal"/>
      <w:suff w:val="space"/>
      <w:lvlText w:val="%1."/>
      <w:lvlJc w:val="left"/>
    </w:lvl>
  </w:abstractNum>
  <w:abstractNum w:abstractNumId="2">
    <w:nsid w:val="78C1413D"/>
    <w:multiLevelType w:val="singleLevel"/>
    <w:tmpl w:val="78C1413D"/>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1A05"/>
    <w:rsid w:val="0018668E"/>
    <w:rsid w:val="001B73D2"/>
    <w:rsid w:val="001E62BF"/>
    <w:rsid w:val="00293E7B"/>
    <w:rsid w:val="002D1F4F"/>
    <w:rsid w:val="00366D90"/>
    <w:rsid w:val="003D678E"/>
    <w:rsid w:val="00723724"/>
    <w:rsid w:val="00801F66"/>
    <w:rsid w:val="009334BF"/>
    <w:rsid w:val="00EE5ABD"/>
    <w:rsid w:val="01994291"/>
    <w:rsid w:val="058B71E0"/>
    <w:rsid w:val="05D435BA"/>
    <w:rsid w:val="07C470B3"/>
    <w:rsid w:val="09E12740"/>
    <w:rsid w:val="0EA325C9"/>
    <w:rsid w:val="14BE4DF7"/>
    <w:rsid w:val="17661912"/>
    <w:rsid w:val="298F56E8"/>
    <w:rsid w:val="2BF44B44"/>
    <w:rsid w:val="2F2A75ED"/>
    <w:rsid w:val="2FB96948"/>
    <w:rsid w:val="303E5E56"/>
    <w:rsid w:val="3327616A"/>
    <w:rsid w:val="34C45458"/>
    <w:rsid w:val="35C83C42"/>
    <w:rsid w:val="35E93E28"/>
    <w:rsid w:val="37BD32C2"/>
    <w:rsid w:val="38995613"/>
    <w:rsid w:val="3C4568BD"/>
    <w:rsid w:val="48660211"/>
    <w:rsid w:val="49752067"/>
    <w:rsid w:val="4A9C625A"/>
    <w:rsid w:val="4F565509"/>
    <w:rsid w:val="542467D4"/>
    <w:rsid w:val="55863126"/>
    <w:rsid w:val="5C916D48"/>
    <w:rsid w:val="5D0C63C4"/>
    <w:rsid w:val="5F600EAF"/>
    <w:rsid w:val="65BE3337"/>
    <w:rsid w:val="710C77C5"/>
    <w:rsid w:val="73D824BD"/>
    <w:rsid w:val="7B2E57E1"/>
    <w:rsid w:val="7BDA329F"/>
    <w:rsid w:val="7D6764ED"/>
    <w:rsid w:val="7EB75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492"/>
    </w:pPr>
    <w:rPr>
      <w:rFonts w:ascii="微软雅黑" w:hAnsi="微软雅黑" w:eastAsia="微软雅黑" w:cs="微软雅黑"/>
      <w:b/>
      <w:bCs/>
      <w:sz w:val="32"/>
      <w:szCs w:val="32"/>
      <w:lang w:val="zh-CN" w:bidi="zh-CN"/>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bmp"/><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14</TotalTime>
  <ScaleCrop>false</ScaleCrop>
  <LinksUpToDate>false</LinksUpToDate>
  <CharactersWithSpaces>11585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晁宇</cp:lastModifiedBy>
  <dcterms:modified xsi:type="dcterms:W3CDTF">2021-10-14T01:33:40Z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A2FA716F2ED447A3B2AA4A291F1EB0A0</vt:lpwstr>
  </property>
</Properties>
</file>