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rPr>
      </w:pPr>
      <w:bookmarkStart w:id="0" w:name="_GoBack"/>
      <w:r>
        <w:rPr>
          <w:rFonts w:hint="eastAsia" w:ascii="方正小标宋简体" w:eastAsia="方正小标宋简体"/>
          <w:sz w:val="44"/>
        </w:rPr>
        <w:t>满城区“证照分离”事项改革清单</w:t>
      </w:r>
    </w:p>
    <w:bookmarkEnd w:id="0"/>
    <w:p>
      <w:pPr>
        <w:spacing w:afterLines="50" w:line="440" w:lineRule="exact"/>
        <w:jc w:val="center"/>
        <w:rPr>
          <w:rFonts w:ascii="楷体_GB2312" w:eastAsia="楷体_GB2312"/>
          <w:sz w:val="32"/>
        </w:rPr>
      </w:pPr>
      <w:r>
        <w:rPr>
          <w:rFonts w:hint="eastAsia" w:ascii="楷体_GB2312" w:eastAsia="楷体_GB2312"/>
          <w:sz w:val="32"/>
        </w:rPr>
        <w:t>（共72项）</w:t>
      </w:r>
    </w:p>
    <w:tbl>
      <w:tblPr>
        <w:tblStyle w:val="9"/>
        <w:tblW w:w="14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
        <w:gridCol w:w="557"/>
        <w:gridCol w:w="1485"/>
        <w:gridCol w:w="879"/>
        <w:gridCol w:w="1620"/>
        <w:gridCol w:w="657"/>
        <w:gridCol w:w="658"/>
        <w:gridCol w:w="657"/>
        <w:gridCol w:w="658"/>
        <w:gridCol w:w="355"/>
        <w:gridCol w:w="355"/>
        <w:gridCol w:w="355"/>
        <w:gridCol w:w="355"/>
        <w:gridCol w:w="1989"/>
        <w:gridCol w:w="2268"/>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jc w:val="center"/>
        </w:trPr>
        <w:tc>
          <w:tcPr>
            <w:tcW w:w="304" w:type="dxa"/>
            <w:vMerge w:val="restart"/>
            <w:vAlign w:val="center"/>
          </w:tcPr>
          <w:p>
            <w:pPr>
              <w:spacing w:line="240" w:lineRule="exact"/>
              <w:ind w:left="-140" w:leftChars="-50" w:right="-140" w:rightChars="-50"/>
              <w:jc w:val="center"/>
              <w:rPr>
                <w:rFonts w:ascii="黑体" w:hAnsi="黑体" w:eastAsia="黑体" w:cs="宋体"/>
                <w:sz w:val="15"/>
                <w:szCs w:val="15"/>
              </w:rPr>
            </w:pPr>
            <w:r>
              <w:rPr>
                <w:rFonts w:hint="eastAsia" w:ascii="黑体" w:hAnsi="黑体" w:eastAsia="黑体" w:cs="宋体"/>
                <w:sz w:val="15"/>
                <w:szCs w:val="15"/>
              </w:rPr>
              <w:t>序</w:t>
            </w:r>
          </w:p>
          <w:p>
            <w:pPr>
              <w:spacing w:line="240" w:lineRule="exact"/>
              <w:ind w:left="-140" w:leftChars="-50" w:right="-140" w:rightChars="-50"/>
              <w:jc w:val="center"/>
              <w:rPr>
                <w:rFonts w:ascii="黑体" w:hAnsi="黑体" w:eastAsia="黑体" w:cs="宋体"/>
                <w:sz w:val="15"/>
                <w:szCs w:val="15"/>
              </w:rPr>
            </w:pPr>
            <w:r>
              <w:rPr>
                <w:rFonts w:hint="eastAsia" w:ascii="黑体" w:hAnsi="黑体" w:eastAsia="黑体" w:cs="宋体"/>
                <w:sz w:val="15"/>
                <w:szCs w:val="15"/>
              </w:rPr>
              <w:t>号</w:t>
            </w:r>
          </w:p>
        </w:tc>
        <w:tc>
          <w:tcPr>
            <w:tcW w:w="557" w:type="dxa"/>
            <w:vMerge w:val="restart"/>
            <w:vAlign w:val="center"/>
          </w:tcPr>
          <w:p>
            <w:pPr>
              <w:spacing w:line="24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主管</w:t>
            </w:r>
          </w:p>
          <w:p>
            <w:pPr>
              <w:spacing w:line="24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部门</w:t>
            </w:r>
          </w:p>
        </w:tc>
        <w:tc>
          <w:tcPr>
            <w:tcW w:w="1485" w:type="dxa"/>
            <w:vMerge w:val="restart"/>
            <w:vAlign w:val="center"/>
          </w:tcPr>
          <w:p>
            <w:pPr>
              <w:spacing w:line="24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改革事项</w:t>
            </w:r>
          </w:p>
        </w:tc>
        <w:tc>
          <w:tcPr>
            <w:tcW w:w="879" w:type="dxa"/>
            <w:vMerge w:val="restart"/>
            <w:vAlign w:val="center"/>
          </w:tcPr>
          <w:p>
            <w:pPr>
              <w:spacing w:line="24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许可证件</w:t>
            </w:r>
          </w:p>
          <w:p>
            <w:pPr>
              <w:spacing w:line="24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名称</w:t>
            </w:r>
          </w:p>
        </w:tc>
        <w:tc>
          <w:tcPr>
            <w:tcW w:w="1620" w:type="dxa"/>
            <w:vMerge w:val="restart"/>
            <w:vAlign w:val="center"/>
          </w:tcPr>
          <w:p>
            <w:pPr>
              <w:spacing w:line="24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设定依据</w:t>
            </w:r>
          </w:p>
        </w:tc>
        <w:tc>
          <w:tcPr>
            <w:tcW w:w="2630" w:type="dxa"/>
            <w:gridSpan w:val="4"/>
            <w:vAlign w:val="center"/>
          </w:tcPr>
          <w:p>
            <w:pPr>
              <w:spacing w:line="240" w:lineRule="exact"/>
              <w:ind w:left="-84" w:leftChars="-30" w:right="-84" w:rightChars="-30"/>
              <w:jc w:val="center"/>
              <w:rPr>
                <w:rFonts w:ascii="黑体" w:hAnsi="黑体" w:eastAsia="黑体" w:cs="宋体"/>
                <w:sz w:val="15"/>
                <w:szCs w:val="15"/>
              </w:rPr>
            </w:pPr>
            <w:r>
              <w:rPr>
                <w:rFonts w:hint="eastAsia" w:ascii="黑体" w:hAnsi="黑体" w:eastAsia="黑体" w:cs="宋体"/>
                <w:sz w:val="15"/>
                <w:szCs w:val="15"/>
              </w:rPr>
              <w:t>审批层级和部门</w:t>
            </w:r>
          </w:p>
        </w:tc>
        <w:tc>
          <w:tcPr>
            <w:tcW w:w="1420" w:type="dxa"/>
            <w:gridSpan w:val="4"/>
            <w:vAlign w:val="center"/>
          </w:tcPr>
          <w:p>
            <w:pPr>
              <w:spacing w:line="18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改革方式</w:t>
            </w:r>
          </w:p>
        </w:tc>
        <w:tc>
          <w:tcPr>
            <w:tcW w:w="1989" w:type="dxa"/>
            <w:vMerge w:val="restart"/>
            <w:vAlign w:val="center"/>
          </w:tcPr>
          <w:p>
            <w:pPr>
              <w:spacing w:line="24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具体改革举措</w:t>
            </w:r>
          </w:p>
        </w:tc>
        <w:tc>
          <w:tcPr>
            <w:tcW w:w="2268" w:type="dxa"/>
            <w:vMerge w:val="restart"/>
            <w:vAlign w:val="center"/>
          </w:tcPr>
          <w:p>
            <w:pPr>
              <w:spacing w:line="24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加强事中事后监管措施</w:t>
            </w:r>
          </w:p>
        </w:tc>
        <w:tc>
          <w:tcPr>
            <w:tcW w:w="889" w:type="dxa"/>
            <w:vMerge w:val="restart"/>
            <w:vAlign w:val="center"/>
          </w:tcPr>
          <w:p>
            <w:pPr>
              <w:spacing w:line="240" w:lineRule="exact"/>
              <w:ind w:left="-56" w:leftChars="-20" w:right="-56" w:rightChars="-20"/>
              <w:jc w:val="center"/>
              <w:rPr>
                <w:rFonts w:ascii="黑体" w:hAnsi="黑体" w:eastAsia="黑体" w:cs="宋体"/>
                <w:sz w:val="15"/>
                <w:szCs w:val="15"/>
              </w:rPr>
            </w:pPr>
            <w:r>
              <w:rPr>
                <w:rFonts w:hint="eastAsia" w:ascii="黑体" w:hAnsi="黑体" w:eastAsia="黑体" w:cs="宋体"/>
                <w:sz w:val="15"/>
                <w:szCs w:val="15"/>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jc w:val="center"/>
        </w:trPr>
        <w:tc>
          <w:tcPr>
            <w:tcW w:w="304"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557"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1485"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879"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1620"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1315" w:type="dxa"/>
            <w:gridSpan w:val="2"/>
            <w:vAlign w:val="center"/>
          </w:tcPr>
          <w:p>
            <w:pPr>
              <w:spacing w:line="240" w:lineRule="exact"/>
              <w:ind w:left="-84" w:leftChars="-30" w:right="-84" w:rightChars="-30"/>
              <w:jc w:val="center"/>
              <w:rPr>
                <w:rFonts w:ascii="黑体" w:hAnsi="黑体" w:eastAsia="黑体" w:cs="宋体"/>
                <w:sz w:val="15"/>
                <w:szCs w:val="15"/>
              </w:rPr>
            </w:pPr>
            <w:r>
              <w:rPr>
                <w:rFonts w:hint="eastAsia" w:ascii="黑体" w:hAnsi="黑体" w:eastAsia="黑体" w:cs="宋体"/>
                <w:sz w:val="15"/>
                <w:szCs w:val="15"/>
              </w:rPr>
              <w:t>市    级</w:t>
            </w:r>
          </w:p>
        </w:tc>
        <w:tc>
          <w:tcPr>
            <w:tcW w:w="1315" w:type="dxa"/>
            <w:gridSpan w:val="2"/>
            <w:vAlign w:val="center"/>
          </w:tcPr>
          <w:p>
            <w:pPr>
              <w:spacing w:line="240" w:lineRule="exact"/>
              <w:ind w:left="-84" w:leftChars="-30" w:right="-84" w:rightChars="-30"/>
              <w:jc w:val="center"/>
              <w:rPr>
                <w:rFonts w:ascii="黑体" w:hAnsi="黑体" w:eastAsia="黑体" w:cs="宋体"/>
                <w:sz w:val="15"/>
                <w:szCs w:val="15"/>
              </w:rPr>
            </w:pPr>
            <w:r>
              <w:rPr>
                <w:rFonts w:hint="eastAsia" w:ascii="黑体" w:hAnsi="黑体" w:eastAsia="黑体" w:cs="宋体"/>
                <w:sz w:val="15"/>
                <w:szCs w:val="15"/>
              </w:rPr>
              <w:t>县    级</w:t>
            </w:r>
          </w:p>
        </w:tc>
        <w:tc>
          <w:tcPr>
            <w:tcW w:w="355" w:type="dxa"/>
            <w:vMerge w:val="restart"/>
            <w:vAlign w:val="center"/>
          </w:tcPr>
          <w:p>
            <w:pPr>
              <w:spacing w:line="220" w:lineRule="exact"/>
              <w:ind w:left="-140" w:leftChars="-50" w:right="-140" w:rightChars="-50"/>
              <w:jc w:val="center"/>
              <w:rPr>
                <w:rFonts w:ascii="黑体" w:hAnsi="黑体" w:eastAsia="黑体" w:cs="宋体"/>
                <w:sz w:val="15"/>
                <w:szCs w:val="15"/>
              </w:rPr>
            </w:pPr>
            <w:r>
              <w:rPr>
                <w:rFonts w:hint="eastAsia" w:ascii="黑体" w:hAnsi="黑体" w:eastAsia="黑体" w:cs="宋体"/>
                <w:sz w:val="15"/>
                <w:szCs w:val="15"/>
              </w:rPr>
              <w:t>直接取消审批</w:t>
            </w:r>
          </w:p>
        </w:tc>
        <w:tc>
          <w:tcPr>
            <w:tcW w:w="355" w:type="dxa"/>
            <w:vMerge w:val="restart"/>
            <w:vAlign w:val="center"/>
          </w:tcPr>
          <w:p>
            <w:pPr>
              <w:spacing w:line="220" w:lineRule="exact"/>
              <w:ind w:left="-140" w:leftChars="-50" w:right="-140" w:rightChars="-50"/>
              <w:jc w:val="center"/>
              <w:rPr>
                <w:rFonts w:ascii="黑体" w:hAnsi="黑体" w:eastAsia="黑体" w:cs="宋体"/>
                <w:sz w:val="15"/>
                <w:szCs w:val="15"/>
              </w:rPr>
            </w:pPr>
            <w:r>
              <w:rPr>
                <w:rFonts w:hint="eastAsia" w:ascii="黑体" w:hAnsi="黑体" w:eastAsia="黑体" w:cs="宋体"/>
                <w:sz w:val="15"/>
                <w:szCs w:val="15"/>
              </w:rPr>
              <w:t>审批改为备案</w:t>
            </w:r>
          </w:p>
        </w:tc>
        <w:tc>
          <w:tcPr>
            <w:tcW w:w="355" w:type="dxa"/>
            <w:vMerge w:val="restart"/>
            <w:vAlign w:val="center"/>
          </w:tcPr>
          <w:p>
            <w:pPr>
              <w:spacing w:line="220" w:lineRule="exact"/>
              <w:ind w:left="-140" w:leftChars="-50" w:right="-140" w:rightChars="-50"/>
              <w:jc w:val="center"/>
              <w:rPr>
                <w:rFonts w:ascii="黑体" w:hAnsi="黑体" w:eastAsia="黑体" w:cs="宋体"/>
                <w:sz w:val="15"/>
                <w:szCs w:val="15"/>
              </w:rPr>
            </w:pPr>
            <w:r>
              <w:rPr>
                <w:rFonts w:hint="eastAsia" w:ascii="黑体" w:hAnsi="黑体" w:eastAsia="黑体" w:cs="宋体"/>
                <w:sz w:val="15"/>
                <w:szCs w:val="15"/>
              </w:rPr>
              <w:t>实行告知承诺</w:t>
            </w:r>
          </w:p>
        </w:tc>
        <w:tc>
          <w:tcPr>
            <w:tcW w:w="355" w:type="dxa"/>
            <w:vMerge w:val="restart"/>
            <w:vAlign w:val="center"/>
          </w:tcPr>
          <w:p>
            <w:pPr>
              <w:spacing w:line="220" w:lineRule="exact"/>
              <w:ind w:left="-140" w:leftChars="-50" w:right="-140" w:rightChars="-50"/>
              <w:jc w:val="center"/>
              <w:rPr>
                <w:rFonts w:ascii="黑体" w:hAnsi="黑体" w:eastAsia="黑体" w:cs="宋体"/>
                <w:sz w:val="15"/>
                <w:szCs w:val="15"/>
              </w:rPr>
            </w:pPr>
            <w:r>
              <w:rPr>
                <w:rFonts w:hint="eastAsia" w:ascii="黑体" w:hAnsi="黑体" w:eastAsia="黑体" w:cs="宋体"/>
                <w:sz w:val="15"/>
                <w:szCs w:val="15"/>
              </w:rPr>
              <w:t>优化审批服务</w:t>
            </w:r>
          </w:p>
        </w:tc>
        <w:tc>
          <w:tcPr>
            <w:tcW w:w="1989"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2268"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889" w:type="dxa"/>
            <w:vMerge w:val="continue"/>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304"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557"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1485"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879"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1620"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657" w:type="dxa"/>
            <w:vAlign w:val="center"/>
          </w:tcPr>
          <w:p>
            <w:pPr>
              <w:spacing w:line="220" w:lineRule="exact"/>
              <w:ind w:left="-84" w:leftChars="-30" w:right="-84" w:rightChars="-30"/>
              <w:jc w:val="center"/>
              <w:rPr>
                <w:rFonts w:ascii="黑体" w:hAnsi="黑体" w:eastAsia="黑体" w:cs="宋体"/>
                <w:sz w:val="15"/>
                <w:szCs w:val="15"/>
              </w:rPr>
            </w:pPr>
            <w:r>
              <w:rPr>
                <w:rFonts w:hint="eastAsia" w:ascii="黑体" w:hAnsi="黑体" w:eastAsia="黑体" w:cs="宋体"/>
                <w:sz w:val="15"/>
                <w:szCs w:val="15"/>
              </w:rPr>
              <w:t>审批部门</w:t>
            </w:r>
          </w:p>
        </w:tc>
        <w:tc>
          <w:tcPr>
            <w:tcW w:w="658" w:type="dxa"/>
            <w:vAlign w:val="center"/>
          </w:tcPr>
          <w:p>
            <w:pPr>
              <w:spacing w:line="220" w:lineRule="exact"/>
              <w:ind w:left="-84" w:leftChars="-30" w:right="-84" w:rightChars="-30"/>
              <w:jc w:val="center"/>
              <w:rPr>
                <w:rFonts w:ascii="黑体" w:hAnsi="黑体" w:eastAsia="黑体" w:cs="宋体"/>
                <w:sz w:val="15"/>
                <w:szCs w:val="15"/>
              </w:rPr>
            </w:pPr>
            <w:r>
              <w:rPr>
                <w:rFonts w:hint="eastAsia" w:ascii="黑体" w:hAnsi="黑体" w:eastAsia="黑体" w:cs="宋体"/>
                <w:sz w:val="15"/>
                <w:szCs w:val="15"/>
              </w:rPr>
              <w:t>监管部门</w:t>
            </w:r>
          </w:p>
        </w:tc>
        <w:tc>
          <w:tcPr>
            <w:tcW w:w="657" w:type="dxa"/>
            <w:vAlign w:val="center"/>
          </w:tcPr>
          <w:p>
            <w:pPr>
              <w:spacing w:line="220" w:lineRule="exact"/>
              <w:ind w:left="-84" w:leftChars="-30" w:right="-84" w:rightChars="-30"/>
              <w:jc w:val="center"/>
              <w:rPr>
                <w:rFonts w:ascii="黑体" w:hAnsi="黑体" w:eastAsia="黑体" w:cs="宋体"/>
                <w:sz w:val="15"/>
                <w:szCs w:val="15"/>
              </w:rPr>
            </w:pPr>
            <w:r>
              <w:rPr>
                <w:rFonts w:hint="eastAsia" w:ascii="黑体" w:hAnsi="黑体" w:eastAsia="黑体" w:cs="宋体"/>
                <w:sz w:val="15"/>
                <w:szCs w:val="15"/>
              </w:rPr>
              <w:t>审批部门</w:t>
            </w:r>
          </w:p>
        </w:tc>
        <w:tc>
          <w:tcPr>
            <w:tcW w:w="658" w:type="dxa"/>
            <w:vAlign w:val="center"/>
          </w:tcPr>
          <w:p>
            <w:pPr>
              <w:spacing w:line="220" w:lineRule="exact"/>
              <w:ind w:left="-84" w:leftChars="-30" w:right="-84" w:rightChars="-30"/>
              <w:jc w:val="center"/>
              <w:rPr>
                <w:rFonts w:ascii="黑体" w:hAnsi="黑体" w:eastAsia="黑体" w:cs="宋体"/>
                <w:sz w:val="15"/>
                <w:szCs w:val="15"/>
              </w:rPr>
            </w:pPr>
            <w:r>
              <w:rPr>
                <w:rFonts w:hint="eastAsia" w:ascii="黑体" w:hAnsi="黑体" w:eastAsia="黑体" w:cs="宋体"/>
                <w:sz w:val="15"/>
                <w:szCs w:val="15"/>
              </w:rPr>
              <w:t>监管部门</w:t>
            </w:r>
          </w:p>
        </w:tc>
        <w:tc>
          <w:tcPr>
            <w:tcW w:w="355"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355"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355"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355"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1989"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2268" w:type="dxa"/>
            <w:vMerge w:val="continue"/>
            <w:vAlign w:val="center"/>
          </w:tcPr>
          <w:p>
            <w:pPr>
              <w:widowControl/>
              <w:spacing w:line="240" w:lineRule="exact"/>
              <w:ind w:left="-56" w:leftChars="-20" w:right="-56" w:rightChars="-20"/>
              <w:jc w:val="center"/>
              <w:rPr>
                <w:rFonts w:ascii="宋体" w:hAnsi="宋体" w:cs="宋体"/>
                <w:sz w:val="15"/>
                <w:szCs w:val="15"/>
              </w:rPr>
            </w:pPr>
          </w:p>
        </w:tc>
        <w:tc>
          <w:tcPr>
            <w:tcW w:w="889" w:type="dxa"/>
            <w:vMerge w:val="continue"/>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1" w:type="dxa"/>
            <w:gridSpan w:val="16"/>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一、中央层面设定的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1</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公安部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典当业特种行业许可证核发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典当业特种行业许可证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《国务院对确需保留的行政审批项目设定行政许可的决定》</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县级公安机关</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县级公安机关</w:t>
            </w: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取消“典当业特种行业许可证核发”。</w:t>
            </w:r>
          </w:p>
        </w:tc>
        <w:tc>
          <w:tcPr>
            <w:tcW w:w="2268" w:type="dxa"/>
            <w:vAlign w:val="center"/>
          </w:tcPr>
          <w:p>
            <w:pPr>
              <w:widowControl/>
              <w:spacing w:line="21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加强部门间信息共享，省级地方金融监管部门在实施“设立典当行及分支机构审批”后及时将有关信息推送至公安机关，公安机关及时将典当行及其分支机构纳入监管范围。</w:t>
            </w:r>
            <w:r>
              <w:rPr>
                <w:rFonts w:ascii="宋体" w:hAnsi="宋体" w:cs="宋体"/>
                <w:sz w:val="15"/>
                <w:szCs w:val="15"/>
              </w:rPr>
              <w:t>2.</w:t>
            </w:r>
            <w:r>
              <w:rPr>
                <w:rFonts w:hint="eastAsia" w:ascii="宋体" w:hAnsi="宋体" w:cs="宋体"/>
                <w:sz w:val="15"/>
                <w:szCs w:val="15"/>
              </w:rPr>
              <w:t>开展“双随机、一公开”监管，发现违法违规行为要依法查处并公开结果。</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2</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住房和城乡建设部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房地产开发企业四级资质核定</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房地产开发企业资质证书</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《中华人民共和国城市房地产管理法》《城市房地产开发经营管理条例》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市住建局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县级行政审批局或住建部门</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县级住建部门</w:t>
            </w: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将房地产开发企业资质由四级调整为两级，取消四级资质，相应调整二级资质的许可条件。</w:t>
            </w:r>
          </w:p>
        </w:tc>
        <w:tc>
          <w:tcPr>
            <w:tcW w:w="2268" w:type="dxa"/>
            <w:vAlign w:val="center"/>
          </w:tcPr>
          <w:p>
            <w:pPr>
              <w:widowControl/>
              <w:spacing w:line="21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开展“双随机、一公开”监管，依法查处违法违规行为并公开结果。</w:t>
            </w:r>
            <w:r>
              <w:rPr>
                <w:rFonts w:ascii="宋体" w:hAnsi="宋体" w:cs="宋体"/>
                <w:sz w:val="15"/>
                <w:szCs w:val="15"/>
              </w:rPr>
              <w:t>2.</w:t>
            </w:r>
            <w:r>
              <w:rPr>
                <w:rFonts w:hint="eastAsia" w:ascii="宋体" w:hAnsi="宋体" w:cs="宋体"/>
                <w:sz w:val="15"/>
                <w:szCs w:val="15"/>
              </w:rPr>
              <w:t>加强信用监管，依法依规对失信主体开展失信惩戒。</w:t>
            </w:r>
            <w:r>
              <w:rPr>
                <w:rFonts w:ascii="宋体" w:hAnsi="宋体" w:cs="宋体"/>
                <w:sz w:val="15"/>
                <w:szCs w:val="15"/>
              </w:rPr>
              <w:t>3.</w:t>
            </w:r>
            <w:r>
              <w:rPr>
                <w:rFonts w:hint="eastAsia" w:ascii="宋体" w:hAnsi="宋体" w:cs="宋体"/>
                <w:sz w:val="15"/>
                <w:szCs w:val="15"/>
              </w:rPr>
              <w:t>发挥行业协会自律作用。</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3</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住房和城乡建设部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施工企业资质认定（三级）</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建筑业企业资质证书</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《中华人民共和国建筑法》《建设工程安全生产管理条例》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市住建局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县级行政审批局或住建部门</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县级住建部门</w:t>
            </w: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将施工企业资质由三级调整为两级，取消三级资质，相应调整二级资质的许可条件。</w:t>
            </w:r>
          </w:p>
        </w:tc>
        <w:tc>
          <w:tcPr>
            <w:tcW w:w="2268" w:type="dxa"/>
            <w:vAlign w:val="center"/>
          </w:tcPr>
          <w:p>
            <w:pPr>
              <w:widowControl/>
              <w:spacing w:line="21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开展“双随机、一公开”监管，对在建工程项目实施重点监管，依法查处违法违规行为并公开结果。</w:t>
            </w:r>
            <w:r>
              <w:rPr>
                <w:rFonts w:ascii="宋体" w:hAnsi="宋体" w:cs="宋体"/>
                <w:sz w:val="15"/>
                <w:szCs w:val="15"/>
              </w:rPr>
              <w:t>2.</w:t>
            </w:r>
            <w:r>
              <w:rPr>
                <w:rFonts w:hint="eastAsia" w:ascii="宋体" w:hAnsi="宋体" w:cs="宋体"/>
                <w:sz w:val="15"/>
                <w:szCs w:val="15"/>
              </w:rPr>
              <w:t>严厉打击资质申报弄虚作假行为，对弄虚作假的企业依法予以通报或撤销其资质。</w:t>
            </w:r>
            <w:r>
              <w:rPr>
                <w:rFonts w:ascii="宋体" w:hAnsi="宋体" w:cs="宋体"/>
                <w:sz w:val="15"/>
                <w:szCs w:val="15"/>
              </w:rPr>
              <w:t>3.</w:t>
            </w:r>
            <w:r>
              <w:rPr>
                <w:rFonts w:hint="eastAsia" w:ascii="宋体" w:hAnsi="宋体" w:cs="宋体"/>
                <w:sz w:val="15"/>
                <w:szCs w:val="15"/>
              </w:rPr>
              <w:t>加强信用监管，依法依规对失信主体开展失信惩戒。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4</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诊所设置审批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无</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《医疗机构管理条例》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市卫健委</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县级行政审批局或卫生健康部门</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w:t>
            </w: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开办诊所不再向卫生健康部门申请办理设置审批，直接办理诊所执业备案。</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完善医疗服务监管信息系统，要求诊所将诊疗信息及时上传信息系统。</w:t>
            </w:r>
            <w:r>
              <w:rPr>
                <w:rFonts w:ascii="宋体" w:hAnsi="宋体" w:cs="宋体"/>
                <w:sz w:val="15"/>
                <w:szCs w:val="15"/>
              </w:rPr>
              <w:t>2.</w:t>
            </w:r>
            <w:r>
              <w:rPr>
                <w:rFonts w:hint="eastAsia" w:ascii="宋体" w:hAnsi="宋体" w:cs="宋体"/>
                <w:sz w:val="15"/>
                <w:szCs w:val="15"/>
              </w:rPr>
              <w:t>加强监督管理，根据相关管理规定，发现问题依法严肃处理。</w:t>
            </w:r>
            <w:r>
              <w:rPr>
                <w:rFonts w:ascii="宋体" w:hAnsi="宋体" w:cs="宋体"/>
                <w:sz w:val="15"/>
                <w:szCs w:val="15"/>
              </w:rPr>
              <w:t>3.</w:t>
            </w:r>
            <w:r>
              <w:rPr>
                <w:rFonts w:hint="eastAsia" w:ascii="宋体" w:hAnsi="宋体" w:cs="宋体"/>
                <w:sz w:val="15"/>
                <w:szCs w:val="15"/>
              </w:rPr>
              <w:t>将诊所执业状况记入诊所主要负责人个人诚信记录，强化信用约束。</w:t>
            </w:r>
            <w:r>
              <w:rPr>
                <w:rFonts w:ascii="宋体" w:hAnsi="宋体" w:cs="宋体"/>
                <w:sz w:val="15"/>
                <w:szCs w:val="15"/>
              </w:rPr>
              <w:t>4.</w:t>
            </w:r>
            <w:r>
              <w:rPr>
                <w:rFonts w:hint="eastAsia" w:ascii="宋体" w:hAnsi="宋体" w:cs="宋体"/>
                <w:sz w:val="15"/>
                <w:szCs w:val="15"/>
              </w:rPr>
              <w:t>向社会公开诊所有关信息和医师、护士注册信息，加强行业自律和社会监督。</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5</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计划生育技术服务机构设立许可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计划生育技术服务机构执业许可证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《计划生育技术服务管理条例》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县级行政审批局或卫生健康部门</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w:t>
            </w: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取消“计划生育技术服务机构设立许可”，纳入“母婴保健专项技术服务许可”进行统一审批管理。</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加强监督管理，发现违法违规行为要依法查处并公开结果。</w:t>
            </w:r>
            <w:r>
              <w:rPr>
                <w:rFonts w:ascii="宋体" w:hAnsi="宋体" w:cs="宋体"/>
                <w:sz w:val="15"/>
                <w:szCs w:val="15"/>
              </w:rPr>
              <w:t>2.</w:t>
            </w:r>
            <w:r>
              <w:rPr>
                <w:rFonts w:hint="eastAsia" w:ascii="宋体" w:hAnsi="宋体" w:cs="宋体"/>
                <w:sz w:val="15"/>
                <w:szCs w:val="15"/>
              </w:rPr>
              <w:t>加强信用监管，将计划生育技术服务机构执业状况记入信用记录并依法向社会公布。</w:t>
            </w:r>
            <w:r>
              <w:rPr>
                <w:rFonts w:ascii="宋体" w:hAnsi="宋体" w:cs="宋体"/>
                <w:sz w:val="15"/>
                <w:szCs w:val="15"/>
              </w:rPr>
              <w:t>3.</w:t>
            </w:r>
            <w:r>
              <w:rPr>
                <w:rFonts w:hint="eastAsia" w:ascii="宋体" w:hAnsi="宋体" w:cs="宋体"/>
                <w:sz w:val="15"/>
                <w:szCs w:val="15"/>
              </w:rPr>
              <w:t>依法及时处理投诉举报。</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6</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部分医疗机构（除三级医院、三级妇幼保健院、急救中心、急救站、临床检验中心、中外合资合作医疗机构、港澳台独资医疗机构外）《设置医疗机构批准书》核发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设置医疗机构批准书</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《医疗机构管理条例》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市卫健委</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县级行政审批局或卫生健康部门</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w:t>
            </w: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对医疗机构开展定期校验，加强对医疗机构执业活动的监管，发现违法违规行为要依法查处并公开结果。</w:t>
            </w:r>
            <w:r>
              <w:rPr>
                <w:rFonts w:ascii="宋体" w:hAnsi="宋体" w:cs="宋体"/>
                <w:sz w:val="15"/>
                <w:szCs w:val="15"/>
              </w:rPr>
              <w:t>2.</w:t>
            </w:r>
            <w:r>
              <w:rPr>
                <w:rFonts w:hint="eastAsia" w:ascii="宋体" w:hAnsi="宋体" w:cs="宋体"/>
                <w:sz w:val="15"/>
                <w:szCs w:val="15"/>
              </w:rPr>
              <w:t>组织开展医疗机构评审。</w:t>
            </w:r>
            <w:r>
              <w:rPr>
                <w:rFonts w:ascii="宋体" w:hAnsi="宋体" w:cs="宋体"/>
                <w:sz w:val="15"/>
                <w:szCs w:val="15"/>
              </w:rPr>
              <w:t>3.</w:t>
            </w:r>
            <w:r>
              <w:rPr>
                <w:rFonts w:hint="eastAsia" w:ascii="宋体" w:hAnsi="宋体" w:cs="宋体"/>
                <w:sz w:val="15"/>
                <w:szCs w:val="15"/>
              </w:rPr>
              <w:t>依法及时处理投诉举报。</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7</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市场监督管理总局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广告发布登记</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关于准予广告发布登记的通知书</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《中华人民共和国广告法》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市市场监管局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县级行政审批局或市场监管局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县级市场监管局</w:t>
            </w: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取消“广告发布登记”。</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加大广告监测力度，发现广告发布机构发布虚假违法广告要依法查处。</w:t>
            </w:r>
            <w:r>
              <w:rPr>
                <w:rFonts w:ascii="宋体" w:hAnsi="宋体" w:cs="宋体"/>
                <w:sz w:val="15"/>
                <w:szCs w:val="15"/>
              </w:rPr>
              <w:t>2.</w:t>
            </w:r>
            <w:r>
              <w:rPr>
                <w:rFonts w:hint="eastAsia" w:ascii="宋体" w:hAnsi="宋体" w:cs="宋体"/>
                <w:sz w:val="15"/>
                <w:szCs w:val="15"/>
              </w:rPr>
              <w:t>加强协同监管，联合有关部门共同做好广告发布机构监管工作。</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8</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国家林业和草原局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在草原上开展经营性旅游活动审批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草原作业许可证（草原经营性旅游活动）</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《中华人民共和国草原法》</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县级林草主管部门或行政审批局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县级林草主管部门</w:t>
            </w: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取消“在草原上开展经营性旅游活动审批”。</w:t>
            </w:r>
          </w:p>
        </w:tc>
        <w:tc>
          <w:tcPr>
            <w:tcW w:w="2268"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开展“双随机、一公开”监管，在草原征占用行为监管过程中，一并对有关经营性旅游活动进行检查，发现违法违规行为要依法查处并公开结果。</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9</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交通运输部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机动车驾驶员培训许可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道路运输经营许可证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《中华人民共和国道路交通安全法》《中华人民共和国道路运输条例》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取消“机动车驾驶员培训许可”，改为备案管理。</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健全信用管理制度，强化对驾驶培训机构和教练员的信用监管。</w:t>
            </w:r>
            <w:r>
              <w:rPr>
                <w:rFonts w:ascii="宋体" w:hAnsi="宋体" w:cs="宋体"/>
                <w:sz w:val="15"/>
                <w:szCs w:val="15"/>
              </w:rPr>
              <w:t>2.</w:t>
            </w:r>
            <w:r>
              <w:rPr>
                <w:rFonts w:hint="eastAsia" w:ascii="宋体" w:hAnsi="宋体" w:cs="宋体"/>
                <w:sz w:val="15"/>
                <w:szCs w:val="15"/>
              </w:rPr>
              <w:t>加强与公安、市场监管部门的信息共享，实施跨部门联合监管。</w:t>
            </w:r>
            <w:r>
              <w:rPr>
                <w:rFonts w:ascii="宋体" w:hAnsi="宋体" w:cs="宋体"/>
                <w:sz w:val="15"/>
                <w:szCs w:val="15"/>
              </w:rPr>
              <w:t>3.</w:t>
            </w:r>
            <w:r>
              <w:rPr>
                <w:rFonts w:hint="eastAsia" w:ascii="宋体" w:hAnsi="宋体" w:cs="宋体"/>
                <w:sz w:val="15"/>
                <w:szCs w:val="15"/>
              </w:rPr>
              <w:t>开展“双随机、一公开”监管，对培训学时造假等违法违规行为依法查处并公开结果。</w:t>
            </w:r>
            <w:r>
              <w:rPr>
                <w:rFonts w:ascii="宋体" w:hAnsi="宋体" w:cs="宋体"/>
                <w:sz w:val="15"/>
                <w:szCs w:val="15"/>
              </w:rPr>
              <w:t>4.</w:t>
            </w:r>
            <w:r>
              <w:rPr>
                <w:rFonts w:hint="eastAsia" w:ascii="宋体" w:hAnsi="宋体" w:cs="宋体"/>
                <w:sz w:val="15"/>
                <w:szCs w:val="15"/>
              </w:rPr>
              <w:t>严厉打击虚假备案行为，对弄虚作假的培训机构依法予以处理，情节严重的实行行业禁入。</w:t>
            </w:r>
          </w:p>
        </w:tc>
        <w:tc>
          <w:tcPr>
            <w:tcW w:w="8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改备案后实施部门为县级交通运输部门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10</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诊所执业登记</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医疗机构执业许可证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《医疗机构管理条例》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市卫健委</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取消对诊所执业的许可准入管理，改为备案管理。</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建立健全诊所备案制度，及时将备案诊所纳入医疗质量控制体系。加强对未备案行为的监管。</w:t>
            </w:r>
            <w:r>
              <w:rPr>
                <w:rFonts w:ascii="宋体" w:hAnsi="宋体" w:cs="宋体"/>
                <w:sz w:val="15"/>
                <w:szCs w:val="15"/>
              </w:rPr>
              <w:t>2.</w:t>
            </w:r>
            <w:r>
              <w:rPr>
                <w:rFonts w:hint="eastAsia" w:ascii="宋体" w:hAnsi="宋体" w:cs="宋体"/>
                <w:sz w:val="15"/>
                <w:szCs w:val="15"/>
              </w:rPr>
              <w:t>完善医疗服务监管信息系统，要求诊所将诊疗信息及时上传信息系统。</w:t>
            </w:r>
            <w:r>
              <w:rPr>
                <w:rFonts w:ascii="宋体" w:hAnsi="宋体" w:cs="宋体"/>
                <w:sz w:val="15"/>
                <w:szCs w:val="15"/>
              </w:rPr>
              <w:t>3.</w:t>
            </w:r>
            <w:r>
              <w:rPr>
                <w:rFonts w:hint="eastAsia" w:ascii="宋体" w:hAnsi="宋体" w:cs="宋体"/>
                <w:sz w:val="15"/>
                <w:szCs w:val="15"/>
              </w:rPr>
              <w:t>加强监督管理，根据相关管理规定，发现问题依法严肃处理。</w:t>
            </w:r>
            <w:r>
              <w:rPr>
                <w:rFonts w:ascii="宋体" w:hAnsi="宋体" w:cs="宋体"/>
                <w:sz w:val="15"/>
                <w:szCs w:val="15"/>
              </w:rPr>
              <w:t>4.</w:t>
            </w:r>
            <w:r>
              <w:rPr>
                <w:rFonts w:hint="eastAsia" w:ascii="宋体" w:hAnsi="宋体" w:cs="宋体"/>
                <w:sz w:val="15"/>
                <w:szCs w:val="15"/>
              </w:rPr>
              <w:t>依法将诊所执业状况记入诊所主要负责人个人诚信记录，强化信用约束。</w:t>
            </w:r>
            <w:r>
              <w:rPr>
                <w:rFonts w:ascii="宋体" w:hAnsi="宋体" w:cs="宋体"/>
                <w:sz w:val="15"/>
                <w:szCs w:val="15"/>
              </w:rPr>
              <w:t>5.</w:t>
            </w:r>
            <w:r>
              <w:rPr>
                <w:rFonts w:hint="eastAsia" w:ascii="宋体" w:hAnsi="宋体" w:cs="宋体"/>
                <w:sz w:val="15"/>
                <w:szCs w:val="15"/>
              </w:rPr>
              <w:t>向社会公开诊所备案信息和医师、护士注册信息，加强行业自律和社会监督。</w:t>
            </w:r>
          </w:p>
        </w:tc>
        <w:tc>
          <w:tcPr>
            <w:tcW w:w="8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改备案后实施部门为市、县级卫生健康部门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1</w:t>
            </w:r>
            <w:r>
              <w:rPr>
                <w:rFonts w:hint="eastAsia" w:ascii="宋体" w:hAnsi="宋体" w:cs="宋体"/>
                <w:sz w:val="15"/>
                <w:szCs w:val="15"/>
              </w:rPr>
              <w:t>1</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市场监督管理总局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食品经营许可（仅销售预包装食品）</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食品经营许可证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《中华人民共和国食品安全法》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市市场监管局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对仅销售预包装食品的企业，取消食品经营许可，改为备案管理。</w:t>
            </w:r>
            <w:r>
              <w:rPr>
                <w:rFonts w:ascii="宋体" w:hAnsi="宋体" w:cs="宋体"/>
                <w:sz w:val="15"/>
                <w:szCs w:val="15"/>
              </w:rPr>
              <w:t>2.</w:t>
            </w:r>
            <w:r>
              <w:rPr>
                <w:rFonts w:hint="eastAsia" w:ascii="宋体" w:hAnsi="宋体" w:cs="宋体"/>
                <w:sz w:val="15"/>
                <w:szCs w:val="15"/>
              </w:rPr>
              <w:t>将“食品经营备案（仅销售预包装食品）”纳入“多证合一”范围，在企业登记注册环节一并办理备案手续。</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对备案企业加强监督检查，重点检查备案信息与实际情况是否相符、备案企业是否经营预包装食品以外的其他食品，依法严厉打击违规经营行为。</w:t>
            </w:r>
            <w:r>
              <w:rPr>
                <w:rFonts w:ascii="宋体" w:hAnsi="宋体" w:cs="宋体"/>
                <w:sz w:val="15"/>
                <w:szCs w:val="15"/>
              </w:rPr>
              <w:t>2.</w:t>
            </w:r>
            <w:r>
              <w:rPr>
                <w:rFonts w:hint="eastAsia" w:ascii="宋体" w:hAnsi="宋体" w:cs="宋体"/>
                <w:sz w:val="15"/>
                <w:szCs w:val="15"/>
              </w:rPr>
              <w:t>加强食品销售风险分级管理和信用监管，将虚假备案、违规经营等信息记入企业食品安全信用记录，依法依规对失信主体开展失信惩戒，依法查处违法违规行为。</w:t>
            </w:r>
            <w:r>
              <w:rPr>
                <w:rFonts w:ascii="宋体" w:hAnsi="宋体" w:cs="宋体"/>
                <w:sz w:val="15"/>
                <w:szCs w:val="15"/>
              </w:rPr>
              <w:t>3.</w:t>
            </w:r>
            <w:r>
              <w:rPr>
                <w:rFonts w:hint="eastAsia" w:ascii="宋体" w:hAnsi="宋体" w:cs="宋体"/>
                <w:sz w:val="15"/>
                <w:szCs w:val="15"/>
              </w:rPr>
              <w:t>畅通投诉举报渠道，强化社会监督。</w:t>
            </w:r>
          </w:p>
        </w:tc>
        <w:tc>
          <w:tcPr>
            <w:tcW w:w="8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改备案后实施部门为市、县级市场监管部门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1</w:t>
            </w:r>
            <w:r>
              <w:rPr>
                <w:rFonts w:hint="eastAsia" w:ascii="宋体" w:hAnsi="宋体" w:cs="宋体"/>
                <w:sz w:val="15"/>
                <w:szCs w:val="15"/>
              </w:rPr>
              <w:t>2</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国家粮食和物资储备局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粮食收购资格认定</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粮食收购许可证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《粮食流通管理条例》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县级粮食和储备部门或行政审批局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县级粮食和储备部门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取消“粮食收购资格认定”，改为备案管理。</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通过“双随机、一公开”监管、重点监管等方式，依法查处违法违规企业。</w:t>
            </w:r>
            <w:r>
              <w:rPr>
                <w:rFonts w:ascii="宋体" w:hAnsi="宋体" w:cs="宋体"/>
                <w:sz w:val="15"/>
                <w:szCs w:val="15"/>
              </w:rPr>
              <w:t>2.</w:t>
            </w:r>
            <w:r>
              <w:rPr>
                <w:rFonts w:hint="eastAsia" w:ascii="宋体" w:hAnsi="宋体" w:cs="宋体"/>
                <w:sz w:val="15"/>
                <w:szCs w:val="15"/>
              </w:rPr>
              <w:t>加强信用监管，依法向社会公布企业信用状况，依法依规对失信主体开展失信惩戒。</w:t>
            </w:r>
            <w:r>
              <w:rPr>
                <w:rFonts w:ascii="宋体" w:hAnsi="宋体" w:cs="宋体"/>
                <w:sz w:val="15"/>
                <w:szCs w:val="15"/>
              </w:rPr>
              <w:t>3.</w:t>
            </w:r>
            <w:r>
              <w:rPr>
                <w:rFonts w:hint="eastAsia" w:ascii="宋体" w:hAnsi="宋体" w:cs="宋体"/>
                <w:sz w:val="15"/>
                <w:szCs w:val="15"/>
              </w:rPr>
              <w:t>严厉打击弄虚作假行为，对弄虚作假的企业依法予以处理。</w:t>
            </w:r>
          </w:p>
        </w:tc>
        <w:tc>
          <w:tcPr>
            <w:tcW w:w="8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br w:type="textWrapping"/>
            </w:r>
            <w:r>
              <w:rPr>
                <w:rFonts w:hint="eastAsia" w:ascii="宋体" w:hAnsi="宋体" w:cs="宋体"/>
                <w:sz w:val="15"/>
                <w:szCs w:val="15"/>
              </w:rPr>
              <w:t>改备案后实施部门为县级粮食和储备部门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1</w:t>
            </w:r>
            <w:r>
              <w:rPr>
                <w:rFonts w:hint="eastAsia" w:ascii="宋体" w:hAnsi="宋体" w:cs="宋体"/>
                <w:sz w:val="15"/>
                <w:szCs w:val="15"/>
              </w:rPr>
              <w:t>3</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公安部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旅馆业特种行业许可证核发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旅馆业特种行业许可证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《国务院对确需保留的行政审批项目设定行政许可的决定》《旅馆业治安管理办法》</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县级公安机关</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县级公安机关</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26"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加强对承诺内容真实性的核查，发现虚假承诺、承诺严重不实的要依法处理。</w:t>
            </w:r>
            <w:r>
              <w:rPr>
                <w:rFonts w:ascii="宋体" w:hAnsi="宋体" w:cs="宋体"/>
                <w:sz w:val="15"/>
                <w:szCs w:val="15"/>
              </w:rPr>
              <w:t>2.</w:t>
            </w:r>
            <w:r>
              <w:rPr>
                <w:rFonts w:hint="eastAsia" w:ascii="宋体" w:hAnsi="宋体" w:cs="宋体"/>
                <w:sz w:val="15"/>
                <w:szCs w:val="15"/>
              </w:rPr>
              <w:t>开展“双随机、一公开”监管，依法查处违法违规行为。</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1</w:t>
            </w:r>
            <w:r>
              <w:rPr>
                <w:rFonts w:hint="eastAsia" w:ascii="宋体" w:hAnsi="宋体" w:cs="宋体"/>
                <w:sz w:val="15"/>
                <w:szCs w:val="15"/>
              </w:rPr>
              <w:t>4</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公安部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公章刻制业特种行业许可证核发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公章刻制业特种行业许可证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《国务院对确需保留的行政审批项目设定行政许可的决定》《印铸刻字业暂行管理规则》</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县级公安机关</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县级公安机关</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2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加强对承诺内容真实性的核查，发现虚假承诺、承诺严重不实的要依法处理。</w:t>
            </w:r>
            <w:r>
              <w:rPr>
                <w:rFonts w:ascii="宋体" w:hAnsi="宋体" w:cs="宋体"/>
                <w:sz w:val="15"/>
                <w:szCs w:val="15"/>
              </w:rPr>
              <w:t>2.</w:t>
            </w:r>
            <w:r>
              <w:rPr>
                <w:rFonts w:hint="eastAsia" w:ascii="宋体" w:hAnsi="宋体" w:cs="宋体"/>
                <w:sz w:val="15"/>
                <w:szCs w:val="15"/>
              </w:rPr>
              <w:t>开展“双随机、一公开”监管，依法查处违法违规行为。</w:t>
            </w:r>
            <w:r>
              <w:rPr>
                <w:rFonts w:ascii="宋体" w:hAnsi="宋体" w:cs="宋体"/>
                <w:sz w:val="15"/>
                <w:szCs w:val="15"/>
              </w:rPr>
              <w:t>3.</w:t>
            </w:r>
            <w:r>
              <w:rPr>
                <w:rFonts w:hint="eastAsia" w:ascii="宋体" w:hAnsi="宋体" w:cs="宋体"/>
                <w:sz w:val="15"/>
                <w:szCs w:val="15"/>
              </w:rPr>
              <w:t>加强公章刻制备案管理，督促公章刻制企业严格落实公章刻制备案管理要求，及时规范上传、报送公章刻制备案信息。</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1</w:t>
            </w:r>
            <w:r>
              <w:rPr>
                <w:rFonts w:hint="eastAsia" w:ascii="宋体" w:hAnsi="宋体" w:cs="宋体"/>
                <w:sz w:val="15"/>
                <w:szCs w:val="15"/>
              </w:rPr>
              <w:t>5</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公安部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互联网上网服务营业场所信息网络安全审核</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批准文件</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《互联网上网服务营业场所管理条例》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市公安局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市公安局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县级公安机关</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县级公安机关</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2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加强对承诺内容真实性的核查，发现虚假承诺、承诺严重不实的要依法处理。</w:t>
            </w:r>
            <w:r>
              <w:rPr>
                <w:rFonts w:ascii="宋体" w:hAnsi="宋体" w:cs="宋体"/>
                <w:sz w:val="15"/>
                <w:szCs w:val="15"/>
              </w:rPr>
              <w:t>2.</w:t>
            </w:r>
            <w:r>
              <w:rPr>
                <w:rFonts w:hint="eastAsia" w:ascii="宋体" w:hAnsi="宋体" w:cs="宋体"/>
                <w:sz w:val="15"/>
                <w:szCs w:val="15"/>
              </w:rPr>
              <w:t>开展“双随机、一公开”监管，依法查处违法违规行为。</w:t>
            </w:r>
            <w:r>
              <w:rPr>
                <w:rFonts w:ascii="宋体" w:hAnsi="宋体" w:cs="宋体"/>
                <w:sz w:val="15"/>
                <w:szCs w:val="15"/>
              </w:rPr>
              <w:t>3.</w:t>
            </w:r>
            <w:r>
              <w:rPr>
                <w:rFonts w:hint="eastAsia" w:ascii="宋体" w:hAnsi="宋体" w:cs="宋体"/>
                <w:sz w:val="15"/>
                <w:szCs w:val="15"/>
              </w:rPr>
              <w:t>加强信用监管，建立从业人员信用记录，依法依规对失信主体开展失信惩戒。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16</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财政部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中介机构从事代理记账业务审批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代理记账许可证书</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《中华人民共和国会计法》</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县级财政部门或行政审批局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县级财政部门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2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对以告知承诺方式取得代理记账资格的中介机构，在一定期限内进行全覆盖检查，加强对其承诺内容真实性的核查，发现虚假承诺或承诺严重不实的要依法处理。</w:t>
            </w:r>
            <w:r>
              <w:rPr>
                <w:rFonts w:ascii="宋体" w:hAnsi="宋体" w:cs="宋体"/>
                <w:sz w:val="15"/>
                <w:szCs w:val="15"/>
              </w:rPr>
              <w:t>2.</w:t>
            </w:r>
            <w:r>
              <w:rPr>
                <w:rFonts w:hint="eastAsia" w:ascii="宋体" w:hAnsi="宋体" w:cs="宋体"/>
                <w:sz w:val="15"/>
                <w:szCs w:val="15"/>
              </w:rPr>
              <w:t>开展“双随机、一公开”监管，并根据企业受到处罚情况、其他部门移交线索、群众举报等实施重点监管。</w:t>
            </w:r>
            <w:r>
              <w:rPr>
                <w:rFonts w:ascii="宋体" w:hAnsi="宋体" w:cs="宋体"/>
                <w:sz w:val="15"/>
                <w:szCs w:val="15"/>
              </w:rPr>
              <w:t>3.</w:t>
            </w:r>
            <w:r>
              <w:rPr>
                <w:rFonts w:hint="eastAsia" w:ascii="宋体" w:hAnsi="宋体" w:cs="宋体"/>
                <w:sz w:val="15"/>
                <w:szCs w:val="15"/>
              </w:rPr>
              <w:t>加强信用监管，依法向社会公布中介机构信用状况和违法中介机构名单，依法依规对失信主体开展失信惩戒。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17</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人力资源和社会保障部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民办职业培训学校设立、分立、合并、变更及终止审批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民办学校办学许可证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《中华人民共和国民办教育促进法》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市人社局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县级人力资源社会保障部门或行政审批局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县级人力资源社会保障部门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2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加强信用监管，依法向社会公布民办职业培训学校信用状况，依法依规对失信主体开展失信惩戒。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18</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人力资源和社会保障部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人力资源服务许可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人力资源服务许可证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《中华人民共和国就业促进法》《人力资源市场暂行条例》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市人社局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县级人力资源社会保障部门或行政审批局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县级人力资源社会保障部门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2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加强信用监管，依法向社会公布人力资源服务机构信用状况，依法依规对失信主体开展失信惩戒。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19</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住房和城乡建设部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从事生活垃圾（含粪便）经营性清扫、收集、运输、处理服务审批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从事生活垃圾（含粪便）经营性清扫、收集、运输、处理服务许可证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《国务院对确需保留的行政审批项目设定行政许可的决定》</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县级住房和城乡建设（环境卫生）部门或行政审批局</w:t>
            </w:r>
          </w:p>
        </w:tc>
        <w:tc>
          <w:tcPr>
            <w:tcW w:w="658" w:type="dxa"/>
            <w:vAlign w:val="center"/>
          </w:tcPr>
          <w:p>
            <w:pPr>
              <w:widowControl/>
              <w:spacing w:line="220" w:lineRule="exact"/>
              <w:ind w:left="-84" w:leftChars="-30" w:right="-84" w:rightChars="-30"/>
              <w:jc w:val="left"/>
              <w:rPr>
                <w:rFonts w:ascii="宋体" w:hAnsi="宋体" w:cs="宋体"/>
                <w:sz w:val="15"/>
                <w:szCs w:val="15"/>
              </w:rPr>
            </w:pPr>
            <w:r>
              <w:rPr>
                <w:rFonts w:hint="eastAsia" w:ascii="宋体" w:hAnsi="宋体" w:cs="宋体"/>
                <w:sz w:val="15"/>
                <w:szCs w:val="15"/>
              </w:rPr>
              <w:t>县级城市管理部门，住房和城乡建设（环境卫生）部门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20" w:lineRule="exact"/>
              <w:ind w:left="-56" w:leftChars="-20" w:right="-56" w:rightChars="-20"/>
              <w:rPr>
                <w:rFonts w:ascii="宋体" w:hAnsi="宋体" w:cs="宋体"/>
                <w:spacing w:val="-2"/>
                <w:sz w:val="15"/>
                <w:szCs w:val="15"/>
              </w:rPr>
            </w:pPr>
            <w:r>
              <w:rPr>
                <w:rFonts w:ascii="宋体" w:hAnsi="宋体" w:cs="宋体"/>
                <w:spacing w:val="-2"/>
                <w:sz w:val="15"/>
                <w:szCs w:val="15"/>
              </w:rPr>
              <w:t>1.</w:t>
            </w:r>
            <w:r>
              <w:rPr>
                <w:rFonts w:hint="eastAsia" w:ascii="宋体" w:hAnsi="宋体" w:cs="宋体"/>
                <w:spacing w:val="-2"/>
                <w:sz w:val="15"/>
                <w:szCs w:val="15"/>
              </w:rPr>
              <w:t>发现企业不符合承诺条件开展经营的责令限期整改，逾期不整改或整改后仍达不到要求的依法撤销许可证件。</w:t>
            </w:r>
            <w:r>
              <w:rPr>
                <w:rFonts w:ascii="宋体" w:hAnsi="宋体" w:cs="宋体"/>
                <w:spacing w:val="-2"/>
                <w:sz w:val="15"/>
                <w:szCs w:val="15"/>
              </w:rPr>
              <w:t>2.</w:t>
            </w:r>
            <w:r>
              <w:rPr>
                <w:rFonts w:hint="eastAsia" w:ascii="宋体" w:hAnsi="宋体" w:cs="宋体"/>
                <w:spacing w:val="-2"/>
                <w:sz w:val="15"/>
                <w:szCs w:val="15"/>
              </w:rPr>
              <w:t>构建生活垃圾经营性服务全过程监管体系，强化日常监管。</w:t>
            </w:r>
            <w:r>
              <w:rPr>
                <w:rFonts w:ascii="宋体" w:hAnsi="宋体" w:cs="宋体"/>
                <w:spacing w:val="-2"/>
                <w:sz w:val="15"/>
                <w:szCs w:val="15"/>
              </w:rPr>
              <w:t>3.</w:t>
            </w:r>
            <w:r>
              <w:rPr>
                <w:rFonts w:hint="eastAsia" w:ascii="宋体" w:hAnsi="宋体" w:cs="宋体"/>
                <w:spacing w:val="-2"/>
                <w:sz w:val="15"/>
                <w:szCs w:val="15"/>
              </w:rPr>
              <w:t>推动生活垃圾无害化处理设施建设和运营信息公开。</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20</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交通运输部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道路货运经营许可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道路运输经营许可证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《中华人民共和国道路运输条例》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市交通运输局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强化市场监管、交通运输等部门之间登记许可信息共享。</w:t>
            </w:r>
            <w:r>
              <w:rPr>
                <w:rFonts w:ascii="宋体" w:hAnsi="宋体" w:cs="宋体"/>
                <w:sz w:val="15"/>
                <w:szCs w:val="15"/>
              </w:rPr>
              <w:t>2.</w:t>
            </w:r>
            <w:r>
              <w:rPr>
                <w:rFonts w:hint="eastAsia" w:ascii="宋体" w:hAnsi="宋体" w:cs="宋体"/>
                <w:sz w:val="15"/>
                <w:szCs w:val="15"/>
              </w:rPr>
              <w:t>在实施许可后一定时期内加强监督检查，对不符合承诺条件开展经营的要责令限期整改，逾期不整改或整改后仍达不到要求的，要依法撤销许可证件。</w:t>
            </w:r>
            <w:r>
              <w:rPr>
                <w:rFonts w:ascii="宋体" w:hAnsi="宋体" w:cs="宋体"/>
                <w:sz w:val="15"/>
                <w:szCs w:val="15"/>
              </w:rPr>
              <w:t>3.</w:t>
            </w:r>
            <w:r>
              <w:rPr>
                <w:rFonts w:hint="eastAsia" w:ascii="宋体" w:hAnsi="宋体" w:cs="宋体"/>
                <w:sz w:val="15"/>
                <w:szCs w:val="15"/>
              </w:rPr>
              <w:t>发挥行业协会自律作用。</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2</w:t>
            </w:r>
            <w:r>
              <w:rPr>
                <w:rFonts w:hint="eastAsia" w:ascii="宋体" w:hAnsi="宋体" w:cs="宋体"/>
                <w:sz w:val="15"/>
                <w:szCs w:val="15"/>
              </w:rPr>
              <w:t>1</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交通运输部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道路旅客运输站经营许可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道路运输经营许可证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《中华人民共和国道路运输条例》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市交通运输局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强化市场监管、交通运输等部门之间的登记许可信息共享。</w:t>
            </w:r>
            <w:r>
              <w:rPr>
                <w:rFonts w:ascii="宋体" w:hAnsi="宋体" w:cs="宋体"/>
                <w:sz w:val="15"/>
                <w:szCs w:val="15"/>
              </w:rPr>
              <w:t>2.</w:t>
            </w:r>
            <w:r>
              <w:rPr>
                <w:rFonts w:hint="eastAsia" w:ascii="宋体" w:hAnsi="宋体" w:cs="宋体"/>
                <w:sz w:val="15"/>
                <w:szCs w:val="15"/>
              </w:rPr>
              <w:t>向社会公开承诺内容，加强社会监督。</w:t>
            </w:r>
            <w:r>
              <w:rPr>
                <w:rFonts w:ascii="宋体" w:hAnsi="宋体" w:cs="宋体"/>
                <w:sz w:val="15"/>
                <w:szCs w:val="15"/>
              </w:rPr>
              <w:t>3.</w:t>
            </w:r>
            <w:r>
              <w:rPr>
                <w:rFonts w:hint="eastAsia" w:ascii="宋体" w:hAnsi="宋体" w:cs="宋体"/>
                <w:sz w:val="15"/>
                <w:szCs w:val="15"/>
              </w:rPr>
              <w:t>在实施许可后一定时期内加强监督检查，对不符合承诺条件开展经营的要责令限期整改，逾期不整改或整改后仍达不到要求的，要依法撤销许可证件。</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56" w:lineRule="exact"/>
              <w:ind w:left="-56" w:leftChars="-20" w:right="-56" w:rightChars="-20"/>
              <w:jc w:val="center"/>
              <w:rPr>
                <w:rFonts w:ascii="宋体" w:hAnsi="宋体" w:cs="宋体"/>
                <w:sz w:val="15"/>
                <w:szCs w:val="15"/>
              </w:rPr>
            </w:pPr>
            <w:r>
              <w:rPr>
                <w:rFonts w:ascii="宋体" w:hAnsi="宋体" w:cs="宋体"/>
                <w:sz w:val="15"/>
                <w:szCs w:val="15"/>
              </w:rPr>
              <w:t>2</w:t>
            </w:r>
            <w:r>
              <w:rPr>
                <w:rFonts w:hint="eastAsia" w:ascii="宋体" w:hAnsi="宋体" w:cs="宋体"/>
                <w:sz w:val="15"/>
                <w:szCs w:val="15"/>
              </w:rPr>
              <w:t>2</w:t>
            </w:r>
          </w:p>
        </w:tc>
        <w:tc>
          <w:tcPr>
            <w:tcW w:w="557"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公共场所卫生许可</w:t>
            </w:r>
          </w:p>
        </w:tc>
        <w:tc>
          <w:tcPr>
            <w:tcW w:w="87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卫生许可证</w:t>
            </w:r>
          </w:p>
        </w:tc>
        <w:tc>
          <w:tcPr>
            <w:tcW w:w="1620"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《公共场所卫生管理条例》</w:t>
            </w: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市卫健委</w:t>
            </w: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县级卫生健康部门或行政审批局</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县级卫生健康部门或行政审批局</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198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加强信用监管，向社会公布卫生状况存在严重问题的公共场所信息。</w:t>
            </w:r>
            <w:r>
              <w:rPr>
                <w:rFonts w:ascii="宋体" w:hAnsi="宋体" w:cs="宋体"/>
                <w:sz w:val="15"/>
                <w:szCs w:val="15"/>
              </w:rPr>
              <w:t>3.</w:t>
            </w:r>
            <w:r>
              <w:rPr>
                <w:rFonts w:hint="eastAsia" w:ascii="宋体" w:hAnsi="宋体" w:cs="宋体"/>
                <w:sz w:val="15"/>
                <w:szCs w:val="15"/>
              </w:rPr>
              <w:t>畅通投诉举报渠道，依法及时处理投诉举报。</w:t>
            </w:r>
          </w:p>
        </w:tc>
        <w:tc>
          <w:tcPr>
            <w:tcW w:w="889" w:type="dxa"/>
            <w:vAlign w:val="center"/>
          </w:tcPr>
          <w:p>
            <w:pPr>
              <w:widowControl/>
              <w:spacing w:line="256"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56" w:lineRule="exact"/>
              <w:ind w:left="-56" w:leftChars="-20" w:right="-56" w:rightChars="-20"/>
              <w:jc w:val="center"/>
              <w:rPr>
                <w:rFonts w:ascii="宋体" w:hAnsi="宋体" w:cs="宋体"/>
                <w:sz w:val="15"/>
                <w:szCs w:val="15"/>
              </w:rPr>
            </w:pPr>
            <w:r>
              <w:rPr>
                <w:rFonts w:ascii="宋体" w:hAnsi="宋体" w:cs="宋体"/>
                <w:sz w:val="15"/>
                <w:szCs w:val="15"/>
              </w:rPr>
              <w:t>2</w:t>
            </w:r>
            <w:r>
              <w:rPr>
                <w:rFonts w:hint="eastAsia" w:ascii="宋体" w:hAnsi="宋体" w:cs="宋体"/>
                <w:sz w:val="15"/>
                <w:szCs w:val="15"/>
              </w:rPr>
              <w:t>3</w:t>
            </w:r>
          </w:p>
        </w:tc>
        <w:tc>
          <w:tcPr>
            <w:tcW w:w="557"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应急管理部</w:t>
            </w:r>
          </w:p>
        </w:tc>
        <w:tc>
          <w:tcPr>
            <w:tcW w:w="1485"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公众聚集场所投入使用、营业前消防安全检查</w:t>
            </w:r>
          </w:p>
        </w:tc>
        <w:tc>
          <w:tcPr>
            <w:tcW w:w="87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公众聚集场所投入使用、营业前消防安全检查合格证</w:t>
            </w:r>
          </w:p>
        </w:tc>
        <w:tc>
          <w:tcPr>
            <w:tcW w:w="1620"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《中华人民共和国消防法》</w:t>
            </w: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市消防救援支队</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市消防救援支队</w:t>
            </w: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县级消防救援大队</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县级消防救援大队</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198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开展“双随机、一公开”监管，对投诉举报多的场所实施重点监管。</w:t>
            </w:r>
            <w:r>
              <w:rPr>
                <w:rFonts w:ascii="宋体" w:hAnsi="宋体" w:cs="宋体"/>
                <w:sz w:val="15"/>
                <w:szCs w:val="15"/>
              </w:rPr>
              <w:t>2.</w:t>
            </w:r>
            <w:r>
              <w:rPr>
                <w:rFonts w:hint="eastAsia" w:ascii="宋体" w:hAnsi="宋体" w:cs="宋体"/>
                <w:sz w:val="15"/>
                <w:szCs w:val="15"/>
              </w:rPr>
              <w:t>公众聚集场所发生造成人员死亡或重大社会影响的火灾，倒查使用管理方主体责任，依法严肃查处。</w:t>
            </w:r>
            <w:r>
              <w:rPr>
                <w:rFonts w:ascii="宋体" w:hAnsi="宋体" w:cs="宋体"/>
                <w:sz w:val="15"/>
                <w:szCs w:val="15"/>
              </w:rPr>
              <w:t>3.</w:t>
            </w:r>
            <w:r>
              <w:rPr>
                <w:rFonts w:hint="eastAsia" w:ascii="宋体" w:hAnsi="宋体" w:cs="宋体"/>
                <w:sz w:val="15"/>
                <w:szCs w:val="15"/>
              </w:rPr>
              <w:t>加强信用监管，依法向社会公布公众聚集场所消防安全检查情况，依法依规对失信主体加大抽查比例并开展失信惩戒。</w:t>
            </w:r>
          </w:p>
        </w:tc>
        <w:tc>
          <w:tcPr>
            <w:tcW w:w="889" w:type="dxa"/>
            <w:vAlign w:val="center"/>
          </w:tcPr>
          <w:p>
            <w:pPr>
              <w:widowControl/>
              <w:spacing w:line="256"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56" w:lineRule="exact"/>
              <w:ind w:left="-56" w:leftChars="-20" w:right="-56" w:rightChars="-20"/>
              <w:jc w:val="center"/>
              <w:rPr>
                <w:rFonts w:ascii="宋体" w:hAnsi="宋体" w:cs="宋体"/>
                <w:sz w:val="15"/>
                <w:szCs w:val="15"/>
              </w:rPr>
            </w:pPr>
            <w:r>
              <w:rPr>
                <w:rFonts w:ascii="宋体" w:hAnsi="宋体" w:cs="宋体"/>
                <w:sz w:val="15"/>
                <w:szCs w:val="15"/>
              </w:rPr>
              <w:t>2</w:t>
            </w:r>
            <w:r>
              <w:rPr>
                <w:rFonts w:hint="eastAsia" w:ascii="宋体" w:hAnsi="宋体" w:cs="宋体"/>
                <w:sz w:val="15"/>
                <w:szCs w:val="15"/>
              </w:rPr>
              <w:t>4</w:t>
            </w:r>
          </w:p>
        </w:tc>
        <w:tc>
          <w:tcPr>
            <w:tcW w:w="557"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国家新闻出版署</w:t>
            </w:r>
          </w:p>
        </w:tc>
        <w:tc>
          <w:tcPr>
            <w:tcW w:w="1485"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从事包装装潢印刷品和其他印刷品（不含商标、票据、保密印刷）印刷经营活动企业（不含外资企业）的设立、变更审批</w:t>
            </w:r>
          </w:p>
        </w:tc>
        <w:tc>
          <w:tcPr>
            <w:tcW w:w="87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印刷经营许可证</w:t>
            </w:r>
          </w:p>
        </w:tc>
        <w:tc>
          <w:tcPr>
            <w:tcW w:w="1620"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《印刷业管理条例》</w:t>
            </w: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市文广旅局</w:t>
            </w: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县级新闻出版部门或行政审批局</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县级新闻出版部门</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198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发现企业不符合承诺条件开展经营的责令限期整改，逾期不整改或整改后仍达不到要求的依法撤销许可证件。</w:t>
            </w:r>
            <w:r>
              <w:rPr>
                <w:rFonts w:ascii="宋体" w:hAnsi="宋体" w:cs="宋体"/>
                <w:sz w:val="15"/>
                <w:szCs w:val="15"/>
              </w:rPr>
              <w:t>3.</w:t>
            </w:r>
            <w:r>
              <w:rPr>
                <w:rFonts w:hint="eastAsia" w:ascii="宋体" w:hAnsi="宋体" w:cs="宋体"/>
                <w:sz w:val="15"/>
                <w:szCs w:val="15"/>
              </w:rPr>
              <w:t>依法及时处理投诉举报。</w:t>
            </w:r>
          </w:p>
        </w:tc>
        <w:tc>
          <w:tcPr>
            <w:tcW w:w="88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部分委托县级审批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56" w:lineRule="exact"/>
              <w:ind w:left="-56" w:leftChars="-20" w:right="-56" w:rightChars="-20"/>
              <w:jc w:val="center"/>
              <w:rPr>
                <w:rFonts w:ascii="宋体" w:hAnsi="宋体" w:cs="宋体"/>
                <w:sz w:val="15"/>
                <w:szCs w:val="15"/>
              </w:rPr>
            </w:pPr>
            <w:r>
              <w:rPr>
                <w:rFonts w:ascii="宋体" w:hAnsi="宋体" w:cs="宋体"/>
                <w:sz w:val="15"/>
                <w:szCs w:val="15"/>
              </w:rPr>
              <w:t>2</w:t>
            </w:r>
            <w:r>
              <w:rPr>
                <w:rFonts w:hint="eastAsia" w:ascii="宋体" w:hAnsi="宋体" w:cs="宋体"/>
                <w:sz w:val="15"/>
                <w:szCs w:val="15"/>
              </w:rPr>
              <w:t>5</w:t>
            </w:r>
          </w:p>
        </w:tc>
        <w:tc>
          <w:tcPr>
            <w:tcW w:w="557"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国家林业和草原局</w:t>
            </w:r>
          </w:p>
        </w:tc>
        <w:tc>
          <w:tcPr>
            <w:tcW w:w="1485"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林草种子（普通）生产经营许可证核发</w:t>
            </w:r>
          </w:p>
        </w:tc>
        <w:tc>
          <w:tcPr>
            <w:tcW w:w="87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林草种子生产经营许可证</w:t>
            </w:r>
          </w:p>
        </w:tc>
        <w:tc>
          <w:tcPr>
            <w:tcW w:w="1620"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《中华人民共和国种子法》</w:t>
            </w:r>
          </w:p>
        </w:tc>
        <w:tc>
          <w:tcPr>
            <w:tcW w:w="657" w:type="dxa"/>
            <w:vAlign w:val="center"/>
          </w:tcPr>
          <w:p>
            <w:pPr>
              <w:widowControl/>
              <w:spacing w:line="256" w:lineRule="exact"/>
              <w:ind w:left="-84" w:leftChars="-30" w:right="-84" w:rightChars="-30"/>
              <w:jc w:val="left"/>
              <w:rPr>
                <w:rFonts w:ascii="宋体" w:hAnsi="宋体" w:cs="宋体"/>
                <w:sz w:val="15"/>
                <w:szCs w:val="15"/>
              </w:rPr>
            </w:pPr>
          </w:p>
        </w:tc>
        <w:tc>
          <w:tcPr>
            <w:tcW w:w="658" w:type="dxa"/>
            <w:vAlign w:val="center"/>
          </w:tcPr>
          <w:p>
            <w:pPr>
              <w:widowControl/>
              <w:spacing w:line="256" w:lineRule="exact"/>
              <w:ind w:left="-84" w:leftChars="-30" w:right="-84" w:rightChars="-30"/>
              <w:jc w:val="left"/>
              <w:rPr>
                <w:rFonts w:ascii="宋体" w:hAnsi="宋体" w:cs="宋体"/>
                <w:sz w:val="15"/>
                <w:szCs w:val="15"/>
              </w:rPr>
            </w:pP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县级林草部门或行政审批局</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县级林草部门</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198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制定核查办法，明确核查时间、标准、方式，优化现场检查程序。</w:t>
            </w:r>
            <w:r>
              <w:rPr>
                <w:rFonts w:ascii="宋体" w:hAnsi="宋体" w:cs="宋体"/>
                <w:sz w:val="15"/>
                <w:szCs w:val="15"/>
              </w:rPr>
              <w:t>3.</w:t>
            </w:r>
            <w:r>
              <w:rPr>
                <w:rFonts w:hint="eastAsia" w:ascii="宋体" w:hAnsi="宋体" w:cs="宋体"/>
                <w:sz w:val="15"/>
                <w:szCs w:val="15"/>
              </w:rPr>
              <w:t>加强信用监管，建立企业信用记录并依法向社会公开。</w:t>
            </w:r>
          </w:p>
        </w:tc>
        <w:tc>
          <w:tcPr>
            <w:tcW w:w="889" w:type="dxa"/>
            <w:vAlign w:val="center"/>
          </w:tcPr>
          <w:p>
            <w:pPr>
              <w:widowControl/>
              <w:spacing w:line="256"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26</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教育部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实施中等及中等以下学历教育、学前教育、自学考试助学及其他文化教育的民办学校设立、变更和终止审批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中华人民共和国民办学校办学许可证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《中华人民共和国民办教育促进法》《中华人民共和国民办教育促进法实施条例》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市教育局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县级教育部门或行政审批局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县级教育部门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2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在社会组织申请筹设或正式设立营利性民办学校时，不再要求提交由会计师事务所出具的该社会组织近</w:t>
            </w:r>
            <w:r>
              <w:rPr>
                <w:rFonts w:ascii="宋体" w:hAnsi="宋体" w:cs="宋体"/>
                <w:sz w:val="15"/>
                <w:szCs w:val="15"/>
              </w:rPr>
              <w:t>2</w:t>
            </w:r>
            <w:r>
              <w:rPr>
                <w:rFonts w:hint="eastAsia" w:ascii="宋体" w:hAnsi="宋体" w:cs="宋体"/>
                <w:sz w:val="15"/>
                <w:szCs w:val="15"/>
              </w:rPr>
              <w:t>年的年度财务会计报告审计结果等材料。</w:t>
            </w:r>
            <w:r>
              <w:rPr>
                <w:rFonts w:ascii="宋体" w:hAnsi="宋体" w:cs="宋体"/>
                <w:sz w:val="15"/>
                <w:szCs w:val="15"/>
              </w:rPr>
              <w:t>2.</w:t>
            </w:r>
            <w:r>
              <w:rPr>
                <w:rFonts w:hint="eastAsia" w:ascii="宋体" w:hAnsi="宋体" w:cs="宋体"/>
                <w:sz w:val="15"/>
                <w:szCs w:val="15"/>
              </w:rPr>
              <w:t>在民办学校举办者再次申请举办营利性民办学校时，不再要求提交近</w:t>
            </w:r>
            <w:r>
              <w:rPr>
                <w:rFonts w:ascii="宋体" w:hAnsi="宋体" w:cs="宋体"/>
                <w:sz w:val="15"/>
                <w:szCs w:val="15"/>
              </w:rPr>
              <w:t>2</w:t>
            </w:r>
            <w:r>
              <w:rPr>
                <w:rFonts w:hint="eastAsia" w:ascii="宋体" w:hAnsi="宋体" w:cs="宋体"/>
                <w:sz w:val="15"/>
                <w:szCs w:val="15"/>
              </w:rPr>
              <w:t>年年度检查的证明材料和有资质的会计师事务所出具的学校上年度财务会计报告审计结果。</w:t>
            </w:r>
            <w:r>
              <w:rPr>
                <w:rFonts w:ascii="宋体" w:hAnsi="宋体" w:cs="宋体"/>
                <w:sz w:val="15"/>
                <w:szCs w:val="15"/>
              </w:rPr>
              <w:t>3.</w:t>
            </w:r>
            <w:r>
              <w:rPr>
                <w:rFonts w:hint="eastAsia" w:ascii="宋体" w:hAnsi="宋体" w:cs="宋体"/>
                <w:sz w:val="15"/>
                <w:szCs w:val="15"/>
              </w:rPr>
              <w:t>将营利性民办学校申请许可证到期延续审批时限均由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15</w:t>
            </w:r>
            <w:r>
              <w:rPr>
                <w:rFonts w:hint="eastAsia" w:ascii="宋体" w:hAnsi="宋体" w:cs="宋体"/>
                <w:sz w:val="15"/>
                <w:szCs w:val="15"/>
              </w:rPr>
              <w:t>个工作日。</w:t>
            </w:r>
            <w:r>
              <w:rPr>
                <w:rFonts w:ascii="宋体" w:hAnsi="宋体" w:cs="宋体"/>
                <w:sz w:val="15"/>
                <w:szCs w:val="15"/>
              </w:rPr>
              <w:t>4.</w:t>
            </w:r>
            <w:r>
              <w:rPr>
                <w:rFonts w:hint="eastAsia" w:ascii="宋体" w:hAnsi="宋体" w:cs="宋体"/>
                <w:sz w:val="15"/>
                <w:szCs w:val="15"/>
              </w:rPr>
              <w:t>对民办学校申请许可证到期延续的，若许可条件基本不变且无违法违规或失信记录，在各学段原有许可证期限基础上延长</w:t>
            </w:r>
            <w:r>
              <w:rPr>
                <w:rFonts w:ascii="宋体" w:hAnsi="宋体" w:cs="宋体"/>
                <w:sz w:val="15"/>
                <w:szCs w:val="15"/>
              </w:rPr>
              <w:t>1</w:t>
            </w:r>
            <w:r>
              <w:rPr>
                <w:rFonts w:hint="eastAsia" w:ascii="宋体" w:hAnsi="宋体" w:cs="宋体"/>
                <w:sz w:val="15"/>
                <w:szCs w:val="15"/>
              </w:rPr>
              <w:t>年有效期。</w:t>
            </w:r>
            <w:r>
              <w:rPr>
                <w:rFonts w:ascii="宋体" w:hAnsi="宋体" w:cs="宋体"/>
                <w:sz w:val="15"/>
                <w:szCs w:val="15"/>
              </w:rPr>
              <w:t>5.</w:t>
            </w:r>
            <w:r>
              <w:rPr>
                <w:rFonts w:hint="eastAsia" w:ascii="宋体" w:hAnsi="宋体" w:cs="宋体"/>
                <w:sz w:val="15"/>
                <w:szCs w:val="15"/>
              </w:rPr>
              <w:t>每半年</w:t>
            </w:r>
            <w:r>
              <w:rPr>
                <w:rFonts w:ascii="宋体" w:hAnsi="宋体" w:cs="宋体"/>
                <w:sz w:val="15"/>
                <w:szCs w:val="15"/>
              </w:rPr>
              <w:t>1</w:t>
            </w:r>
            <w:r>
              <w:rPr>
                <w:rFonts w:hint="eastAsia" w:ascii="宋体" w:hAnsi="宋体" w:cs="宋体"/>
                <w:sz w:val="15"/>
                <w:szCs w:val="15"/>
              </w:rPr>
              <w:t>次公布营利性民办学校存量情况。</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开展“双随机、一公开”监管，定期进行抽查检查，加强对民办学校的过程性指导，加大对违法违规办学行为的查处力度。</w:t>
            </w:r>
            <w:r>
              <w:rPr>
                <w:rFonts w:ascii="宋体" w:hAnsi="宋体" w:cs="宋体"/>
                <w:sz w:val="15"/>
                <w:szCs w:val="15"/>
              </w:rPr>
              <w:t>2.</w:t>
            </w:r>
            <w:r>
              <w:rPr>
                <w:rFonts w:hint="eastAsia" w:ascii="宋体" w:hAnsi="宋体" w:cs="宋体"/>
                <w:sz w:val="15"/>
                <w:szCs w:val="15"/>
              </w:rPr>
              <w:t>推进民办教育信用信息公示制度，将民办学校的法人登记信息、行政许可信息、年度检查信息、监督检查结果、行政处罚信息向社会公示，强化信用约束。</w:t>
            </w:r>
            <w:r>
              <w:rPr>
                <w:rFonts w:ascii="宋体" w:hAnsi="宋体" w:cs="宋体"/>
                <w:sz w:val="15"/>
                <w:szCs w:val="15"/>
              </w:rPr>
              <w:t>3.</w:t>
            </w:r>
            <w:r>
              <w:rPr>
                <w:rFonts w:hint="eastAsia" w:ascii="宋体" w:hAnsi="宋体" w:cs="宋体"/>
                <w:sz w:val="15"/>
                <w:szCs w:val="15"/>
              </w:rPr>
              <w:t>依法依规建立违规失信惩戒机制，将违规办学的学校及其举办者和负责人纳入黑名单，依法向社会公开，并对其今后在民办教育领域的许可申请实施重点监管。</w:t>
            </w:r>
            <w:r>
              <w:rPr>
                <w:rFonts w:ascii="宋体" w:hAnsi="宋体" w:cs="宋体"/>
                <w:sz w:val="15"/>
                <w:szCs w:val="15"/>
              </w:rPr>
              <w:t>4.</w:t>
            </w:r>
            <w:r>
              <w:rPr>
                <w:rFonts w:hint="eastAsia" w:ascii="宋体" w:hAnsi="宋体" w:cs="宋体"/>
                <w:sz w:val="15"/>
                <w:szCs w:val="15"/>
              </w:rPr>
              <w:t>健全联合执法机制，通过跨部门的实时数据对接和信息共享，及时掌握和研判民办教育领域出现的新问题，积极主动予以应对。</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27</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人力资源和社会保障部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劳务派遣经营许可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劳务派遣经营许可证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《中华人民共和国劳动合同法》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市人社局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县级人力资源社会保障部门或行政审批局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县级人力资源社会保障部门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2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有条件的地区将省、设区的市级人力资源社会保障部门的审批权限下放至县级人力资源社会保障部门。</w:t>
            </w:r>
            <w:r>
              <w:rPr>
                <w:rFonts w:ascii="宋体" w:hAnsi="宋体" w:cs="宋体"/>
                <w:sz w:val="15"/>
                <w:szCs w:val="15"/>
              </w:rPr>
              <w:t>2.</w:t>
            </w:r>
            <w:r>
              <w:rPr>
                <w:rFonts w:hint="eastAsia" w:ascii="宋体" w:hAnsi="宋体" w:cs="宋体"/>
                <w:sz w:val="15"/>
                <w:szCs w:val="15"/>
              </w:rPr>
              <w:t>加快实现申请、审批全程网上办理。</w:t>
            </w:r>
            <w:r>
              <w:rPr>
                <w:rFonts w:ascii="宋体" w:hAnsi="宋体" w:cs="宋体"/>
                <w:sz w:val="15"/>
                <w:szCs w:val="15"/>
              </w:rPr>
              <w:t>3.</w:t>
            </w:r>
            <w:r>
              <w:rPr>
                <w:rFonts w:hint="eastAsia" w:ascii="宋体" w:hAnsi="宋体" w:cs="宋体"/>
                <w:sz w:val="15"/>
                <w:szCs w:val="15"/>
              </w:rPr>
              <w:t>不再要求申请人提供营业执照、企业名称预先核准通知书、法定代表人身份证明等材料。</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w:t>
            </w:r>
            <w:r>
              <w:rPr>
                <w:rFonts w:ascii="宋体" w:hAnsi="宋体" w:cs="宋体"/>
                <w:sz w:val="15"/>
                <w:szCs w:val="15"/>
              </w:rPr>
              <w:t>2.</w:t>
            </w:r>
            <w:r>
              <w:rPr>
                <w:rFonts w:hint="eastAsia" w:ascii="宋体" w:hAnsi="宋体" w:cs="宋体"/>
                <w:sz w:val="15"/>
                <w:szCs w:val="15"/>
              </w:rPr>
              <w:t>加强信用监管，依法向社会公布劳务派遣企业信用状况，依法依规对失信主体开展失信惩戒。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28</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自然资源部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开采矿产资源审批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采矿许可证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《中华人民共和国矿产资源法》《中华人民共和国矿产资源法实施细则》《矿产资源开采登记管理办法》《探矿权采矿权转让管理办法》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市自然资源和规划局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市自然资源和规划局</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20" w:lineRule="exact"/>
              <w:ind w:left="-56" w:leftChars="-20" w:right="-56" w:rightChars="-20"/>
              <w:rPr>
                <w:rFonts w:ascii="宋体" w:hAnsi="宋体" w:cs="宋体"/>
                <w:spacing w:val="-4"/>
                <w:sz w:val="15"/>
                <w:szCs w:val="15"/>
              </w:rPr>
            </w:pPr>
            <w:r>
              <w:rPr>
                <w:rFonts w:hint="eastAsia" w:ascii="宋体" w:hAnsi="宋体" w:cs="宋体"/>
                <w:spacing w:val="-4"/>
                <w:sz w:val="15"/>
                <w:szCs w:val="15"/>
              </w:rPr>
              <w:t>不再要求申请人提供符合国家限制及政策调控申请条件等材料。按照有关授权，将省级自然资源部门负责的部分矿产采矿权延续、变更、注销登记等事项的审批权限下放至设区的市、县级自然资源部门。</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开展“双随机、一公开”监管，对违法违规采矿的要依法查处并公开结果。</w:t>
            </w:r>
            <w:r>
              <w:rPr>
                <w:rFonts w:ascii="宋体" w:hAnsi="宋体" w:cs="宋体"/>
                <w:sz w:val="15"/>
                <w:szCs w:val="15"/>
              </w:rPr>
              <w:t>2.</w:t>
            </w:r>
            <w:r>
              <w:rPr>
                <w:rFonts w:hint="eastAsia" w:ascii="宋体" w:hAnsi="宋体" w:cs="宋体"/>
                <w:sz w:val="15"/>
                <w:szCs w:val="15"/>
              </w:rPr>
              <w:t>利用有关信息系统实现矿业权人勘查开采信息公示等，加强对采矿权人行为的监管。</w:t>
            </w:r>
          </w:p>
        </w:tc>
        <w:tc>
          <w:tcPr>
            <w:tcW w:w="8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目前该事项审批权收回省级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29</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生态环境部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危险废物综合经营许可证核发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危险废物经营许可证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《中华人民共和国固体废物污染环境防治法》《危险废物经营许可证管理办法》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市生态环境局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市生态环境局</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县级生态环境部门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20" w:lineRule="exact"/>
              <w:ind w:left="-56" w:leftChars="-20" w:right="-56" w:rightChars="-20"/>
              <w:rPr>
                <w:rFonts w:ascii="宋体" w:hAnsi="宋体" w:cs="宋体"/>
                <w:sz w:val="15"/>
                <w:szCs w:val="15"/>
              </w:rPr>
            </w:pPr>
            <w:r>
              <w:rPr>
                <w:rFonts w:hint="eastAsia" w:ascii="宋体" w:hAnsi="宋体" w:cs="宋体"/>
                <w:sz w:val="15"/>
                <w:szCs w:val="15"/>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开展“双随机、一公开”监管，合理确定抽查比例。</w:t>
            </w:r>
            <w:r>
              <w:rPr>
                <w:rFonts w:ascii="宋体" w:hAnsi="宋体" w:cs="宋体"/>
                <w:sz w:val="15"/>
                <w:szCs w:val="15"/>
              </w:rPr>
              <w:t>2.</w:t>
            </w:r>
            <w:r>
              <w:rPr>
                <w:rFonts w:hint="eastAsia" w:ascii="宋体" w:hAnsi="宋体" w:cs="宋体"/>
                <w:sz w:val="15"/>
                <w:szCs w:val="15"/>
              </w:rPr>
              <w:t>畅通投诉举报渠道，依法及时处理有关投诉举报，并公开结果。</w:t>
            </w:r>
            <w:r>
              <w:rPr>
                <w:rFonts w:ascii="宋体" w:hAnsi="宋体" w:cs="宋体"/>
                <w:sz w:val="15"/>
                <w:szCs w:val="15"/>
              </w:rPr>
              <w:t>3.</w:t>
            </w:r>
            <w:r>
              <w:rPr>
                <w:rFonts w:hint="eastAsia" w:ascii="宋体" w:hAnsi="宋体" w:cs="宋体"/>
                <w:sz w:val="15"/>
                <w:szCs w:val="15"/>
              </w:rPr>
              <w:t>要求危险废物经营单位定期报告有关经营活动环境污染防治情况，将违规经营情况纳入企业信用记录。</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30</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生态环境部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排污许可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排污许可证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《中华人民共和国环境保护法》《中华人民共和国大气污染防治法》《中华人民共和国水污染防治法》《中华人民共和国土壤污染防治法》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市生态环境局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县级生态环境部门或行政审批局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县级生态环境部门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通过建设项目行业特征表实现有关信息系统的衔接，推动环境影响评价与排污许可之间的信息共享，不再要求企业重复填报有关信息。</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开展“双随机、一公开”监管，依法查处无证排污行为和未按证排污行为。</w:t>
            </w:r>
            <w:r>
              <w:rPr>
                <w:rFonts w:ascii="宋体" w:hAnsi="宋体" w:cs="宋体"/>
                <w:sz w:val="15"/>
                <w:szCs w:val="15"/>
              </w:rPr>
              <w:t>2.</w:t>
            </w:r>
            <w:r>
              <w:rPr>
                <w:rFonts w:hint="eastAsia" w:ascii="宋体" w:hAnsi="宋体" w:cs="宋体"/>
                <w:sz w:val="15"/>
                <w:szCs w:val="15"/>
              </w:rPr>
              <w:t>畅通投诉举报渠道，对反映问题多的排污单位实施重点监管。</w:t>
            </w:r>
            <w:r>
              <w:rPr>
                <w:rFonts w:ascii="宋体" w:hAnsi="宋体" w:cs="宋体"/>
                <w:sz w:val="15"/>
                <w:szCs w:val="15"/>
              </w:rPr>
              <w:t>3.</w:t>
            </w:r>
            <w:r>
              <w:rPr>
                <w:rFonts w:hint="eastAsia" w:ascii="宋体" w:hAnsi="宋体" w:cs="宋体"/>
                <w:sz w:val="15"/>
                <w:szCs w:val="15"/>
              </w:rPr>
              <w:t>加强信用监管，将企业环境信用信息通过有关信息共享平台向各地区各部门共享，依法向社会公开信用信息，并对失信主体开展失信惩戒。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8" w:lineRule="exact"/>
              <w:ind w:left="-56" w:leftChars="-20" w:right="-56" w:rightChars="-20"/>
              <w:jc w:val="center"/>
              <w:rPr>
                <w:rFonts w:ascii="宋体" w:hAnsi="宋体" w:cs="宋体"/>
                <w:sz w:val="15"/>
                <w:szCs w:val="15"/>
              </w:rPr>
            </w:pPr>
            <w:r>
              <w:rPr>
                <w:rFonts w:hint="eastAsia" w:ascii="宋体" w:hAnsi="宋体" w:cs="宋体"/>
                <w:sz w:val="15"/>
                <w:szCs w:val="15"/>
              </w:rPr>
              <w:t>31</w:t>
            </w:r>
          </w:p>
        </w:tc>
        <w:tc>
          <w:tcPr>
            <w:tcW w:w="557"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交通运输部</w:t>
            </w:r>
          </w:p>
        </w:tc>
        <w:tc>
          <w:tcPr>
            <w:tcW w:w="1485"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道路旅客运输经营许可</w:t>
            </w:r>
          </w:p>
        </w:tc>
        <w:tc>
          <w:tcPr>
            <w:tcW w:w="879"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道路运输经营许可证</w:t>
            </w:r>
          </w:p>
        </w:tc>
        <w:tc>
          <w:tcPr>
            <w:tcW w:w="1620"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《中华人民共和国道路运输条例》</w:t>
            </w:r>
          </w:p>
        </w:tc>
        <w:tc>
          <w:tcPr>
            <w:tcW w:w="657" w:type="dxa"/>
            <w:vAlign w:val="center"/>
          </w:tcPr>
          <w:p>
            <w:pPr>
              <w:widowControl/>
              <w:spacing w:line="248"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8" w:lineRule="exact"/>
              <w:ind w:left="-84" w:leftChars="-30" w:right="-84" w:rightChars="-30"/>
              <w:jc w:val="left"/>
              <w:rPr>
                <w:rFonts w:ascii="宋体" w:hAnsi="宋体" w:cs="宋体"/>
                <w:sz w:val="15"/>
                <w:szCs w:val="15"/>
              </w:rPr>
            </w:pPr>
            <w:r>
              <w:rPr>
                <w:rFonts w:hint="eastAsia" w:ascii="宋体" w:hAnsi="宋体" w:cs="宋体"/>
                <w:sz w:val="15"/>
                <w:szCs w:val="15"/>
              </w:rPr>
              <w:t>市交通运输局</w:t>
            </w:r>
          </w:p>
        </w:tc>
        <w:tc>
          <w:tcPr>
            <w:tcW w:w="657" w:type="dxa"/>
            <w:vAlign w:val="center"/>
          </w:tcPr>
          <w:p>
            <w:pPr>
              <w:widowControl/>
              <w:spacing w:line="248"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县级交通运输部门或行政审批局</w:t>
            </w:r>
          </w:p>
        </w:tc>
        <w:tc>
          <w:tcPr>
            <w:tcW w:w="658" w:type="dxa"/>
            <w:vAlign w:val="center"/>
          </w:tcPr>
          <w:p>
            <w:pPr>
              <w:widowControl/>
              <w:spacing w:line="248"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w:t>
            </w:r>
          </w:p>
        </w:tc>
        <w:tc>
          <w:tcPr>
            <w:tcW w:w="355" w:type="dxa"/>
            <w:vAlign w:val="center"/>
          </w:tcPr>
          <w:p>
            <w:pPr>
              <w:widowControl/>
              <w:spacing w:line="248" w:lineRule="exact"/>
              <w:ind w:left="-56" w:leftChars="-20" w:right="-56" w:rightChars="-20"/>
              <w:jc w:val="center"/>
              <w:rPr>
                <w:rFonts w:ascii="宋体" w:hAnsi="宋体" w:cs="宋体"/>
                <w:sz w:val="15"/>
                <w:szCs w:val="15"/>
              </w:rPr>
            </w:pPr>
          </w:p>
        </w:tc>
        <w:tc>
          <w:tcPr>
            <w:tcW w:w="355" w:type="dxa"/>
            <w:vAlign w:val="center"/>
          </w:tcPr>
          <w:p>
            <w:pPr>
              <w:widowControl/>
              <w:spacing w:line="248" w:lineRule="exact"/>
              <w:ind w:left="-56" w:leftChars="-20" w:right="-56" w:rightChars="-20"/>
              <w:jc w:val="center"/>
              <w:rPr>
                <w:rFonts w:ascii="宋体" w:hAnsi="宋体" w:cs="宋体"/>
                <w:sz w:val="15"/>
                <w:szCs w:val="15"/>
              </w:rPr>
            </w:pPr>
          </w:p>
        </w:tc>
        <w:tc>
          <w:tcPr>
            <w:tcW w:w="355" w:type="dxa"/>
            <w:vAlign w:val="center"/>
          </w:tcPr>
          <w:p>
            <w:pPr>
              <w:widowControl/>
              <w:spacing w:line="248" w:lineRule="exact"/>
              <w:ind w:left="-56" w:leftChars="-20" w:right="-56" w:rightChars="-20"/>
              <w:jc w:val="center"/>
              <w:rPr>
                <w:rFonts w:ascii="宋体" w:hAnsi="宋体" w:cs="宋体"/>
                <w:sz w:val="15"/>
                <w:szCs w:val="15"/>
              </w:rPr>
            </w:pPr>
          </w:p>
        </w:tc>
        <w:tc>
          <w:tcPr>
            <w:tcW w:w="355" w:type="dxa"/>
            <w:vAlign w:val="center"/>
          </w:tcPr>
          <w:p>
            <w:pPr>
              <w:widowControl/>
              <w:spacing w:line="248"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不再要求申请人提供企业章程，现有营运客车行驶证、车辆技术等级评定结论、客车类型等级评定证明，已聘用或者拟聘用驾驶人员的</w:t>
            </w:r>
            <w:r>
              <w:rPr>
                <w:rFonts w:ascii="宋体" w:hAnsi="宋体" w:cs="宋体"/>
                <w:sz w:val="15"/>
                <w:szCs w:val="15"/>
              </w:rPr>
              <w:t>3</w:t>
            </w:r>
            <w:r>
              <w:rPr>
                <w:rFonts w:hint="eastAsia" w:ascii="宋体" w:hAnsi="宋体" w:cs="宋体"/>
                <w:sz w:val="15"/>
                <w:szCs w:val="15"/>
              </w:rPr>
              <w:t>年内无重大以上交通责任事故证明等材料。</w:t>
            </w:r>
          </w:p>
        </w:tc>
        <w:tc>
          <w:tcPr>
            <w:tcW w:w="2268" w:type="dxa"/>
            <w:vAlign w:val="center"/>
          </w:tcPr>
          <w:p>
            <w:pPr>
              <w:widowControl/>
              <w:spacing w:line="248"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强化部门间信息共享。</w:t>
            </w:r>
            <w:r>
              <w:rPr>
                <w:rFonts w:ascii="宋体" w:hAnsi="宋体" w:cs="宋体"/>
                <w:sz w:val="15"/>
                <w:szCs w:val="15"/>
              </w:rPr>
              <w:t>2.</w:t>
            </w:r>
            <w:r>
              <w:rPr>
                <w:rFonts w:hint="eastAsia" w:ascii="宋体" w:hAnsi="宋体" w:cs="宋体"/>
                <w:sz w:val="15"/>
                <w:szCs w:val="15"/>
              </w:rPr>
              <w:t>加强社会监督，向社会公开道路旅客运输企业的运输服务质量承诺，依法及时处理投诉举报。</w:t>
            </w:r>
            <w:r>
              <w:rPr>
                <w:rFonts w:ascii="宋体" w:hAnsi="宋体" w:cs="宋体"/>
                <w:sz w:val="15"/>
                <w:szCs w:val="15"/>
              </w:rPr>
              <w:t>3.</w:t>
            </w:r>
            <w:r>
              <w:rPr>
                <w:rFonts w:hint="eastAsia" w:ascii="宋体" w:hAnsi="宋体" w:cs="宋体"/>
                <w:sz w:val="15"/>
                <w:szCs w:val="15"/>
              </w:rPr>
              <w:t>加强对道路旅客运输活动的监督检查，发现违法违规行为要依法查处。</w:t>
            </w:r>
          </w:p>
        </w:tc>
        <w:tc>
          <w:tcPr>
            <w:tcW w:w="889" w:type="dxa"/>
            <w:vAlign w:val="center"/>
          </w:tcPr>
          <w:p>
            <w:pPr>
              <w:widowControl/>
              <w:spacing w:line="248"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8" w:lineRule="exact"/>
              <w:ind w:left="-56" w:leftChars="-20" w:right="-56" w:rightChars="-20"/>
              <w:jc w:val="center"/>
              <w:rPr>
                <w:rFonts w:ascii="宋体" w:hAnsi="宋体" w:cs="宋体"/>
                <w:sz w:val="15"/>
                <w:szCs w:val="15"/>
              </w:rPr>
            </w:pPr>
            <w:r>
              <w:rPr>
                <w:rFonts w:hint="eastAsia" w:ascii="宋体" w:hAnsi="宋体" w:cs="宋体"/>
                <w:sz w:val="15"/>
                <w:szCs w:val="15"/>
              </w:rPr>
              <w:t>32</w:t>
            </w:r>
          </w:p>
        </w:tc>
        <w:tc>
          <w:tcPr>
            <w:tcW w:w="557"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交通运输部</w:t>
            </w:r>
          </w:p>
        </w:tc>
        <w:tc>
          <w:tcPr>
            <w:tcW w:w="1485"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出租汽车经营许可</w:t>
            </w:r>
          </w:p>
        </w:tc>
        <w:tc>
          <w:tcPr>
            <w:tcW w:w="879"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道路运输经营许可证、网络预约出租汽车经营许可证</w:t>
            </w:r>
          </w:p>
        </w:tc>
        <w:tc>
          <w:tcPr>
            <w:tcW w:w="1620"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《国务院对确需保留的行政审批项目设定行政许可的决定》</w:t>
            </w:r>
          </w:p>
        </w:tc>
        <w:tc>
          <w:tcPr>
            <w:tcW w:w="657" w:type="dxa"/>
            <w:vAlign w:val="center"/>
          </w:tcPr>
          <w:p>
            <w:pPr>
              <w:widowControl/>
              <w:spacing w:line="248"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8" w:lineRule="exact"/>
              <w:ind w:left="-84" w:leftChars="-30" w:right="-84" w:rightChars="-30"/>
              <w:jc w:val="left"/>
              <w:rPr>
                <w:rFonts w:ascii="宋体" w:hAnsi="宋体" w:cs="宋体"/>
                <w:sz w:val="15"/>
                <w:szCs w:val="15"/>
              </w:rPr>
            </w:pPr>
            <w:r>
              <w:rPr>
                <w:rFonts w:hint="eastAsia" w:ascii="宋体" w:hAnsi="宋体" w:cs="宋体"/>
                <w:sz w:val="15"/>
                <w:szCs w:val="15"/>
              </w:rPr>
              <w:t>市交通运输局</w:t>
            </w:r>
          </w:p>
        </w:tc>
        <w:tc>
          <w:tcPr>
            <w:tcW w:w="657" w:type="dxa"/>
            <w:vAlign w:val="center"/>
          </w:tcPr>
          <w:p>
            <w:pPr>
              <w:widowControl/>
              <w:spacing w:line="248"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县级交通运输部门或行政审批局</w:t>
            </w:r>
          </w:p>
        </w:tc>
        <w:tc>
          <w:tcPr>
            <w:tcW w:w="658" w:type="dxa"/>
            <w:vAlign w:val="center"/>
          </w:tcPr>
          <w:p>
            <w:pPr>
              <w:widowControl/>
              <w:spacing w:line="248"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w:t>
            </w:r>
          </w:p>
        </w:tc>
        <w:tc>
          <w:tcPr>
            <w:tcW w:w="355" w:type="dxa"/>
            <w:vAlign w:val="center"/>
          </w:tcPr>
          <w:p>
            <w:pPr>
              <w:widowControl/>
              <w:spacing w:line="248" w:lineRule="exact"/>
              <w:ind w:left="-56" w:leftChars="-20" w:right="-56" w:rightChars="-20"/>
              <w:jc w:val="center"/>
              <w:rPr>
                <w:rFonts w:ascii="宋体" w:hAnsi="宋体" w:cs="宋体"/>
                <w:sz w:val="15"/>
                <w:szCs w:val="15"/>
              </w:rPr>
            </w:pPr>
          </w:p>
        </w:tc>
        <w:tc>
          <w:tcPr>
            <w:tcW w:w="355" w:type="dxa"/>
            <w:vAlign w:val="center"/>
          </w:tcPr>
          <w:p>
            <w:pPr>
              <w:widowControl/>
              <w:spacing w:line="248" w:lineRule="exact"/>
              <w:ind w:left="-56" w:leftChars="-20" w:right="-56" w:rightChars="-20"/>
              <w:jc w:val="center"/>
              <w:rPr>
                <w:rFonts w:ascii="宋体" w:hAnsi="宋体" w:cs="宋体"/>
                <w:sz w:val="15"/>
                <w:szCs w:val="15"/>
              </w:rPr>
            </w:pPr>
          </w:p>
        </w:tc>
        <w:tc>
          <w:tcPr>
            <w:tcW w:w="355" w:type="dxa"/>
            <w:vAlign w:val="center"/>
          </w:tcPr>
          <w:p>
            <w:pPr>
              <w:widowControl/>
              <w:spacing w:line="248" w:lineRule="exact"/>
              <w:ind w:left="-56" w:leftChars="-20" w:right="-56" w:rightChars="-20"/>
              <w:jc w:val="center"/>
              <w:rPr>
                <w:rFonts w:ascii="宋体" w:hAnsi="宋体" w:cs="宋体"/>
                <w:sz w:val="15"/>
                <w:szCs w:val="15"/>
              </w:rPr>
            </w:pPr>
          </w:p>
        </w:tc>
        <w:tc>
          <w:tcPr>
            <w:tcW w:w="355" w:type="dxa"/>
            <w:vAlign w:val="center"/>
          </w:tcPr>
          <w:p>
            <w:pPr>
              <w:widowControl/>
              <w:spacing w:line="248"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8" w:lineRule="exact"/>
              <w:ind w:left="-56" w:leftChars="-20" w:right="-56" w:rightChars="-20"/>
              <w:rPr>
                <w:rFonts w:ascii="宋体" w:hAnsi="宋体" w:cs="宋体"/>
                <w:sz w:val="15"/>
                <w:szCs w:val="15"/>
              </w:rPr>
            </w:pP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15</w:t>
            </w:r>
            <w:r>
              <w:rPr>
                <w:rFonts w:hint="eastAsia" w:ascii="宋体" w:hAnsi="宋体" w:cs="宋体"/>
                <w:sz w:val="15"/>
                <w:szCs w:val="15"/>
              </w:rPr>
              <w:t>个工作日。</w:t>
            </w:r>
          </w:p>
        </w:tc>
        <w:tc>
          <w:tcPr>
            <w:tcW w:w="2268" w:type="dxa"/>
            <w:vAlign w:val="center"/>
          </w:tcPr>
          <w:p>
            <w:pPr>
              <w:widowControl/>
              <w:spacing w:line="248"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开展服务质量信誉考核测评，建立出租汽车经营者信用档案并依法向社会公开信用记录，依法依规对失信主体开展失信惩戒。</w:t>
            </w:r>
            <w:r>
              <w:rPr>
                <w:rFonts w:ascii="宋体" w:hAnsi="宋体" w:cs="宋体"/>
                <w:sz w:val="15"/>
                <w:szCs w:val="15"/>
              </w:rPr>
              <w:t>2.</w:t>
            </w:r>
            <w:r>
              <w:rPr>
                <w:rFonts w:hint="eastAsia" w:ascii="宋体" w:hAnsi="宋体" w:cs="宋体"/>
                <w:sz w:val="15"/>
                <w:szCs w:val="15"/>
              </w:rPr>
              <w:t>依法及时处理投诉举报。</w:t>
            </w:r>
            <w:r>
              <w:rPr>
                <w:rFonts w:ascii="宋体" w:hAnsi="宋体" w:cs="宋体"/>
                <w:sz w:val="15"/>
                <w:szCs w:val="15"/>
              </w:rPr>
              <w:t>3.</w:t>
            </w:r>
            <w:r>
              <w:rPr>
                <w:rFonts w:hint="eastAsia" w:ascii="宋体" w:hAnsi="宋体" w:cs="宋体"/>
                <w:sz w:val="15"/>
                <w:szCs w:val="15"/>
              </w:rPr>
              <w:t>发挥行业协会自律作用。</w:t>
            </w:r>
          </w:p>
        </w:tc>
        <w:tc>
          <w:tcPr>
            <w:tcW w:w="889" w:type="dxa"/>
            <w:vAlign w:val="center"/>
          </w:tcPr>
          <w:p>
            <w:pPr>
              <w:widowControl/>
              <w:spacing w:line="248"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33</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交通运输部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出租汽车车辆运营证核发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道路运输证、网络预约出租汽车运输证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《国务院对确需保留的行政审批项目设定行政许可的决定》</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市交通运输局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县级交通运输部门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对开展出租汽车技术等级评定的地区，不再要求申请人提供技术等级评定相关材料，直接向检测机构获取车辆技术等级评定信息。</w:t>
            </w:r>
          </w:p>
        </w:tc>
        <w:tc>
          <w:tcPr>
            <w:tcW w:w="2268" w:type="dxa"/>
            <w:vAlign w:val="center"/>
          </w:tcPr>
          <w:p>
            <w:pPr>
              <w:widowControl/>
              <w:spacing w:line="208" w:lineRule="exact"/>
              <w:ind w:left="-56" w:leftChars="-20" w:right="-56" w:rightChars="-20"/>
              <w:rPr>
                <w:rFonts w:ascii="宋体" w:hAnsi="宋体" w:cs="宋体"/>
                <w:spacing w:val="-4"/>
                <w:sz w:val="15"/>
                <w:szCs w:val="15"/>
              </w:rPr>
            </w:pPr>
            <w:r>
              <w:rPr>
                <w:rFonts w:ascii="宋体" w:hAnsi="宋体" w:cs="宋体"/>
                <w:spacing w:val="-4"/>
                <w:sz w:val="15"/>
                <w:szCs w:val="15"/>
              </w:rPr>
              <w:t>1.</w:t>
            </w:r>
            <w:r>
              <w:rPr>
                <w:rFonts w:hint="eastAsia" w:ascii="宋体" w:hAnsi="宋体" w:cs="宋体"/>
                <w:spacing w:val="-4"/>
                <w:sz w:val="15"/>
                <w:szCs w:val="15"/>
              </w:rPr>
              <w:t>开展服务质量信誉考核测评，建立出租汽车经营者信用档案并依法向社会公开信用记录，依法依规对失信主体开展失信惩戒。</w:t>
            </w:r>
            <w:r>
              <w:rPr>
                <w:rFonts w:ascii="宋体" w:hAnsi="宋体" w:cs="宋体"/>
                <w:spacing w:val="-4"/>
                <w:sz w:val="15"/>
                <w:szCs w:val="15"/>
              </w:rPr>
              <w:t>2.</w:t>
            </w:r>
            <w:r>
              <w:rPr>
                <w:rFonts w:hint="eastAsia" w:ascii="宋体" w:hAnsi="宋体" w:cs="宋体"/>
                <w:spacing w:val="-4"/>
                <w:sz w:val="15"/>
                <w:szCs w:val="15"/>
              </w:rPr>
              <w:t>依法及时处理投诉举报。</w:t>
            </w:r>
            <w:r>
              <w:rPr>
                <w:rFonts w:ascii="宋体" w:hAnsi="宋体" w:cs="宋体"/>
                <w:spacing w:val="-4"/>
                <w:sz w:val="15"/>
                <w:szCs w:val="15"/>
              </w:rPr>
              <w:t>3.</w:t>
            </w:r>
            <w:r>
              <w:rPr>
                <w:rFonts w:hint="eastAsia" w:ascii="宋体" w:hAnsi="宋体" w:cs="宋体"/>
                <w:spacing w:val="-4"/>
                <w:sz w:val="15"/>
                <w:szCs w:val="15"/>
              </w:rPr>
              <w:t>发挥行业协会自律作用。</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34</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水利部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取水许可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取水许可证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《中华人民共和国水法》《取水许可和水资源费征收管理条例》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市水利局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县级水利部门或行政审批局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县级水利部门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08" w:lineRule="exact"/>
              <w:ind w:left="-56" w:leftChars="-20" w:right="-56" w:rightChars="-20"/>
              <w:rPr>
                <w:rFonts w:ascii="宋体" w:hAnsi="宋体" w:cs="宋体"/>
                <w:spacing w:val="-4"/>
                <w:sz w:val="15"/>
                <w:szCs w:val="15"/>
              </w:rPr>
            </w:pPr>
            <w:r>
              <w:rPr>
                <w:rFonts w:ascii="宋体" w:hAnsi="宋体" w:cs="宋体"/>
                <w:spacing w:val="-4"/>
                <w:sz w:val="15"/>
                <w:szCs w:val="15"/>
              </w:rPr>
              <w:t>1.</w:t>
            </w:r>
            <w:r>
              <w:rPr>
                <w:rFonts w:hint="eastAsia" w:ascii="宋体" w:hAnsi="宋体" w:cs="宋体"/>
                <w:spacing w:val="-4"/>
                <w:sz w:val="15"/>
                <w:szCs w:val="15"/>
              </w:rPr>
              <w:t>在各类开发区、工业园区、新区和其他有条件的区域，推行水资源论证区域评估，对已实施水资源论证区域评估范围内的建设项目推行取水许可告知承诺制。</w:t>
            </w:r>
            <w:r>
              <w:rPr>
                <w:rFonts w:ascii="宋体" w:hAnsi="宋体" w:cs="宋体"/>
                <w:spacing w:val="-4"/>
                <w:sz w:val="15"/>
                <w:szCs w:val="15"/>
              </w:rPr>
              <w:t>2.</w:t>
            </w:r>
            <w:r>
              <w:rPr>
                <w:rFonts w:hint="eastAsia" w:ascii="宋体" w:hAnsi="宋体" w:cs="宋体"/>
                <w:spacing w:val="-4"/>
                <w:sz w:val="15"/>
                <w:szCs w:val="15"/>
              </w:rPr>
              <w:t>按国务院统一部署，推广取水许可电子许可证，实现申请、审批全程网上办理。</w:t>
            </w:r>
            <w:r>
              <w:rPr>
                <w:rFonts w:ascii="宋体" w:hAnsi="宋体" w:cs="宋体"/>
                <w:spacing w:val="-4"/>
                <w:sz w:val="15"/>
                <w:szCs w:val="15"/>
              </w:rPr>
              <w:t>3.</w:t>
            </w:r>
            <w:r>
              <w:rPr>
                <w:rFonts w:hint="eastAsia" w:ascii="宋体" w:hAnsi="宋体" w:cs="宋体"/>
                <w:spacing w:val="-4"/>
                <w:sz w:val="15"/>
                <w:szCs w:val="15"/>
              </w:rPr>
              <w:t>简化优化建设项目水资源论证管理要求，实行报告表、报告书分类管理，对取水量较小、用水工艺简单且取退水影响小的项目推行报告表管理。</w:t>
            </w:r>
            <w:r>
              <w:rPr>
                <w:rFonts w:ascii="宋体" w:hAnsi="宋体" w:cs="宋体"/>
                <w:spacing w:val="-4"/>
                <w:sz w:val="15"/>
                <w:szCs w:val="15"/>
              </w:rPr>
              <w:t>4.</w:t>
            </w:r>
            <w:r>
              <w:rPr>
                <w:rFonts w:hint="eastAsia" w:ascii="宋体" w:hAnsi="宋体" w:cs="宋体"/>
                <w:spacing w:val="-4"/>
                <w:sz w:val="15"/>
                <w:szCs w:val="15"/>
              </w:rPr>
              <w:t>简化技术审查环节，细化明确报告书技术审查标准，报告书技术审查时限由</w:t>
            </w:r>
            <w:r>
              <w:rPr>
                <w:rFonts w:ascii="宋体" w:hAnsi="宋体" w:cs="宋体"/>
                <w:spacing w:val="-4"/>
                <w:sz w:val="15"/>
                <w:szCs w:val="15"/>
              </w:rPr>
              <w:t>30</w:t>
            </w:r>
            <w:r>
              <w:rPr>
                <w:rFonts w:hint="eastAsia" w:ascii="宋体" w:hAnsi="宋体" w:cs="宋体"/>
                <w:spacing w:val="-4"/>
                <w:sz w:val="15"/>
                <w:szCs w:val="15"/>
              </w:rPr>
              <w:t>个工作日压减至</w:t>
            </w:r>
            <w:r>
              <w:rPr>
                <w:rFonts w:ascii="宋体" w:hAnsi="宋体" w:cs="宋体"/>
                <w:spacing w:val="-4"/>
                <w:sz w:val="15"/>
                <w:szCs w:val="15"/>
              </w:rPr>
              <w:t>20</w:t>
            </w:r>
            <w:r>
              <w:rPr>
                <w:rFonts w:hint="eastAsia" w:ascii="宋体" w:hAnsi="宋体" w:cs="宋体"/>
                <w:spacing w:val="-4"/>
                <w:sz w:val="15"/>
                <w:szCs w:val="15"/>
              </w:rPr>
              <w:t>个工作日（不含报告书修改时间）。对报告表实行备案承诺制，不再组织技术审查，由水利部门直接审核。</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开展“双随机、一公开”监管，发现取水单位和个人取用水、有关技术单位编制报告中存在违法行为的，要依法查处并向社会公开。</w:t>
            </w:r>
            <w:r>
              <w:rPr>
                <w:rFonts w:ascii="宋体" w:hAnsi="宋体" w:cs="宋体"/>
                <w:sz w:val="15"/>
                <w:szCs w:val="15"/>
              </w:rPr>
              <w:t>2.</w:t>
            </w:r>
            <w:r>
              <w:rPr>
                <w:rFonts w:hint="eastAsia" w:ascii="宋体" w:hAnsi="宋体" w:cs="宋体"/>
                <w:sz w:val="15"/>
                <w:szCs w:val="15"/>
              </w:rPr>
              <w:t>加强信用监管，将取水单位和个人的相关违法信息纳入社会征信体系，依法依规对失信主体开展失信惩戒。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35</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生鲜乳准运证明核发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生鲜乳准运证明</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《乳品质量安全监督管理条例》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县级农业农村（畜牧兽医）部门或行政审批局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县级农业农村（畜牧兽医）部门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将生鲜乳准运证明有效期由一年延长至两年。</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加强对生鲜乳运输车辆的监管，将车辆全部纳入监管监测信息系统，实时掌握运营情况。</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36</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生鲜乳收购站许可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生鲜乳收购许可证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《乳品质量安全监督管理条例》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县级农业农村（畜牧兽医）部门或行政审批局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县级农业农村（畜牧兽医）部门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10</w:t>
            </w:r>
            <w:r>
              <w:rPr>
                <w:rFonts w:hint="eastAsia" w:ascii="宋体" w:hAnsi="宋体" w:cs="宋体"/>
                <w:sz w:val="15"/>
                <w:szCs w:val="15"/>
              </w:rPr>
              <w:t>个工作日。</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加强对生鲜乳收购站的监管，将其全部纳入监管监测信息系统，实时掌握收购、运营情况。</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37</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农作物种子、食用菌菌种生产经营许可证核发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农作物种子、食用菌菌种生产经营许可证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《中华人民共和国种子法》</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实现申请、审批网上办理。</w:t>
            </w:r>
            <w:r>
              <w:rPr>
                <w:rFonts w:ascii="宋体" w:hAnsi="宋体" w:cs="宋体"/>
                <w:sz w:val="15"/>
                <w:szCs w:val="15"/>
              </w:rPr>
              <w:t>2.</w:t>
            </w:r>
            <w:r>
              <w:rPr>
                <w:rFonts w:hint="eastAsia" w:ascii="宋体" w:hAnsi="宋体" w:cs="宋体"/>
                <w:sz w:val="15"/>
                <w:szCs w:val="15"/>
              </w:rPr>
              <w:t>不再要求申请人提供营业执照、法定代表人身份证等材料，通过部门间信息共享获取相关信息。</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开展“双随机、一公开”监管，根据风险程度，合理确定抽查比例，对风险等级高的领域、投诉举报多的企业实施重点监管。</w:t>
            </w:r>
            <w:r>
              <w:rPr>
                <w:rFonts w:ascii="宋体" w:hAnsi="宋体" w:cs="宋体"/>
                <w:sz w:val="15"/>
                <w:szCs w:val="15"/>
              </w:rPr>
              <w:t>2.</w:t>
            </w:r>
            <w:r>
              <w:rPr>
                <w:rFonts w:hint="eastAsia" w:ascii="宋体" w:hAnsi="宋体" w:cs="宋体"/>
                <w:sz w:val="15"/>
                <w:szCs w:val="15"/>
              </w:rPr>
              <w:t>强化社会监督，依法及时处理举报、投诉问题，调查处理结果向社会公开。</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38</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种畜禽生产经营许可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种畜禽生产经营许可证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《中华人民共和国畜牧法》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市农业农村局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不再要求申请人提供营业执照、法定代表人身份证等材料，通过部门间信息共享获取相关信息。</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开展“双随机、一公开”监管，根据风险程度，合理确定抽查比例，对风险等级高的领域、投诉举报多的企业实施重点监管。</w:t>
            </w:r>
            <w:r>
              <w:rPr>
                <w:rFonts w:ascii="宋体" w:hAnsi="宋体" w:cs="宋体"/>
                <w:sz w:val="15"/>
                <w:szCs w:val="15"/>
              </w:rPr>
              <w:t>2.</w:t>
            </w:r>
            <w:r>
              <w:rPr>
                <w:rFonts w:hint="eastAsia" w:ascii="宋体" w:hAnsi="宋体" w:cs="宋体"/>
                <w:sz w:val="15"/>
                <w:szCs w:val="15"/>
              </w:rPr>
              <w:t>强化社会监督，依法及时处理投诉举报，调查处理结果向社会公开。</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39</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蜂种生产经营许可证核发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蜂种生产经营许可证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《中华人民共和国畜牧法》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市农业农村局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县级农业农村部门或行政审批局（初审）</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不再要求申请人提供营业执照、法定代表人身份证等材料，通过部门间信息共享获取相关信息。</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开展“双随机、一公开”监管，根据风险程度，合理确定抽查比例，对风险等级高的领域、投诉举报多的企业实施重点监管。</w:t>
            </w:r>
            <w:r>
              <w:rPr>
                <w:rFonts w:ascii="宋体" w:hAnsi="宋体" w:cs="宋体"/>
                <w:sz w:val="15"/>
                <w:szCs w:val="15"/>
              </w:rPr>
              <w:t>2.</w:t>
            </w:r>
            <w:r>
              <w:rPr>
                <w:rFonts w:hint="eastAsia" w:ascii="宋体" w:hAnsi="宋体" w:cs="宋体"/>
                <w:sz w:val="15"/>
                <w:szCs w:val="15"/>
              </w:rPr>
              <w:t>强化社会监督，依法及时处理投诉举报，调查处理结果向社会公开。</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40</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蚕种生产经营许可证核发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蚕种生产经营许可证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《中华人民共和国畜牧法》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市农业农村局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县级农业农村部门或行政审批局（初审）</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不再要求申请人提供营业执照、法定代表人身份证等材料，通过部门间信息共享获取相关信息。</w:t>
            </w:r>
          </w:p>
        </w:tc>
        <w:tc>
          <w:tcPr>
            <w:tcW w:w="2268" w:type="dxa"/>
            <w:vAlign w:val="center"/>
          </w:tcPr>
          <w:p>
            <w:pPr>
              <w:widowControl/>
              <w:spacing w:line="220" w:lineRule="exact"/>
              <w:ind w:left="-56" w:leftChars="-20" w:right="-56" w:rightChars="-20"/>
              <w:rPr>
                <w:rFonts w:ascii="宋体" w:hAnsi="宋体" w:cs="宋体"/>
                <w:spacing w:val="-2"/>
                <w:sz w:val="15"/>
                <w:szCs w:val="15"/>
              </w:rPr>
            </w:pPr>
            <w:r>
              <w:rPr>
                <w:rFonts w:ascii="宋体" w:hAnsi="宋体" w:cs="宋体"/>
                <w:spacing w:val="-2"/>
                <w:sz w:val="15"/>
                <w:szCs w:val="15"/>
              </w:rPr>
              <w:t>1.</w:t>
            </w:r>
            <w:r>
              <w:rPr>
                <w:rFonts w:hint="eastAsia" w:ascii="宋体" w:hAnsi="宋体" w:cs="宋体"/>
                <w:spacing w:val="-2"/>
                <w:sz w:val="15"/>
                <w:szCs w:val="15"/>
              </w:rPr>
              <w:t>开展“双随机、一公开”监管，根据风险程度，合理确定抽查比例，对风险等级高的领域、投诉举报多的企业实施重点监管。</w:t>
            </w:r>
            <w:r>
              <w:rPr>
                <w:rFonts w:ascii="宋体" w:hAnsi="宋体" w:cs="宋体"/>
                <w:spacing w:val="-2"/>
                <w:sz w:val="15"/>
                <w:szCs w:val="15"/>
              </w:rPr>
              <w:t>2.</w:t>
            </w:r>
            <w:r>
              <w:rPr>
                <w:rFonts w:hint="eastAsia" w:ascii="宋体" w:hAnsi="宋体" w:cs="宋体"/>
                <w:spacing w:val="-2"/>
                <w:sz w:val="15"/>
                <w:szCs w:val="15"/>
              </w:rPr>
              <w:t>强化社会监督，依法及时处理投诉举报，调查处理结果向社会公开。</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41</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兽药经营许可证核发（非生物制品类）</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兽药经营许可证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《兽药管理条例》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将审批时限由</w:t>
            </w:r>
            <w:r>
              <w:rPr>
                <w:rFonts w:ascii="宋体" w:hAnsi="宋体" w:cs="宋体"/>
                <w:sz w:val="15"/>
                <w:szCs w:val="15"/>
              </w:rPr>
              <w:t>30</w:t>
            </w:r>
            <w:r>
              <w:rPr>
                <w:rFonts w:hint="eastAsia" w:ascii="宋体" w:hAnsi="宋体" w:cs="宋体"/>
                <w:sz w:val="15"/>
                <w:szCs w:val="15"/>
              </w:rPr>
              <w:t>个工作日压减至</w:t>
            </w:r>
            <w:r>
              <w:rPr>
                <w:rFonts w:ascii="宋体" w:hAnsi="宋体" w:cs="宋体"/>
                <w:sz w:val="15"/>
                <w:szCs w:val="15"/>
              </w:rPr>
              <w:t>20</w:t>
            </w:r>
            <w:r>
              <w:rPr>
                <w:rFonts w:hint="eastAsia" w:ascii="宋体" w:hAnsi="宋体" w:cs="宋体"/>
                <w:sz w:val="15"/>
                <w:szCs w:val="15"/>
              </w:rPr>
              <w:t>个工作日。</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开展“双随机、一公开”监管，发现违法违规行为要依法查处并公开查处结果。</w:t>
            </w:r>
            <w:r>
              <w:rPr>
                <w:rFonts w:ascii="宋体" w:hAnsi="宋体" w:cs="宋体"/>
                <w:sz w:val="15"/>
                <w:szCs w:val="15"/>
              </w:rPr>
              <w:t>2.</w:t>
            </w:r>
            <w:r>
              <w:rPr>
                <w:rFonts w:hint="eastAsia" w:ascii="宋体" w:hAnsi="宋体" w:cs="宋体"/>
                <w:sz w:val="15"/>
                <w:szCs w:val="15"/>
              </w:rPr>
              <w:t>对风险等级高的领域、投诉举报多的企业增加监督检查次数和抽检兽药数量，实施重点监管。</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42</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动物诊疗许可证核发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动物诊疗许可证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《中华人民共和国动物防疫法》</w:t>
            </w:r>
          </w:p>
        </w:tc>
        <w:tc>
          <w:tcPr>
            <w:tcW w:w="657" w:type="dxa"/>
            <w:vAlign w:val="center"/>
          </w:tcPr>
          <w:p>
            <w:pPr>
              <w:widowControl/>
              <w:spacing w:line="240" w:lineRule="exact"/>
              <w:ind w:left="-84" w:leftChars="-30" w:right="-84" w:rightChars="-30"/>
              <w:jc w:val="center"/>
              <w:rPr>
                <w:rFonts w:ascii="宋体" w:hAnsi="宋体" w:cs="宋体"/>
                <w:sz w:val="15"/>
                <w:szCs w:val="15"/>
              </w:rPr>
            </w:pPr>
          </w:p>
        </w:tc>
        <w:tc>
          <w:tcPr>
            <w:tcW w:w="658" w:type="dxa"/>
            <w:vAlign w:val="center"/>
          </w:tcPr>
          <w:p>
            <w:pPr>
              <w:widowControl/>
              <w:spacing w:line="240" w:lineRule="exact"/>
              <w:ind w:left="-84" w:leftChars="-30" w:right="-84" w:rightChars="-30"/>
              <w:jc w:val="center"/>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15</w:t>
            </w:r>
            <w:r>
              <w:rPr>
                <w:rFonts w:hint="eastAsia" w:ascii="宋体" w:hAnsi="宋体" w:cs="宋体"/>
                <w:sz w:val="15"/>
                <w:szCs w:val="15"/>
              </w:rPr>
              <w:t>个工作日。</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开展“双随机、一公开”监管，发现违法违规行为要依法查处并公开查处结果。</w:t>
            </w:r>
            <w:r>
              <w:rPr>
                <w:rFonts w:ascii="宋体" w:hAnsi="宋体" w:cs="宋体"/>
                <w:sz w:val="15"/>
                <w:szCs w:val="15"/>
              </w:rPr>
              <w:t>2.</w:t>
            </w:r>
            <w:r>
              <w:rPr>
                <w:rFonts w:hint="eastAsia" w:ascii="宋体" w:hAnsi="宋体" w:cs="宋体"/>
                <w:sz w:val="15"/>
                <w:szCs w:val="15"/>
              </w:rPr>
              <w:t>强化社会监督，依法及时处理投诉举报。</w:t>
            </w:r>
            <w:r>
              <w:rPr>
                <w:rFonts w:ascii="宋体" w:hAnsi="宋体" w:cs="宋体"/>
                <w:sz w:val="15"/>
                <w:szCs w:val="15"/>
              </w:rPr>
              <w:t>3.</w:t>
            </w:r>
            <w:r>
              <w:rPr>
                <w:rFonts w:hint="eastAsia" w:ascii="宋体" w:hAnsi="宋体" w:cs="宋体"/>
                <w:sz w:val="15"/>
                <w:szCs w:val="15"/>
              </w:rPr>
              <w:t>加强行业监测，针对发现的普遍性问题和突出风险开展专项行动，确保不发生系统性、区域性风险。</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43</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农药经营许可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农药经营许可证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《农药管理条例》</w:t>
            </w:r>
          </w:p>
        </w:tc>
        <w:tc>
          <w:tcPr>
            <w:tcW w:w="657" w:type="dxa"/>
            <w:vAlign w:val="center"/>
          </w:tcPr>
          <w:p>
            <w:pPr>
              <w:widowControl/>
              <w:spacing w:line="240" w:lineRule="exact"/>
              <w:ind w:left="-84" w:leftChars="-30" w:right="-84" w:rightChars="-30"/>
              <w:jc w:val="center"/>
              <w:rPr>
                <w:rFonts w:ascii="宋体" w:hAnsi="宋体" w:cs="宋体"/>
                <w:sz w:val="15"/>
                <w:szCs w:val="15"/>
              </w:rPr>
            </w:pPr>
          </w:p>
        </w:tc>
        <w:tc>
          <w:tcPr>
            <w:tcW w:w="658" w:type="dxa"/>
            <w:vAlign w:val="center"/>
          </w:tcPr>
          <w:p>
            <w:pPr>
              <w:widowControl/>
              <w:spacing w:line="240" w:lineRule="exact"/>
              <w:ind w:left="-84" w:leftChars="-30" w:right="-84" w:rightChars="-30"/>
              <w:jc w:val="center"/>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实现申请、审批网上办理。</w:t>
            </w:r>
            <w:r>
              <w:rPr>
                <w:rFonts w:ascii="宋体" w:hAnsi="宋体" w:cs="宋体"/>
                <w:sz w:val="15"/>
                <w:szCs w:val="15"/>
              </w:rPr>
              <w:t>2.</w:t>
            </w:r>
            <w:r>
              <w:rPr>
                <w:rFonts w:hint="eastAsia" w:ascii="宋体" w:hAnsi="宋体" w:cs="宋体"/>
                <w:sz w:val="15"/>
                <w:szCs w:val="15"/>
              </w:rPr>
              <w:t>不再要求申请人同时提供申请材料的纸质文件和电子文档。</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加强行业监测，畅通投诉举报渠道，将风险隐患、投诉举报较多的企业列入重点监管对象。</w:t>
            </w:r>
            <w:r>
              <w:rPr>
                <w:rFonts w:ascii="宋体" w:hAnsi="宋体" w:cs="宋体"/>
                <w:sz w:val="15"/>
                <w:szCs w:val="15"/>
              </w:rPr>
              <w:t>3.</w:t>
            </w:r>
            <w:r>
              <w:rPr>
                <w:rFonts w:hint="eastAsia" w:ascii="宋体" w:hAnsi="宋体" w:cs="宋体"/>
                <w:sz w:val="15"/>
                <w:szCs w:val="15"/>
              </w:rPr>
              <w:t>加强信用监管，依法向社会公布农药经营企业信用状况，依法依规对失信主体开展失信惩戒。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44</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动物防疫条件合格证核发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动物防疫条件合格证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《中华人民共和国动物防疫法》</w:t>
            </w:r>
          </w:p>
        </w:tc>
        <w:tc>
          <w:tcPr>
            <w:tcW w:w="657" w:type="dxa"/>
            <w:vAlign w:val="center"/>
          </w:tcPr>
          <w:p>
            <w:pPr>
              <w:widowControl/>
              <w:spacing w:line="240" w:lineRule="exact"/>
              <w:ind w:left="-84" w:leftChars="-30" w:right="-84" w:rightChars="-30"/>
              <w:jc w:val="center"/>
              <w:rPr>
                <w:rFonts w:ascii="宋体" w:hAnsi="宋体" w:cs="宋体"/>
                <w:sz w:val="15"/>
                <w:szCs w:val="15"/>
              </w:rPr>
            </w:pPr>
          </w:p>
        </w:tc>
        <w:tc>
          <w:tcPr>
            <w:tcW w:w="658" w:type="dxa"/>
            <w:vAlign w:val="center"/>
          </w:tcPr>
          <w:p>
            <w:pPr>
              <w:widowControl/>
              <w:spacing w:line="240" w:lineRule="exact"/>
              <w:ind w:left="-84" w:leftChars="-30" w:right="-84" w:rightChars="-30"/>
              <w:jc w:val="center"/>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县级农业农村部门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实现申请、审批网上办理。</w:t>
            </w:r>
            <w:r>
              <w:rPr>
                <w:rFonts w:ascii="宋体" w:hAnsi="宋体" w:cs="宋体"/>
                <w:sz w:val="15"/>
                <w:szCs w:val="15"/>
              </w:rPr>
              <w:t>2.</w:t>
            </w: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15</w:t>
            </w:r>
            <w:r>
              <w:rPr>
                <w:rFonts w:hint="eastAsia" w:ascii="宋体" w:hAnsi="宋体" w:cs="宋体"/>
                <w:sz w:val="15"/>
                <w:szCs w:val="15"/>
              </w:rPr>
              <w:t>个工作日。</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针对行业突出问题和重大风险点，开展安全风险预警监测，及时发现隐患并处置。</w:t>
            </w:r>
            <w:r>
              <w:rPr>
                <w:rFonts w:ascii="宋体" w:hAnsi="宋体" w:cs="宋体"/>
                <w:sz w:val="15"/>
                <w:szCs w:val="15"/>
              </w:rPr>
              <w:t>3.</w:t>
            </w:r>
            <w:r>
              <w:rPr>
                <w:rFonts w:hint="eastAsia" w:ascii="宋体" w:hAnsi="宋体" w:cs="宋体"/>
                <w:sz w:val="15"/>
                <w:szCs w:val="15"/>
              </w:rPr>
              <w:t>强化社会监督，依法及时处理投诉举报。</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45</w:t>
            </w:r>
          </w:p>
        </w:tc>
        <w:tc>
          <w:tcPr>
            <w:tcW w:w="557"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渔业捕捞许可证审批</w:t>
            </w:r>
          </w:p>
        </w:tc>
        <w:tc>
          <w:tcPr>
            <w:tcW w:w="87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渔业捕捞许可证</w:t>
            </w:r>
          </w:p>
        </w:tc>
        <w:tc>
          <w:tcPr>
            <w:tcW w:w="1620"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《中华人民共和国渔业法》</w:t>
            </w:r>
          </w:p>
        </w:tc>
        <w:tc>
          <w:tcPr>
            <w:tcW w:w="657" w:type="dxa"/>
            <w:vAlign w:val="center"/>
          </w:tcPr>
          <w:p>
            <w:pPr>
              <w:widowControl/>
              <w:spacing w:line="256" w:lineRule="exact"/>
              <w:ind w:left="-84" w:leftChars="-30" w:right="-84" w:rightChars="-30"/>
              <w:jc w:val="center"/>
              <w:rPr>
                <w:rFonts w:ascii="宋体" w:hAnsi="宋体" w:cs="宋体"/>
                <w:sz w:val="15"/>
                <w:szCs w:val="15"/>
              </w:rPr>
            </w:pPr>
          </w:p>
        </w:tc>
        <w:tc>
          <w:tcPr>
            <w:tcW w:w="658" w:type="dxa"/>
            <w:vAlign w:val="center"/>
          </w:tcPr>
          <w:p>
            <w:pPr>
              <w:widowControl/>
              <w:spacing w:line="256" w:lineRule="exact"/>
              <w:ind w:left="-84" w:leftChars="-30" w:right="-84" w:rightChars="-30"/>
              <w:jc w:val="center"/>
              <w:rPr>
                <w:rFonts w:ascii="宋体" w:hAnsi="宋体" w:cs="宋体"/>
                <w:sz w:val="15"/>
                <w:szCs w:val="15"/>
              </w:rPr>
            </w:pP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县级农业农村（渔业）部门或行政审批局</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县级农业农村（渔业）部门</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实现全国一网通办。</w:t>
            </w:r>
            <w:r>
              <w:rPr>
                <w:rFonts w:ascii="宋体" w:hAnsi="宋体" w:cs="宋体"/>
                <w:sz w:val="15"/>
                <w:szCs w:val="15"/>
              </w:rPr>
              <w:t>2.</w:t>
            </w:r>
            <w:r>
              <w:rPr>
                <w:rFonts w:hint="eastAsia" w:ascii="宋体" w:hAnsi="宋体" w:cs="宋体"/>
                <w:sz w:val="15"/>
                <w:szCs w:val="15"/>
              </w:rPr>
              <w:t>对能够通过有关信息系统或者部门间信息共享核查的证明材料，不再要求申请人提供。</w:t>
            </w:r>
          </w:p>
        </w:tc>
        <w:tc>
          <w:tcPr>
            <w:tcW w:w="2268"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开展“双随机、一公开”监管，发现违法违规行为要依法查处并及时公布查处结果。</w:t>
            </w:r>
            <w:r>
              <w:rPr>
                <w:rFonts w:ascii="宋体" w:hAnsi="宋体" w:cs="宋体"/>
                <w:sz w:val="15"/>
                <w:szCs w:val="15"/>
              </w:rPr>
              <w:t>2.</w:t>
            </w:r>
            <w:r>
              <w:rPr>
                <w:rFonts w:hint="eastAsia" w:ascii="宋体" w:hAnsi="宋体" w:cs="宋体"/>
                <w:sz w:val="15"/>
                <w:szCs w:val="15"/>
              </w:rPr>
              <w:t>强化社会监督，依法及时处理投诉举报，调查处理结果向社会公开。</w:t>
            </w:r>
          </w:p>
        </w:tc>
        <w:tc>
          <w:tcPr>
            <w:tcW w:w="889" w:type="dxa"/>
            <w:vAlign w:val="center"/>
          </w:tcPr>
          <w:p>
            <w:pPr>
              <w:widowControl/>
              <w:spacing w:line="256"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46</w:t>
            </w:r>
          </w:p>
        </w:tc>
        <w:tc>
          <w:tcPr>
            <w:tcW w:w="557"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水域滩涂养殖证核发</w:t>
            </w:r>
          </w:p>
        </w:tc>
        <w:tc>
          <w:tcPr>
            <w:tcW w:w="87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水域滩涂养殖证</w:t>
            </w:r>
          </w:p>
        </w:tc>
        <w:tc>
          <w:tcPr>
            <w:tcW w:w="1620"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《中华人民共和国渔业法》</w:t>
            </w:r>
          </w:p>
        </w:tc>
        <w:tc>
          <w:tcPr>
            <w:tcW w:w="657" w:type="dxa"/>
            <w:vAlign w:val="center"/>
          </w:tcPr>
          <w:p>
            <w:pPr>
              <w:widowControl/>
              <w:spacing w:line="256" w:lineRule="exact"/>
              <w:ind w:left="-84" w:leftChars="-30" w:right="-84" w:rightChars="-30"/>
              <w:jc w:val="left"/>
              <w:rPr>
                <w:rFonts w:ascii="宋体" w:hAnsi="宋体" w:cs="宋体"/>
                <w:sz w:val="15"/>
                <w:szCs w:val="15"/>
              </w:rPr>
            </w:pPr>
          </w:p>
        </w:tc>
        <w:tc>
          <w:tcPr>
            <w:tcW w:w="658" w:type="dxa"/>
            <w:vAlign w:val="center"/>
          </w:tcPr>
          <w:p>
            <w:pPr>
              <w:widowControl/>
              <w:spacing w:line="256" w:lineRule="exact"/>
              <w:ind w:left="-84" w:leftChars="-30" w:right="-84" w:rightChars="-30"/>
              <w:jc w:val="left"/>
              <w:rPr>
                <w:rFonts w:ascii="宋体" w:hAnsi="宋体" w:cs="宋体"/>
                <w:sz w:val="15"/>
                <w:szCs w:val="15"/>
              </w:rPr>
            </w:pP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县级农业农村（渔业）部门或行政审批局</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县级农业农村（渔业）部门</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实现全国一网通办，申请人“最多跑一次”。</w:t>
            </w:r>
            <w:r>
              <w:rPr>
                <w:rFonts w:ascii="宋体" w:hAnsi="宋体" w:cs="宋体"/>
                <w:sz w:val="15"/>
                <w:szCs w:val="15"/>
              </w:rPr>
              <w:t>2.</w:t>
            </w:r>
            <w:r>
              <w:rPr>
                <w:rFonts w:hint="eastAsia" w:ascii="宋体" w:hAnsi="宋体" w:cs="宋体"/>
                <w:sz w:val="15"/>
                <w:szCs w:val="15"/>
              </w:rPr>
              <w:t>不再要求申请人提供营业执照、法定代表人身份证等材料，通过部门间信息共享获取相关信息。</w:t>
            </w:r>
          </w:p>
        </w:tc>
        <w:tc>
          <w:tcPr>
            <w:tcW w:w="2268"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w:t>
            </w:r>
            <w:r>
              <w:rPr>
                <w:rFonts w:ascii="宋体" w:hAnsi="宋体" w:cs="宋体"/>
                <w:sz w:val="15"/>
                <w:szCs w:val="15"/>
              </w:rPr>
              <w:t>2.</w:t>
            </w:r>
            <w:r>
              <w:rPr>
                <w:rFonts w:hint="eastAsia" w:ascii="宋体" w:hAnsi="宋体" w:cs="宋体"/>
                <w:sz w:val="15"/>
                <w:szCs w:val="15"/>
              </w:rPr>
              <w:t>对风险等级高、投诉举报多的企业实施重点监管。</w:t>
            </w:r>
            <w:r>
              <w:rPr>
                <w:rFonts w:ascii="宋体" w:hAnsi="宋体" w:cs="宋体"/>
                <w:sz w:val="15"/>
                <w:szCs w:val="15"/>
              </w:rPr>
              <w:t>3.</w:t>
            </w:r>
            <w:r>
              <w:rPr>
                <w:rFonts w:hint="eastAsia" w:ascii="宋体" w:hAnsi="宋体" w:cs="宋体"/>
                <w:sz w:val="15"/>
                <w:szCs w:val="15"/>
              </w:rPr>
              <w:t>依法及时处理投诉举报，处理结果依法向社会公开并记入企业信用记录。</w:t>
            </w:r>
          </w:p>
        </w:tc>
        <w:tc>
          <w:tcPr>
            <w:tcW w:w="889" w:type="dxa"/>
            <w:vAlign w:val="center"/>
          </w:tcPr>
          <w:p>
            <w:pPr>
              <w:widowControl/>
              <w:spacing w:line="256"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47</w:t>
            </w:r>
          </w:p>
        </w:tc>
        <w:tc>
          <w:tcPr>
            <w:tcW w:w="557"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农业农村部</w:t>
            </w:r>
          </w:p>
        </w:tc>
        <w:tc>
          <w:tcPr>
            <w:tcW w:w="1485"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水产苗种场（不含原种场）的水产苗种生产许可证核发</w:t>
            </w:r>
          </w:p>
        </w:tc>
        <w:tc>
          <w:tcPr>
            <w:tcW w:w="879"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水产苗种生产许可证</w:t>
            </w:r>
          </w:p>
        </w:tc>
        <w:tc>
          <w:tcPr>
            <w:tcW w:w="1620" w:type="dxa"/>
            <w:vAlign w:val="center"/>
          </w:tcPr>
          <w:p>
            <w:pPr>
              <w:widowControl/>
              <w:spacing w:line="256" w:lineRule="exact"/>
              <w:ind w:left="-56" w:leftChars="-20" w:right="-56" w:rightChars="-20"/>
              <w:rPr>
                <w:rFonts w:ascii="宋体" w:hAnsi="宋体" w:cs="宋体"/>
                <w:sz w:val="15"/>
                <w:szCs w:val="15"/>
              </w:rPr>
            </w:pPr>
            <w:r>
              <w:rPr>
                <w:rFonts w:hint="eastAsia" w:ascii="宋体" w:hAnsi="宋体" w:cs="宋体"/>
                <w:sz w:val="15"/>
                <w:szCs w:val="15"/>
              </w:rPr>
              <w:t>《中华人民共和国渔业法》</w:t>
            </w:r>
          </w:p>
        </w:tc>
        <w:tc>
          <w:tcPr>
            <w:tcW w:w="657" w:type="dxa"/>
            <w:vAlign w:val="center"/>
          </w:tcPr>
          <w:p>
            <w:pPr>
              <w:widowControl/>
              <w:spacing w:line="256" w:lineRule="exact"/>
              <w:ind w:left="-84" w:leftChars="-30" w:right="-84" w:rightChars="-30"/>
              <w:jc w:val="left"/>
              <w:rPr>
                <w:rFonts w:ascii="宋体" w:hAnsi="宋体" w:cs="宋体"/>
                <w:sz w:val="15"/>
                <w:szCs w:val="15"/>
              </w:rPr>
            </w:pPr>
          </w:p>
        </w:tc>
        <w:tc>
          <w:tcPr>
            <w:tcW w:w="658" w:type="dxa"/>
            <w:vAlign w:val="center"/>
          </w:tcPr>
          <w:p>
            <w:pPr>
              <w:widowControl/>
              <w:spacing w:line="256" w:lineRule="exact"/>
              <w:ind w:left="-84" w:leftChars="-30" w:right="-84" w:rightChars="-30"/>
              <w:jc w:val="left"/>
              <w:rPr>
                <w:rFonts w:ascii="宋体" w:hAnsi="宋体" w:cs="宋体"/>
                <w:sz w:val="15"/>
                <w:szCs w:val="15"/>
              </w:rPr>
            </w:pPr>
          </w:p>
        </w:tc>
        <w:tc>
          <w:tcPr>
            <w:tcW w:w="657"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县级农业农村（渔业）部门或行政审批局</w:t>
            </w:r>
          </w:p>
        </w:tc>
        <w:tc>
          <w:tcPr>
            <w:tcW w:w="658" w:type="dxa"/>
            <w:vAlign w:val="center"/>
          </w:tcPr>
          <w:p>
            <w:pPr>
              <w:widowControl/>
              <w:spacing w:line="256" w:lineRule="exact"/>
              <w:ind w:left="-84" w:leftChars="-30" w:right="-84" w:rightChars="-30"/>
              <w:jc w:val="left"/>
              <w:rPr>
                <w:rFonts w:ascii="宋体" w:hAnsi="宋体" w:cs="宋体"/>
                <w:sz w:val="15"/>
                <w:szCs w:val="15"/>
              </w:rPr>
            </w:pPr>
            <w:r>
              <w:rPr>
                <w:rFonts w:hint="eastAsia" w:ascii="宋体" w:hAnsi="宋体" w:cs="宋体"/>
                <w:sz w:val="15"/>
                <w:szCs w:val="15"/>
              </w:rPr>
              <w:t>县级农业农村（渔业）部门</w:t>
            </w: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p>
        </w:tc>
        <w:tc>
          <w:tcPr>
            <w:tcW w:w="355" w:type="dxa"/>
            <w:vAlign w:val="center"/>
          </w:tcPr>
          <w:p>
            <w:pPr>
              <w:widowControl/>
              <w:spacing w:line="256"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实现全国一网通办，申请人“最多跑一次”。</w:t>
            </w:r>
            <w:r>
              <w:rPr>
                <w:rFonts w:ascii="宋体" w:hAnsi="宋体" w:cs="宋体"/>
                <w:sz w:val="15"/>
                <w:szCs w:val="15"/>
              </w:rPr>
              <w:t>2.</w:t>
            </w:r>
            <w:r>
              <w:rPr>
                <w:rFonts w:hint="eastAsia" w:ascii="宋体" w:hAnsi="宋体" w:cs="宋体"/>
                <w:sz w:val="15"/>
                <w:szCs w:val="15"/>
              </w:rPr>
              <w:t>不再要求申请人提供营业执照、法定代表人身份证等材料，通过部门间信息共享获取相关信息。</w:t>
            </w:r>
          </w:p>
        </w:tc>
        <w:tc>
          <w:tcPr>
            <w:tcW w:w="2268" w:type="dxa"/>
            <w:vAlign w:val="center"/>
          </w:tcPr>
          <w:p>
            <w:pPr>
              <w:widowControl/>
              <w:spacing w:line="256"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w:t>
            </w:r>
            <w:r>
              <w:rPr>
                <w:rFonts w:ascii="宋体" w:hAnsi="宋体" w:cs="宋体"/>
                <w:sz w:val="15"/>
                <w:szCs w:val="15"/>
              </w:rPr>
              <w:t>2.</w:t>
            </w:r>
            <w:r>
              <w:rPr>
                <w:rFonts w:hint="eastAsia" w:ascii="宋体" w:hAnsi="宋体" w:cs="宋体"/>
                <w:sz w:val="15"/>
                <w:szCs w:val="15"/>
              </w:rPr>
              <w:t>对风险等级高、投诉举报多的企业实施重点监管。</w:t>
            </w:r>
            <w:r>
              <w:rPr>
                <w:rFonts w:ascii="宋体" w:hAnsi="宋体" w:cs="宋体"/>
                <w:sz w:val="15"/>
                <w:szCs w:val="15"/>
              </w:rPr>
              <w:t>3.</w:t>
            </w:r>
            <w:r>
              <w:rPr>
                <w:rFonts w:hint="eastAsia" w:ascii="宋体" w:hAnsi="宋体" w:cs="宋体"/>
                <w:sz w:val="15"/>
                <w:szCs w:val="15"/>
              </w:rPr>
              <w:t>依法及时处理投诉举报，处理结果依法向社会公开并记入企业信用记录。</w:t>
            </w:r>
          </w:p>
        </w:tc>
        <w:tc>
          <w:tcPr>
            <w:tcW w:w="889" w:type="dxa"/>
            <w:vAlign w:val="center"/>
          </w:tcPr>
          <w:p>
            <w:pPr>
              <w:widowControl/>
              <w:spacing w:line="256"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48</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文化和旅游部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互联网上网服务营业场所经营单位设立审批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网络文化经营许可证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《互联网上网服务营业场所管理条例》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县级文化和旅游部门或行政审批局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县级文化和旅游部门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取消总量限制和布局要求。</w:t>
            </w:r>
            <w:r>
              <w:rPr>
                <w:rFonts w:ascii="宋体" w:hAnsi="宋体" w:cs="宋体"/>
                <w:sz w:val="15"/>
                <w:szCs w:val="15"/>
              </w:rPr>
              <w:t>2.</w:t>
            </w:r>
            <w:r>
              <w:rPr>
                <w:rFonts w:hint="eastAsia" w:ascii="宋体" w:hAnsi="宋体" w:cs="宋体"/>
                <w:sz w:val="15"/>
                <w:szCs w:val="15"/>
              </w:rPr>
              <w:t>取消对互联网上网服务营业场所的计算机数量限制。</w:t>
            </w:r>
            <w:r>
              <w:rPr>
                <w:rFonts w:ascii="宋体" w:hAnsi="宋体" w:cs="宋体"/>
                <w:sz w:val="15"/>
                <w:szCs w:val="15"/>
              </w:rPr>
              <w:t>3.</w:t>
            </w:r>
            <w:r>
              <w:rPr>
                <w:rFonts w:hint="eastAsia" w:ascii="宋体" w:hAnsi="宋体" w:cs="宋体"/>
                <w:sz w:val="15"/>
                <w:szCs w:val="15"/>
              </w:rPr>
              <w:t>不再要求申请人提供资金信用证明等材料。</w:t>
            </w:r>
            <w:r>
              <w:rPr>
                <w:rFonts w:ascii="宋体" w:hAnsi="宋体" w:cs="宋体"/>
                <w:sz w:val="15"/>
                <w:szCs w:val="15"/>
              </w:rPr>
              <w:t>4.</w:t>
            </w: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13</w:t>
            </w:r>
            <w:r>
              <w:rPr>
                <w:rFonts w:hint="eastAsia" w:ascii="宋体" w:hAnsi="宋体" w:cs="宋体"/>
                <w:sz w:val="15"/>
                <w:szCs w:val="15"/>
              </w:rPr>
              <w:t>个工作日。</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w:t>
            </w:r>
            <w:r>
              <w:rPr>
                <w:rFonts w:ascii="宋体" w:hAnsi="宋体" w:cs="宋体"/>
                <w:sz w:val="15"/>
                <w:szCs w:val="15"/>
              </w:rPr>
              <w:t>2.</w:t>
            </w:r>
            <w:r>
              <w:rPr>
                <w:rFonts w:hint="eastAsia" w:ascii="宋体" w:hAnsi="宋体" w:cs="宋体"/>
                <w:sz w:val="15"/>
                <w:szCs w:val="15"/>
              </w:rPr>
              <w:t>加强信用监管，依法依规对失信主体开展失信惩戒。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49</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文化和旅游部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游艺娱乐场所设立审批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娱乐经营许可证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《娱乐场所管理条例》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县级文化和旅游部门或行政审批局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县级文化和旅游部门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取消总量限制和布局要求。</w:t>
            </w:r>
            <w:r>
              <w:rPr>
                <w:rFonts w:ascii="宋体" w:hAnsi="宋体" w:cs="宋体"/>
                <w:sz w:val="15"/>
                <w:szCs w:val="15"/>
              </w:rPr>
              <w:t>2.</w:t>
            </w: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13</w:t>
            </w:r>
            <w:r>
              <w:rPr>
                <w:rFonts w:hint="eastAsia" w:ascii="宋体" w:hAnsi="宋体" w:cs="宋体"/>
                <w:sz w:val="15"/>
                <w:szCs w:val="15"/>
              </w:rPr>
              <w:t>个工作日。</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w:t>
            </w:r>
            <w:r>
              <w:rPr>
                <w:rFonts w:ascii="宋体" w:hAnsi="宋体" w:cs="宋体"/>
                <w:sz w:val="15"/>
                <w:szCs w:val="15"/>
              </w:rPr>
              <w:t>2.</w:t>
            </w:r>
            <w:r>
              <w:rPr>
                <w:rFonts w:hint="eastAsia" w:ascii="宋体" w:hAnsi="宋体" w:cs="宋体"/>
                <w:sz w:val="15"/>
                <w:szCs w:val="15"/>
              </w:rPr>
              <w:t>加强信用监管，依法依规对失信主体开展失信惩戒。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50</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文化和旅游部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歌舞娱乐场所设立审批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娱乐经营许可证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《娱乐场所管理条例》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县级文化和旅游部门或行政审批局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县级文化和旅游部门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13</w:t>
            </w:r>
            <w:r>
              <w:rPr>
                <w:rFonts w:hint="eastAsia" w:ascii="宋体" w:hAnsi="宋体" w:cs="宋体"/>
                <w:sz w:val="15"/>
                <w:szCs w:val="15"/>
              </w:rPr>
              <w:t>个工作日。</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w:t>
            </w:r>
            <w:r>
              <w:rPr>
                <w:rFonts w:ascii="宋体" w:hAnsi="宋体" w:cs="宋体"/>
                <w:sz w:val="15"/>
                <w:szCs w:val="15"/>
              </w:rPr>
              <w:t>2.</w:t>
            </w:r>
            <w:r>
              <w:rPr>
                <w:rFonts w:hint="eastAsia" w:ascii="宋体" w:hAnsi="宋体" w:cs="宋体"/>
                <w:sz w:val="15"/>
                <w:szCs w:val="15"/>
              </w:rPr>
              <w:t>加强信用监管，依法依规对失信主体开展失信惩戒。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51</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文化和旅游部</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文艺表演团体设立审批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营业性演出许可证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《营业性演出管理条例》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县级文化和旅游部门或行政审批局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县级文化和旅游部门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实现申请、审批全程网上办理。</w:t>
            </w:r>
            <w:r>
              <w:rPr>
                <w:rFonts w:ascii="宋体" w:hAnsi="宋体" w:cs="宋体"/>
                <w:sz w:val="15"/>
                <w:szCs w:val="15"/>
              </w:rPr>
              <w:t>2.</w:t>
            </w: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13</w:t>
            </w:r>
            <w:r>
              <w:rPr>
                <w:rFonts w:hint="eastAsia" w:ascii="宋体" w:hAnsi="宋体" w:cs="宋体"/>
                <w:sz w:val="15"/>
                <w:szCs w:val="15"/>
              </w:rPr>
              <w:t>个工作日。</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w:t>
            </w:r>
            <w:r>
              <w:rPr>
                <w:rFonts w:ascii="宋体" w:hAnsi="宋体" w:cs="宋体"/>
                <w:sz w:val="15"/>
                <w:szCs w:val="15"/>
              </w:rPr>
              <w:t>2.</w:t>
            </w:r>
            <w:r>
              <w:rPr>
                <w:rFonts w:hint="eastAsia" w:ascii="宋体" w:hAnsi="宋体" w:cs="宋体"/>
                <w:sz w:val="15"/>
                <w:szCs w:val="15"/>
              </w:rPr>
              <w:t>加强信用监管，依法依规对失信主体开展失信惩戒。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52</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饮用水供水单位卫生许可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卫生许可证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《中华人民共和国传染病防治法》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市卫健委</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不再要求申请人提供从业人员健康体检合格证明。</w:t>
            </w:r>
          </w:p>
        </w:tc>
        <w:tc>
          <w:tcPr>
            <w:tcW w:w="2268" w:type="dxa"/>
            <w:vAlign w:val="center"/>
          </w:tcPr>
          <w:p>
            <w:pPr>
              <w:widowControl/>
              <w:spacing w:line="22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w:t>
            </w:r>
            <w:r>
              <w:rPr>
                <w:rFonts w:ascii="宋体" w:hAnsi="宋体" w:cs="宋体"/>
                <w:sz w:val="15"/>
                <w:szCs w:val="15"/>
              </w:rPr>
              <w:t>2.</w:t>
            </w:r>
            <w:r>
              <w:rPr>
                <w:rFonts w:hint="eastAsia" w:ascii="宋体" w:hAnsi="宋体" w:cs="宋体"/>
                <w:sz w:val="15"/>
                <w:szCs w:val="15"/>
              </w:rPr>
              <w:t>强化部门协同监管，卫生健康部门向供水主管部门通报饮用水供水单位监督检查情况。</w:t>
            </w:r>
            <w:r>
              <w:rPr>
                <w:rFonts w:ascii="宋体" w:hAnsi="宋体" w:cs="宋体"/>
                <w:sz w:val="15"/>
                <w:szCs w:val="15"/>
              </w:rPr>
              <w:t>3.</w:t>
            </w:r>
            <w:r>
              <w:rPr>
                <w:rFonts w:hint="eastAsia" w:ascii="宋体" w:hAnsi="宋体" w:cs="宋体"/>
                <w:sz w:val="15"/>
                <w:szCs w:val="15"/>
              </w:rPr>
              <w:t>畅通投诉举报渠道，依法及时处理投诉举报。</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53</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放射源诊疗技术和医用辐射机构许可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放射诊疗许可证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《中华人民共和国职业病防治法》《放射性同位素与射线装置安全和防护条例》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市卫健委</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10</w:t>
            </w:r>
            <w:r>
              <w:rPr>
                <w:rFonts w:hint="eastAsia" w:ascii="宋体" w:hAnsi="宋体" w:cs="宋体"/>
                <w:sz w:val="15"/>
                <w:szCs w:val="15"/>
              </w:rPr>
              <w:t>个工作日。</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依法及时处理投诉举报。</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54</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母婴保健专项技术服务许可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母婴保健技术服务执业许可证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《中华人民共和国母婴保健法》《中华人民共和国母婴保健法实施办法》</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将开展婚前医学检查、产前筛查的母婴保健专项技术服务机构的审批权限下放至县级卫生健康部门。</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加强母婴保健专项技术质量控制。</w:t>
            </w:r>
            <w:r>
              <w:rPr>
                <w:rFonts w:ascii="宋体" w:hAnsi="宋体" w:cs="宋体"/>
                <w:sz w:val="15"/>
                <w:szCs w:val="15"/>
              </w:rPr>
              <w:t>2.</w:t>
            </w:r>
            <w:r>
              <w:rPr>
                <w:rFonts w:hint="eastAsia" w:ascii="宋体" w:hAnsi="宋体" w:cs="宋体"/>
                <w:sz w:val="15"/>
                <w:szCs w:val="15"/>
              </w:rPr>
              <w:t>开展“双随机、一公开”监管，发现违法违规行为要依法查处并公开结果。</w:t>
            </w:r>
            <w:r>
              <w:rPr>
                <w:rFonts w:ascii="宋体" w:hAnsi="宋体" w:cs="宋体"/>
                <w:sz w:val="15"/>
                <w:szCs w:val="15"/>
              </w:rPr>
              <w:t>3.</w:t>
            </w:r>
            <w:r>
              <w:rPr>
                <w:rFonts w:hint="eastAsia" w:ascii="宋体" w:hAnsi="宋体" w:cs="宋体"/>
                <w:sz w:val="15"/>
                <w:szCs w:val="15"/>
              </w:rPr>
              <w:t>加强产前诊断机构对产前筛查机构的人员培训、技术指导和质量控制。</w:t>
            </w:r>
            <w:r>
              <w:rPr>
                <w:rFonts w:ascii="宋体" w:hAnsi="宋体" w:cs="宋体"/>
                <w:sz w:val="15"/>
                <w:szCs w:val="15"/>
              </w:rPr>
              <w:t>4.</w:t>
            </w:r>
            <w:r>
              <w:rPr>
                <w:rFonts w:hint="eastAsia" w:ascii="宋体" w:hAnsi="宋体" w:cs="宋体"/>
                <w:sz w:val="15"/>
                <w:szCs w:val="15"/>
              </w:rPr>
              <w:t>加强信用监管，依法向社会公布母婴保健专项技术服务机构信用状况。</w:t>
            </w:r>
            <w:r>
              <w:rPr>
                <w:rFonts w:ascii="宋体" w:hAnsi="宋体" w:cs="宋体"/>
                <w:sz w:val="15"/>
                <w:szCs w:val="15"/>
              </w:rPr>
              <w:t>5.</w:t>
            </w:r>
            <w:r>
              <w:rPr>
                <w:rFonts w:hint="eastAsia" w:ascii="宋体" w:hAnsi="宋体" w:cs="宋体"/>
                <w:sz w:val="15"/>
                <w:szCs w:val="15"/>
              </w:rPr>
              <w:t>依法及时处理投诉举报。</w:t>
            </w:r>
            <w:r>
              <w:rPr>
                <w:rFonts w:ascii="宋体" w:hAnsi="宋体" w:cs="宋体"/>
                <w:sz w:val="15"/>
                <w:szCs w:val="15"/>
              </w:rPr>
              <w:t>6.</w:t>
            </w:r>
            <w:r>
              <w:rPr>
                <w:rFonts w:hint="eastAsia" w:ascii="宋体" w:hAnsi="宋体" w:cs="宋体"/>
                <w:sz w:val="15"/>
                <w:szCs w:val="15"/>
              </w:rPr>
              <w:t>加强母婴保健专项技术服务行业自律。</w:t>
            </w:r>
          </w:p>
        </w:tc>
        <w:tc>
          <w:tcPr>
            <w:tcW w:w="8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已下放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55</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00" w:lineRule="exact"/>
              <w:ind w:left="-56" w:leftChars="-20" w:right="-56" w:rightChars="-20"/>
              <w:rPr>
                <w:rFonts w:ascii="宋体" w:hAnsi="宋体" w:cs="宋体"/>
                <w:sz w:val="15"/>
                <w:szCs w:val="15"/>
              </w:rPr>
            </w:pPr>
            <w:r>
              <w:rPr>
                <w:rFonts w:hint="eastAsia" w:ascii="宋体" w:hAnsi="宋体" w:cs="宋体"/>
                <w:sz w:val="15"/>
                <w:szCs w:val="15"/>
              </w:rPr>
              <w:t>医疗机构（三级医院、三级妇幼保健院、急救中心、急救站、临床检验中心、中外合资合作医疗机构、港澳台独资医疗机构）设置审批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设置医疗机构批准书</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《医疗机构管理条例》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市卫健委</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加快推广电子化审批。</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对医疗机构开展定期校验，加强对医疗机构执业活动的监管，发现违法违规行为要依法查处并公开结果。</w:t>
            </w:r>
            <w:r>
              <w:rPr>
                <w:rFonts w:ascii="宋体" w:hAnsi="宋体" w:cs="宋体"/>
                <w:sz w:val="15"/>
                <w:szCs w:val="15"/>
              </w:rPr>
              <w:t>2.</w:t>
            </w:r>
            <w:r>
              <w:rPr>
                <w:rFonts w:hint="eastAsia" w:ascii="宋体" w:hAnsi="宋体" w:cs="宋体"/>
                <w:sz w:val="15"/>
                <w:szCs w:val="15"/>
              </w:rPr>
              <w:t>组织开展医疗机构评审。</w:t>
            </w:r>
            <w:r>
              <w:rPr>
                <w:rFonts w:ascii="宋体" w:hAnsi="宋体" w:cs="宋体"/>
                <w:sz w:val="15"/>
                <w:szCs w:val="15"/>
              </w:rPr>
              <w:t>3.</w:t>
            </w:r>
            <w:r>
              <w:rPr>
                <w:rFonts w:hint="eastAsia" w:ascii="宋体" w:hAnsi="宋体" w:cs="宋体"/>
                <w:sz w:val="15"/>
                <w:szCs w:val="15"/>
              </w:rPr>
              <w:t>依法及时处理投诉举报。</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56</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国家卫生健康委员会</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医疗机构（不含诊所）执业登记</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医疗机构执业许可证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《医疗机构管理条例》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市卫健委</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县级卫生健康部门</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取消医疗机构验资证明。</w:t>
            </w:r>
            <w:r>
              <w:rPr>
                <w:rFonts w:ascii="宋体" w:hAnsi="宋体" w:cs="宋体"/>
                <w:sz w:val="15"/>
                <w:szCs w:val="15"/>
              </w:rPr>
              <w:t>2.</w:t>
            </w:r>
            <w:r>
              <w:rPr>
                <w:rFonts w:hint="eastAsia" w:ascii="宋体" w:hAnsi="宋体" w:cs="宋体"/>
                <w:sz w:val="15"/>
                <w:szCs w:val="15"/>
              </w:rPr>
              <w:t>实现医疗机构电子化注册登记。</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对医疗机构开展定期校验，加强对医疗机构执业活动的监管，发现违法违规行为要依法查处并公开结果。</w:t>
            </w:r>
            <w:r>
              <w:rPr>
                <w:rFonts w:ascii="宋体" w:hAnsi="宋体" w:cs="宋体"/>
                <w:sz w:val="15"/>
                <w:szCs w:val="15"/>
              </w:rPr>
              <w:t>2.</w:t>
            </w:r>
            <w:r>
              <w:rPr>
                <w:rFonts w:hint="eastAsia" w:ascii="宋体" w:hAnsi="宋体" w:cs="宋体"/>
                <w:sz w:val="15"/>
                <w:szCs w:val="15"/>
              </w:rPr>
              <w:t>组织开展医疗机构评审。</w:t>
            </w:r>
            <w:r>
              <w:rPr>
                <w:rFonts w:ascii="宋体" w:hAnsi="宋体" w:cs="宋体"/>
                <w:sz w:val="15"/>
                <w:szCs w:val="15"/>
              </w:rPr>
              <w:t>3.</w:t>
            </w:r>
            <w:r>
              <w:rPr>
                <w:rFonts w:hint="eastAsia" w:ascii="宋体" w:hAnsi="宋体" w:cs="宋体"/>
                <w:sz w:val="15"/>
                <w:szCs w:val="15"/>
              </w:rPr>
              <w:t>依法及时处理投诉举报。</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64" w:lineRule="exact"/>
              <w:ind w:left="-56" w:leftChars="-20" w:right="-56" w:rightChars="-20"/>
              <w:jc w:val="center"/>
              <w:rPr>
                <w:rFonts w:ascii="宋体" w:hAnsi="宋体" w:cs="宋体"/>
                <w:sz w:val="15"/>
                <w:szCs w:val="15"/>
              </w:rPr>
            </w:pPr>
            <w:r>
              <w:rPr>
                <w:rFonts w:hint="eastAsia" w:ascii="宋体" w:hAnsi="宋体" w:cs="宋体"/>
                <w:sz w:val="15"/>
                <w:szCs w:val="15"/>
              </w:rPr>
              <w:t>57</w:t>
            </w:r>
          </w:p>
        </w:tc>
        <w:tc>
          <w:tcPr>
            <w:tcW w:w="557" w:type="dxa"/>
            <w:vAlign w:val="center"/>
          </w:tcPr>
          <w:p>
            <w:pPr>
              <w:widowControl/>
              <w:spacing w:line="264" w:lineRule="exact"/>
              <w:ind w:left="-56" w:leftChars="-20" w:right="-56" w:rightChars="-20"/>
              <w:rPr>
                <w:rFonts w:ascii="宋体" w:hAnsi="宋体" w:cs="宋体"/>
                <w:sz w:val="15"/>
                <w:szCs w:val="15"/>
              </w:rPr>
            </w:pPr>
            <w:r>
              <w:rPr>
                <w:rFonts w:hint="eastAsia" w:ascii="宋体" w:hAnsi="宋体" w:cs="宋体"/>
                <w:sz w:val="15"/>
                <w:szCs w:val="15"/>
              </w:rPr>
              <w:t>应急管理部</w:t>
            </w:r>
          </w:p>
        </w:tc>
        <w:tc>
          <w:tcPr>
            <w:tcW w:w="1485" w:type="dxa"/>
            <w:vAlign w:val="center"/>
          </w:tcPr>
          <w:p>
            <w:pPr>
              <w:widowControl/>
              <w:spacing w:line="264" w:lineRule="exact"/>
              <w:ind w:left="-56" w:leftChars="-20" w:right="-56" w:rightChars="-20"/>
              <w:rPr>
                <w:rFonts w:ascii="宋体" w:hAnsi="宋体" w:cs="宋体"/>
                <w:sz w:val="15"/>
                <w:szCs w:val="15"/>
              </w:rPr>
            </w:pPr>
            <w:r>
              <w:rPr>
                <w:rFonts w:hint="eastAsia" w:ascii="宋体" w:hAnsi="宋体" w:cs="宋体"/>
                <w:sz w:val="15"/>
                <w:szCs w:val="15"/>
              </w:rPr>
              <w:t>烟花爆竹经营（零售）许可证核发</w:t>
            </w:r>
          </w:p>
        </w:tc>
        <w:tc>
          <w:tcPr>
            <w:tcW w:w="879" w:type="dxa"/>
            <w:vAlign w:val="center"/>
          </w:tcPr>
          <w:p>
            <w:pPr>
              <w:widowControl/>
              <w:spacing w:line="264" w:lineRule="exact"/>
              <w:ind w:left="-56" w:leftChars="-20" w:right="-56" w:rightChars="-20"/>
              <w:rPr>
                <w:rFonts w:ascii="宋体" w:hAnsi="宋体" w:cs="宋体"/>
                <w:sz w:val="15"/>
                <w:szCs w:val="15"/>
              </w:rPr>
            </w:pPr>
            <w:r>
              <w:rPr>
                <w:rFonts w:hint="eastAsia" w:ascii="宋体" w:hAnsi="宋体" w:cs="宋体"/>
                <w:sz w:val="15"/>
                <w:szCs w:val="15"/>
              </w:rPr>
              <w:t>烟花爆竹经营（零售）许可证</w:t>
            </w:r>
          </w:p>
        </w:tc>
        <w:tc>
          <w:tcPr>
            <w:tcW w:w="1620" w:type="dxa"/>
            <w:vAlign w:val="center"/>
          </w:tcPr>
          <w:p>
            <w:pPr>
              <w:widowControl/>
              <w:spacing w:line="264" w:lineRule="exact"/>
              <w:ind w:left="-56" w:leftChars="-20" w:right="-56" w:rightChars="-20"/>
              <w:rPr>
                <w:rFonts w:ascii="宋体" w:hAnsi="宋体" w:cs="宋体"/>
                <w:sz w:val="15"/>
                <w:szCs w:val="15"/>
              </w:rPr>
            </w:pPr>
            <w:r>
              <w:rPr>
                <w:rFonts w:hint="eastAsia" w:ascii="宋体" w:hAnsi="宋体" w:cs="宋体"/>
                <w:sz w:val="15"/>
                <w:szCs w:val="15"/>
              </w:rPr>
              <w:t>《烟花爆竹安全管理条例》</w:t>
            </w:r>
          </w:p>
        </w:tc>
        <w:tc>
          <w:tcPr>
            <w:tcW w:w="657" w:type="dxa"/>
            <w:vAlign w:val="center"/>
          </w:tcPr>
          <w:p>
            <w:pPr>
              <w:widowControl/>
              <w:spacing w:line="264" w:lineRule="exact"/>
              <w:ind w:left="-84" w:leftChars="-30" w:right="-84" w:rightChars="-30"/>
              <w:jc w:val="left"/>
              <w:rPr>
                <w:rFonts w:ascii="宋体" w:hAnsi="宋体" w:cs="宋体"/>
                <w:sz w:val="15"/>
                <w:szCs w:val="15"/>
              </w:rPr>
            </w:pPr>
          </w:p>
        </w:tc>
        <w:tc>
          <w:tcPr>
            <w:tcW w:w="658" w:type="dxa"/>
            <w:vAlign w:val="center"/>
          </w:tcPr>
          <w:p>
            <w:pPr>
              <w:widowControl/>
              <w:spacing w:line="264" w:lineRule="exact"/>
              <w:ind w:left="-84" w:leftChars="-30" w:right="-84" w:rightChars="-30"/>
              <w:jc w:val="left"/>
              <w:rPr>
                <w:rFonts w:ascii="宋体" w:hAnsi="宋体" w:cs="宋体"/>
                <w:sz w:val="15"/>
                <w:szCs w:val="15"/>
              </w:rPr>
            </w:pPr>
          </w:p>
        </w:tc>
        <w:tc>
          <w:tcPr>
            <w:tcW w:w="657" w:type="dxa"/>
            <w:vAlign w:val="center"/>
          </w:tcPr>
          <w:p>
            <w:pPr>
              <w:widowControl/>
              <w:spacing w:line="264" w:lineRule="exact"/>
              <w:ind w:left="-84" w:leftChars="-30" w:right="-84" w:rightChars="-30"/>
              <w:jc w:val="left"/>
              <w:rPr>
                <w:rFonts w:ascii="宋体" w:hAnsi="宋体" w:cs="宋体"/>
                <w:sz w:val="15"/>
                <w:szCs w:val="15"/>
              </w:rPr>
            </w:pPr>
            <w:r>
              <w:rPr>
                <w:rFonts w:hint="eastAsia" w:ascii="宋体" w:hAnsi="宋体" w:cs="宋体"/>
                <w:sz w:val="15"/>
                <w:szCs w:val="15"/>
              </w:rPr>
              <w:t>县级应急管理部门或行政审批局</w:t>
            </w:r>
          </w:p>
        </w:tc>
        <w:tc>
          <w:tcPr>
            <w:tcW w:w="658" w:type="dxa"/>
            <w:vAlign w:val="center"/>
          </w:tcPr>
          <w:p>
            <w:pPr>
              <w:widowControl/>
              <w:spacing w:line="264" w:lineRule="exact"/>
              <w:ind w:left="-84" w:leftChars="-30" w:right="-84" w:rightChars="-30"/>
              <w:jc w:val="left"/>
              <w:rPr>
                <w:rFonts w:ascii="宋体" w:hAnsi="宋体" w:cs="宋体"/>
                <w:sz w:val="15"/>
                <w:szCs w:val="15"/>
              </w:rPr>
            </w:pPr>
            <w:r>
              <w:rPr>
                <w:rFonts w:hint="eastAsia" w:ascii="宋体" w:hAnsi="宋体" w:cs="宋体"/>
                <w:sz w:val="15"/>
                <w:szCs w:val="15"/>
              </w:rPr>
              <w:t>县级应急管理部门</w:t>
            </w:r>
          </w:p>
        </w:tc>
        <w:tc>
          <w:tcPr>
            <w:tcW w:w="355" w:type="dxa"/>
            <w:vAlign w:val="center"/>
          </w:tcPr>
          <w:p>
            <w:pPr>
              <w:widowControl/>
              <w:spacing w:line="264" w:lineRule="exact"/>
              <w:ind w:left="-56" w:leftChars="-20" w:right="-56" w:rightChars="-20"/>
              <w:jc w:val="left"/>
              <w:rPr>
                <w:rFonts w:ascii="宋体" w:hAnsi="宋体" w:cs="宋体"/>
                <w:sz w:val="15"/>
                <w:szCs w:val="15"/>
              </w:rPr>
            </w:pPr>
          </w:p>
        </w:tc>
        <w:tc>
          <w:tcPr>
            <w:tcW w:w="355" w:type="dxa"/>
            <w:vAlign w:val="center"/>
          </w:tcPr>
          <w:p>
            <w:pPr>
              <w:widowControl/>
              <w:spacing w:line="264" w:lineRule="exact"/>
              <w:ind w:left="-56" w:leftChars="-20" w:right="-56" w:rightChars="-20"/>
              <w:jc w:val="center"/>
              <w:rPr>
                <w:rFonts w:ascii="宋体" w:hAnsi="宋体" w:cs="宋体"/>
                <w:sz w:val="15"/>
                <w:szCs w:val="15"/>
              </w:rPr>
            </w:pPr>
          </w:p>
        </w:tc>
        <w:tc>
          <w:tcPr>
            <w:tcW w:w="355" w:type="dxa"/>
            <w:vAlign w:val="center"/>
          </w:tcPr>
          <w:p>
            <w:pPr>
              <w:widowControl/>
              <w:spacing w:line="264" w:lineRule="exact"/>
              <w:ind w:left="-56" w:leftChars="-20" w:right="-56" w:rightChars="-20"/>
              <w:jc w:val="center"/>
              <w:rPr>
                <w:rFonts w:ascii="宋体" w:hAnsi="宋体" w:cs="宋体"/>
                <w:sz w:val="15"/>
                <w:szCs w:val="15"/>
              </w:rPr>
            </w:pPr>
          </w:p>
        </w:tc>
        <w:tc>
          <w:tcPr>
            <w:tcW w:w="355" w:type="dxa"/>
            <w:vAlign w:val="center"/>
          </w:tcPr>
          <w:p>
            <w:pPr>
              <w:widowControl/>
              <w:spacing w:line="264"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64"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实现申请、审批全程网上办理。</w:t>
            </w:r>
            <w:r>
              <w:rPr>
                <w:rFonts w:ascii="宋体" w:hAnsi="宋体" w:cs="宋体"/>
                <w:sz w:val="15"/>
                <w:szCs w:val="15"/>
              </w:rPr>
              <w:t>2.</w:t>
            </w: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15</w:t>
            </w:r>
            <w:r>
              <w:rPr>
                <w:rFonts w:hint="eastAsia" w:ascii="宋体" w:hAnsi="宋体" w:cs="宋体"/>
                <w:sz w:val="15"/>
                <w:szCs w:val="15"/>
              </w:rPr>
              <w:t>个工作日。</w:t>
            </w:r>
          </w:p>
        </w:tc>
        <w:tc>
          <w:tcPr>
            <w:tcW w:w="2268" w:type="dxa"/>
            <w:vAlign w:val="center"/>
          </w:tcPr>
          <w:p>
            <w:pPr>
              <w:widowControl/>
              <w:spacing w:line="264"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开展“双随机、一公开”监管，发现违法违规行为要依法严查重处并公开结果。</w:t>
            </w:r>
            <w:r>
              <w:rPr>
                <w:rFonts w:ascii="宋体" w:hAnsi="宋体" w:cs="宋体"/>
                <w:sz w:val="15"/>
                <w:szCs w:val="15"/>
              </w:rPr>
              <w:t>2.</w:t>
            </w:r>
            <w:r>
              <w:rPr>
                <w:rFonts w:hint="eastAsia" w:ascii="宋体" w:hAnsi="宋体" w:cs="宋体"/>
                <w:sz w:val="15"/>
                <w:szCs w:val="15"/>
              </w:rPr>
              <w:t>加强信用监管，依法向社会公布烟花爆竹经营（零售）企业信用状况，依法依规对失信主体开展失信惩戒。</w:t>
            </w:r>
          </w:p>
        </w:tc>
        <w:tc>
          <w:tcPr>
            <w:tcW w:w="889" w:type="dxa"/>
            <w:vAlign w:val="center"/>
          </w:tcPr>
          <w:p>
            <w:pPr>
              <w:widowControl/>
              <w:spacing w:line="264"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64" w:lineRule="exact"/>
              <w:ind w:left="-56" w:leftChars="-20" w:right="-56" w:rightChars="-20"/>
              <w:jc w:val="center"/>
              <w:rPr>
                <w:rFonts w:ascii="宋体" w:hAnsi="宋体" w:cs="宋体"/>
                <w:sz w:val="15"/>
                <w:szCs w:val="15"/>
              </w:rPr>
            </w:pPr>
            <w:r>
              <w:rPr>
                <w:rFonts w:hint="eastAsia" w:ascii="宋体" w:hAnsi="宋体" w:cs="宋体"/>
                <w:sz w:val="15"/>
                <w:szCs w:val="15"/>
              </w:rPr>
              <w:t>58</w:t>
            </w:r>
          </w:p>
        </w:tc>
        <w:tc>
          <w:tcPr>
            <w:tcW w:w="557" w:type="dxa"/>
            <w:vAlign w:val="center"/>
          </w:tcPr>
          <w:p>
            <w:pPr>
              <w:widowControl/>
              <w:spacing w:line="264" w:lineRule="exact"/>
              <w:ind w:left="-56" w:leftChars="-20" w:right="-56" w:rightChars="-20"/>
              <w:rPr>
                <w:rFonts w:ascii="宋体" w:hAnsi="宋体" w:cs="宋体"/>
                <w:sz w:val="15"/>
                <w:szCs w:val="15"/>
              </w:rPr>
            </w:pPr>
            <w:r>
              <w:rPr>
                <w:rFonts w:hint="eastAsia" w:ascii="宋体" w:hAnsi="宋体" w:cs="宋体"/>
                <w:sz w:val="15"/>
                <w:szCs w:val="15"/>
              </w:rPr>
              <w:t>应急管理部</w:t>
            </w:r>
          </w:p>
        </w:tc>
        <w:tc>
          <w:tcPr>
            <w:tcW w:w="1485" w:type="dxa"/>
            <w:vAlign w:val="center"/>
          </w:tcPr>
          <w:p>
            <w:pPr>
              <w:widowControl/>
              <w:spacing w:line="264" w:lineRule="exact"/>
              <w:ind w:left="-56" w:leftChars="-20" w:right="-56" w:rightChars="-20"/>
              <w:rPr>
                <w:rFonts w:ascii="宋体" w:hAnsi="宋体" w:cs="宋体"/>
                <w:sz w:val="15"/>
                <w:szCs w:val="15"/>
              </w:rPr>
            </w:pPr>
            <w:r>
              <w:rPr>
                <w:rFonts w:hint="eastAsia" w:ascii="宋体" w:hAnsi="宋体" w:cs="宋体"/>
                <w:sz w:val="15"/>
                <w:szCs w:val="15"/>
              </w:rPr>
              <w:t>危险化学品经营许可证核发</w:t>
            </w:r>
          </w:p>
        </w:tc>
        <w:tc>
          <w:tcPr>
            <w:tcW w:w="879" w:type="dxa"/>
            <w:vAlign w:val="center"/>
          </w:tcPr>
          <w:p>
            <w:pPr>
              <w:widowControl/>
              <w:spacing w:line="264" w:lineRule="exact"/>
              <w:ind w:left="-56" w:leftChars="-20" w:right="-56" w:rightChars="-20"/>
              <w:rPr>
                <w:rFonts w:ascii="宋体" w:hAnsi="宋体" w:cs="宋体"/>
                <w:sz w:val="15"/>
                <w:szCs w:val="15"/>
              </w:rPr>
            </w:pPr>
            <w:r>
              <w:rPr>
                <w:rFonts w:hint="eastAsia" w:ascii="宋体" w:hAnsi="宋体" w:cs="宋体"/>
                <w:sz w:val="15"/>
                <w:szCs w:val="15"/>
              </w:rPr>
              <w:t>危险化学品经营许可证</w:t>
            </w:r>
          </w:p>
        </w:tc>
        <w:tc>
          <w:tcPr>
            <w:tcW w:w="1620" w:type="dxa"/>
            <w:vAlign w:val="center"/>
          </w:tcPr>
          <w:p>
            <w:pPr>
              <w:widowControl/>
              <w:spacing w:line="264" w:lineRule="exact"/>
              <w:ind w:left="-56" w:leftChars="-20" w:right="-56" w:rightChars="-20"/>
              <w:rPr>
                <w:rFonts w:ascii="宋体" w:hAnsi="宋体" w:cs="宋体"/>
                <w:sz w:val="15"/>
                <w:szCs w:val="15"/>
              </w:rPr>
            </w:pPr>
            <w:r>
              <w:rPr>
                <w:rFonts w:hint="eastAsia" w:ascii="宋体" w:hAnsi="宋体" w:cs="宋体"/>
                <w:sz w:val="15"/>
                <w:szCs w:val="15"/>
              </w:rPr>
              <w:t>《危险化学品安全管理条例》</w:t>
            </w:r>
          </w:p>
        </w:tc>
        <w:tc>
          <w:tcPr>
            <w:tcW w:w="657" w:type="dxa"/>
            <w:vAlign w:val="center"/>
          </w:tcPr>
          <w:p>
            <w:pPr>
              <w:widowControl/>
              <w:spacing w:line="264" w:lineRule="exact"/>
              <w:ind w:left="-84" w:leftChars="-30" w:right="-84" w:rightChars="-30"/>
              <w:jc w:val="left"/>
              <w:rPr>
                <w:rFonts w:ascii="宋体" w:hAnsi="宋体" w:cs="宋体"/>
                <w:sz w:val="15"/>
                <w:szCs w:val="15"/>
              </w:rPr>
            </w:pPr>
            <w:r>
              <w:rPr>
                <w:rFonts w:hint="eastAsia" w:ascii="宋体" w:hAnsi="宋体" w:cs="宋体"/>
                <w:sz w:val="15"/>
                <w:szCs w:val="15"/>
              </w:rPr>
              <w:t>市应急管理局</w:t>
            </w:r>
          </w:p>
        </w:tc>
        <w:tc>
          <w:tcPr>
            <w:tcW w:w="658" w:type="dxa"/>
            <w:vAlign w:val="center"/>
          </w:tcPr>
          <w:p>
            <w:pPr>
              <w:widowControl/>
              <w:spacing w:line="264" w:lineRule="exact"/>
              <w:ind w:left="-84" w:leftChars="-30" w:right="-84" w:rightChars="-30"/>
              <w:jc w:val="left"/>
              <w:rPr>
                <w:rFonts w:ascii="宋体" w:hAnsi="宋体" w:cs="宋体"/>
                <w:sz w:val="15"/>
                <w:szCs w:val="15"/>
              </w:rPr>
            </w:pPr>
            <w:r>
              <w:rPr>
                <w:rFonts w:hint="eastAsia" w:ascii="宋体" w:hAnsi="宋体" w:cs="宋体"/>
                <w:sz w:val="15"/>
                <w:szCs w:val="15"/>
              </w:rPr>
              <w:t>市应急管理局</w:t>
            </w:r>
          </w:p>
        </w:tc>
        <w:tc>
          <w:tcPr>
            <w:tcW w:w="657" w:type="dxa"/>
            <w:vAlign w:val="center"/>
          </w:tcPr>
          <w:p>
            <w:pPr>
              <w:widowControl/>
              <w:spacing w:line="264" w:lineRule="exact"/>
              <w:ind w:left="-84" w:leftChars="-30" w:right="-84" w:rightChars="-30"/>
              <w:jc w:val="left"/>
              <w:rPr>
                <w:rFonts w:ascii="宋体" w:hAnsi="宋体" w:cs="宋体"/>
                <w:sz w:val="15"/>
                <w:szCs w:val="15"/>
              </w:rPr>
            </w:pPr>
            <w:r>
              <w:rPr>
                <w:rFonts w:hint="eastAsia" w:ascii="宋体" w:hAnsi="宋体" w:cs="宋体"/>
                <w:sz w:val="15"/>
                <w:szCs w:val="15"/>
              </w:rPr>
              <w:t>县级应急管理部门或行政审批局</w:t>
            </w:r>
          </w:p>
        </w:tc>
        <w:tc>
          <w:tcPr>
            <w:tcW w:w="658" w:type="dxa"/>
            <w:vAlign w:val="center"/>
          </w:tcPr>
          <w:p>
            <w:pPr>
              <w:widowControl/>
              <w:spacing w:line="264" w:lineRule="exact"/>
              <w:ind w:left="-84" w:leftChars="-30" w:right="-84" w:rightChars="-30"/>
              <w:jc w:val="left"/>
              <w:rPr>
                <w:rFonts w:ascii="宋体" w:hAnsi="宋体" w:cs="宋体"/>
                <w:sz w:val="15"/>
                <w:szCs w:val="15"/>
              </w:rPr>
            </w:pPr>
            <w:r>
              <w:rPr>
                <w:rFonts w:hint="eastAsia" w:ascii="宋体" w:hAnsi="宋体" w:cs="宋体"/>
                <w:sz w:val="15"/>
                <w:szCs w:val="15"/>
              </w:rPr>
              <w:t>县级应急管理部门</w:t>
            </w:r>
          </w:p>
        </w:tc>
        <w:tc>
          <w:tcPr>
            <w:tcW w:w="355" w:type="dxa"/>
            <w:vAlign w:val="center"/>
          </w:tcPr>
          <w:p>
            <w:pPr>
              <w:widowControl/>
              <w:spacing w:line="264" w:lineRule="exact"/>
              <w:ind w:left="-56" w:leftChars="-20" w:right="-56" w:rightChars="-20"/>
              <w:jc w:val="left"/>
              <w:rPr>
                <w:rFonts w:ascii="宋体" w:hAnsi="宋体" w:cs="宋体"/>
                <w:sz w:val="15"/>
                <w:szCs w:val="15"/>
              </w:rPr>
            </w:pPr>
          </w:p>
        </w:tc>
        <w:tc>
          <w:tcPr>
            <w:tcW w:w="355" w:type="dxa"/>
            <w:vAlign w:val="center"/>
          </w:tcPr>
          <w:p>
            <w:pPr>
              <w:widowControl/>
              <w:spacing w:line="264" w:lineRule="exact"/>
              <w:ind w:left="-56" w:leftChars="-20" w:right="-56" w:rightChars="-20"/>
              <w:jc w:val="center"/>
              <w:rPr>
                <w:rFonts w:ascii="宋体" w:hAnsi="宋体" w:cs="宋体"/>
                <w:sz w:val="15"/>
                <w:szCs w:val="15"/>
              </w:rPr>
            </w:pPr>
          </w:p>
        </w:tc>
        <w:tc>
          <w:tcPr>
            <w:tcW w:w="355" w:type="dxa"/>
            <w:vAlign w:val="center"/>
          </w:tcPr>
          <w:p>
            <w:pPr>
              <w:widowControl/>
              <w:spacing w:line="264" w:lineRule="exact"/>
              <w:ind w:left="-56" w:leftChars="-20" w:right="-56" w:rightChars="-20"/>
              <w:jc w:val="center"/>
              <w:rPr>
                <w:rFonts w:ascii="宋体" w:hAnsi="宋体" w:cs="宋体"/>
                <w:sz w:val="15"/>
                <w:szCs w:val="15"/>
              </w:rPr>
            </w:pPr>
          </w:p>
        </w:tc>
        <w:tc>
          <w:tcPr>
            <w:tcW w:w="355" w:type="dxa"/>
            <w:vAlign w:val="center"/>
          </w:tcPr>
          <w:p>
            <w:pPr>
              <w:widowControl/>
              <w:spacing w:line="264"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64"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实现申请、审批全程网上办理。</w:t>
            </w:r>
            <w:r>
              <w:rPr>
                <w:rFonts w:ascii="宋体" w:hAnsi="宋体" w:cs="宋体"/>
                <w:sz w:val="15"/>
                <w:szCs w:val="15"/>
              </w:rPr>
              <w:t>2.</w:t>
            </w:r>
            <w:r>
              <w:rPr>
                <w:rFonts w:hint="eastAsia" w:ascii="宋体" w:hAnsi="宋体" w:cs="宋体"/>
                <w:sz w:val="15"/>
                <w:szCs w:val="15"/>
              </w:rPr>
              <w:t>将审批时限由</w:t>
            </w:r>
            <w:r>
              <w:rPr>
                <w:rFonts w:ascii="宋体" w:hAnsi="宋体" w:cs="宋体"/>
                <w:sz w:val="15"/>
                <w:szCs w:val="15"/>
              </w:rPr>
              <w:t>30</w:t>
            </w:r>
            <w:r>
              <w:rPr>
                <w:rFonts w:hint="eastAsia" w:ascii="宋体" w:hAnsi="宋体" w:cs="宋体"/>
                <w:sz w:val="15"/>
                <w:szCs w:val="15"/>
              </w:rPr>
              <w:t>个工作日压减至</w:t>
            </w:r>
            <w:r>
              <w:rPr>
                <w:rFonts w:ascii="宋体" w:hAnsi="宋体" w:cs="宋体"/>
                <w:sz w:val="15"/>
                <w:szCs w:val="15"/>
              </w:rPr>
              <w:t>20</w:t>
            </w:r>
            <w:r>
              <w:rPr>
                <w:rFonts w:hint="eastAsia" w:ascii="宋体" w:hAnsi="宋体" w:cs="宋体"/>
                <w:sz w:val="15"/>
                <w:szCs w:val="15"/>
              </w:rPr>
              <w:t>个工作日。</w:t>
            </w:r>
          </w:p>
        </w:tc>
        <w:tc>
          <w:tcPr>
            <w:tcW w:w="2268" w:type="dxa"/>
            <w:vAlign w:val="center"/>
          </w:tcPr>
          <w:p>
            <w:pPr>
              <w:widowControl/>
              <w:spacing w:line="264"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开展“双随机、一公开”监管，发现违法违规行为要依法严查重处并公开结果。</w:t>
            </w:r>
            <w:r>
              <w:rPr>
                <w:rFonts w:ascii="宋体" w:hAnsi="宋体" w:cs="宋体"/>
                <w:sz w:val="15"/>
                <w:szCs w:val="15"/>
              </w:rPr>
              <w:t>2.</w:t>
            </w:r>
            <w:r>
              <w:rPr>
                <w:rFonts w:hint="eastAsia" w:ascii="宋体" w:hAnsi="宋体" w:cs="宋体"/>
                <w:sz w:val="15"/>
                <w:szCs w:val="15"/>
              </w:rPr>
              <w:t>加强信用监管，依法向社会公布危险化学品经营企业信用状况，依法依规对失信主体开展失信惩戒。</w:t>
            </w:r>
          </w:p>
        </w:tc>
        <w:tc>
          <w:tcPr>
            <w:tcW w:w="889" w:type="dxa"/>
            <w:vAlign w:val="center"/>
          </w:tcPr>
          <w:p>
            <w:pPr>
              <w:widowControl/>
              <w:spacing w:line="264"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59</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国家市场监督管理总局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承担国家法定计量检定机构任务授权审批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计量授权证书</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《中华人民共和国计量法》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市市场监管局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县级市场监管局</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实现申请、审批全程网上办理，并将审批信息统一归集至有关数据平台。</w:t>
            </w:r>
            <w:r>
              <w:rPr>
                <w:rFonts w:ascii="宋体" w:hAnsi="宋体" w:cs="宋体"/>
                <w:sz w:val="15"/>
                <w:szCs w:val="15"/>
              </w:rPr>
              <w:t>2.</w:t>
            </w:r>
            <w:r>
              <w:rPr>
                <w:rFonts w:hint="eastAsia" w:ascii="宋体" w:hAnsi="宋体" w:cs="宋体"/>
                <w:sz w:val="15"/>
                <w:szCs w:val="15"/>
              </w:rPr>
              <w:t>取消计量标准考核证书、计量检定或校准人员能力证明等申请材料。</w:t>
            </w:r>
            <w:r>
              <w:rPr>
                <w:rFonts w:ascii="宋体" w:hAnsi="宋体" w:cs="宋体"/>
                <w:sz w:val="15"/>
                <w:szCs w:val="15"/>
              </w:rPr>
              <w:t>3.</w:t>
            </w:r>
            <w:r>
              <w:rPr>
                <w:rFonts w:hint="eastAsia" w:ascii="宋体" w:hAnsi="宋体" w:cs="宋体"/>
                <w:sz w:val="15"/>
                <w:szCs w:val="15"/>
              </w:rPr>
              <w:t>对变更法定代表人、授权签字人或计量规程等无需现场审查的事项，由法定计量检定机构自愿承诺符合相关要求，审批部门对承诺内容进行形式审查后办理。</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对通过投诉举报等渠道反映问题多的机构实施重点监管。</w:t>
            </w:r>
            <w:r>
              <w:rPr>
                <w:rFonts w:ascii="宋体" w:hAnsi="宋体" w:cs="宋体"/>
                <w:sz w:val="15"/>
                <w:szCs w:val="15"/>
              </w:rPr>
              <w:t>3.</w:t>
            </w:r>
            <w:r>
              <w:rPr>
                <w:rFonts w:hint="eastAsia" w:ascii="宋体" w:hAnsi="宋体" w:cs="宋体"/>
                <w:sz w:val="15"/>
                <w:szCs w:val="15"/>
              </w:rPr>
              <w:t>加强信用监管，依法向社会公布法定计量检定机构信用状况，依法依规对失信主体开展失信惩戒。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60</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国家市场监督管理总局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食品经营许可（除仅销售预包装食品外）</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食品经营许可证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《中华人民共和国食品安全法》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市市场监管局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县级市场监管部门</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餐饮服务经营者销售预包装食品的，不需要申请在许可证上标注销售类食品经营项目。</w:t>
            </w:r>
            <w:r>
              <w:rPr>
                <w:rFonts w:ascii="宋体" w:hAnsi="宋体" w:cs="宋体"/>
                <w:sz w:val="15"/>
                <w:szCs w:val="15"/>
              </w:rPr>
              <w:t>2.</w:t>
            </w:r>
            <w:r>
              <w:rPr>
                <w:rFonts w:hint="eastAsia" w:ascii="宋体" w:hAnsi="宋体" w:cs="宋体"/>
                <w:sz w:val="15"/>
                <w:szCs w:val="15"/>
              </w:rPr>
              <w:t>不再要求申请人提供营业执照复印件。</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严格执行有关法律法规和标准，发挥网格化管理的优势，发现违法违规行为要依法严查重处并公开结果。</w:t>
            </w:r>
            <w:r>
              <w:rPr>
                <w:rFonts w:ascii="宋体" w:hAnsi="宋体" w:cs="宋体"/>
                <w:sz w:val="15"/>
                <w:szCs w:val="15"/>
              </w:rPr>
              <w:t>2.</w:t>
            </w:r>
            <w:r>
              <w:rPr>
                <w:rFonts w:hint="eastAsia" w:ascii="宋体" w:hAnsi="宋体" w:cs="宋体"/>
                <w:sz w:val="15"/>
                <w:szCs w:val="15"/>
              </w:rPr>
              <w:t>加强信用监管，依法向社会公布食品经营企业信用状况，依法依规对失信主体开展失信惩戒。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6</w:t>
            </w:r>
            <w:r>
              <w:rPr>
                <w:rFonts w:hint="eastAsia" w:ascii="宋体" w:hAnsi="宋体" w:cs="宋体"/>
                <w:sz w:val="15"/>
                <w:szCs w:val="15"/>
              </w:rPr>
              <w:t>1</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国家市场监督管理总局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食品（含食品添加剂）生产许可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食品生产许可证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《中华人民共和国食品安全法》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市市场监管局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县级市场监管部门</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除特殊食品（包括保健食品、婴幼儿配方食品和特殊医学用途配方食品）、婴幼儿辅助食品、食盐外，将审批权限由省级市场监管部门下放至设区的市、县级市场监管部门。</w:t>
            </w:r>
            <w:r>
              <w:rPr>
                <w:rFonts w:ascii="宋体" w:hAnsi="宋体" w:cs="宋体"/>
                <w:sz w:val="15"/>
                <w:szCs w:val="15"/>
              </w:rPr>
              <w:t>2.</w:t>
            </w:r>
            <w:r>
              <w:rPr>
                <w:rFonts w:hint="eastAsia" w:ascii="宋体" w:hAnsi="宋体" w:cs="宋体"/>
                <w:sz w:val="15"/>
                <w:szCs w:val="15"/>
              </w:rPr>
              <w:t>实现申请、审批全程网上办理。</w:t>
            </w:r>
            <w:r>
              <w:rPr>
                <w:rFonts w:ascii="宋体" w:hAnsi="宋体" w:cs="宋体"/>
                <w:sz w:val="15"/>
                <w:szCs w:val="15"/>
              </w:rPr>
              <w:t>3.</w:t>
            </w:r>
            <w:r>
              <w:rPr>
                <w:rFonts w:hint="eastAsia" w:ascii="宋体" w:hAnsi="宋体" w:cs="宋体"/>
                <w:sz w:val="15"/>
                <w:szCs w:val="15"/>
              </w:rPr>
              <w:t>不再要求申请人提供营业执照、食品安全管理制度文本等材料，但申请特殊食品生产许可的应提交与所生产食品相适应的生产质量管理体系文件。</w:t>
            </w:r>
            <w:r>
              <w:rPr>
                <w:rFonts w:ascii="宋体" w:hAnsi="宋体" w:cs="宋体"/>
                <w:sz w:val="15"/>
                <w:szCs w:val="15"/>
              </w:rPr>
              <w:t>4.</w:t>
            </w: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10</w:t>
            </w:r>
            <w:r>
              <w:rPr>
                <w:rFonts w:hint="eastAsia" w:ascii="宋体" w:hAnsi="宋体" w:cs="宋体"/>
                <w:sz w:val="15"/>
                <w:szCs w:val="15"/>
              </w:rPr>
              <w:t>个工作日。</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加大信息公示力度，向社会公开食品生产许可信息。</w:t>
            </w:r>
            <w:r>
              <w:rPr>
                <w:rFonts w:ascii="宋体" w:hAnsi="宋体" w:cs="宋体"/>
                <w:sz w:val="15"/>
                <w:szCs w:val="15"/>
              </w:rPr>
              <w:t>2.</w:t>
            </w:r>
            <w:r>
              <w:rPr>
                <w:rFonts w:hint="eastAsia" w:ascii="宋体" w:hAnsi="宋体" w:cs="宋体"/>
                <w:sz w:val="15"/>
                <w:szCs w:val="15"/>
              </w:rPr>
              <w:t>加强日常监督检查，根据食品生产企业风险分级情况确定检查频次，开展监督检查并向社会公开检查结果。</w:t>
            </w:r>
            <w:r>
              <w:rPr>
                <w:rFonts w:ascii="宋体" w:hAnsi="宋体" w:cs="宋体"/>
                <w:sz w:val="15"/>
                <w:szCs w:val="15"/>
              </w:rPr>
              <w:t>3.</w:t>
            </w:r>
            <w:r>
              <w:rPr>
                <w:rFonts w:hint="eastAsia" w:ascii="宋体" w:hAnsi="宋体" w:cs="宋体"/>
                <w:sz w:val="15"/>
                <w:szCs w:val="15"/>
              </w:rPr>
              <w:t>加强信用监管，依法依规对失信主体开展失信惩戒。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62</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国家体育总局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经营高危险性体育项目许可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经营高危险性体育项目许可证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《全民健身条例》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县级体育部门或行政审批局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县级体育部门</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推广全程网上办理，推进体育领域信息数据共享应用。</w:t>
            </w:r>
            <w:r>
              <w:rPr>
                <w:rFonts w:ascii="宋体" w:hAnsi="宋体" w:cs="宋体"/>
                <w:sz w:val="15"/>
                <w:szCs w:val="15"/>
              </w:rPr>
              <w:t>2.</w:t>
            </w: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15</w:t>
            </w:r>
            <w:r>
              <w:rPr>
                <w:rFonts w:hint="eastAsia" w:ascii="宋体" w:hAnsi="宋体" w:cs="宋体"/>
                <w:sz w:val="15"/>
                <w:szCs w:val="15"/>
              </w:rPr>
              <w:t>个工作日。</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建立健全跨区域、跨层级、跨部门协同监管制度，推进联合执法。</w:t>
            </w:r>
            <w:r>
              <w:rPr>
                <w:rFonts w:ascii="宋体" w:hAnsi="宋体" w:cs="宋体"/>
                <w:sz w:val="15"/>
                <w:szCs w:val="15"/>
              </w:rPr>
              <w:t>3.</w:t>
            </w:r>
            <w:r>
              <w:rPr>
                <w:rFonts w:hint="eastAsia" w:ascii="宋体" w:hAnsi="宋体" w:cs="宋体"/>
                <w:sz w:val="15"/>
                <w:szCs w:val="15"/>
              </w:rPr>
              <w:t>加强信用监管，依法依规将有严重违法违规行为的机构列入黑名单，对相关经营主体和从业人员实施信用约束和失信惩戒。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63</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国家体育总局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设立健身气功站点审批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健身气功站点注册证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《国务院对确需保留的行政审批项目设定行政许可的决定》</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县级体育部门或行政审批局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县级体育部门</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推广全程网上办理，推进体育领域信息数据共享应用。</w:t>
            </w:r>
            <w:r>
              <w:rPr>
                <w:rFonts w:ascii="宋体" w:hAnsi="宋体" w:cs="宋体"/>
                <w:sz w:val="15"/>
                <w:szCs w:val="15"/>
              </w:rPr>
              <w:t>2.</w:t>
            </w: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15</w:t>
            </w:r>
            <w:r>
              <w:rPr>
                <w:rFonts w:hint="eastAsia" w:ascii="宋体" w:hAnsi="宋体" w:cs="宋体"/>
                <w:sz w:val="15"/>
                <w:szCs w:val="15"/>
              </w:rPr>
              <w:t>个工作日。</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建立健全跨区域、跨层级、跨部门协同监管制度，推进联合执法。</w:t>
            </w:r>
            <w:r>
              <w:rPr>
                <w:rFonts w:ascii="宋体" w:hAnsi="宋体" w:cs="宋体"/>
                <w:sz w:val="15"/>
                <w:szCs w:val="15"/>
              </w:rPr>
              <w:t>3.</w:t>
            </w:r>
            <w:r>
              <w:rPr>
                <w:rFonts w:hint="eastAsia" w:ascii="宋体" w:hAnsi="宋体" w:cs="宋体"/>
                <w:sz w:val="15"/>
                <w:szCs w:val="15"/>
              </w:rPr>
              <w:t>加强信用监管，依法依规将有严重违法违规行为的机构列入黑名单，对相关经营主体和从业人员实施信用约束和失信惩戒。</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64</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国家新闻出版署</w:t>
            </w:r>
          </w:p>
        </w:tc>
        <w:tc>
          <w:tcPr>
            <w:tcW w:w="1485" w:type="dxa"/>
            <w:vAlign w:val="center"/>
          </w:tcPr>
          <w:p>
            <w:pPr>
              <w:widowControl/>
              <w:spacing w:line="232" w:lineRule="exact"/>
              <w:ind w:left="-56" w:leftChars="-20" w:right="-56" w:rightChars="-20"/>
              <w:rPr>
                <w:rFonts w:ascii="宋体" w:hAnsi="宋体" w:cs="宋体"/>
                <w:sz w:val="15"/>
                <w:szCs w:val="15"/>
              </w:rPr>
            </w:pPr>
            <w:r>
              <w:rPr>
                <w:rFonts w:hint="eastAsia" w:ascii="宋体" w:hAnsi="宋体" w:cs="宋体"/>
                <w:sz w:val="15"/>
                <w:szCs w:val="15"/>
              </w:rPr>
              <w:t>从事特定印刷品（商标、票据、保密印刷）印刷经营活动企业（不含外资企业）的设立、变更审批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印刷经营许可证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《印刷业管理条例》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市文广旅局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县级新闻出版部门或行政审批局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县级新闻出版部门</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推动实现申请、审批全程网上办理。</w:t>
            </w:r>
            <w:r>
              <w:rPr>
                <w:rFonts w:ascii="宋体" w:hAnsi="宋体" w:cs="宋体"/>
                <w:sz w:val="15"/>
                <w:szCs w:val="15"/>
              </w:rPr>
              <w:t>2.</w:t>
            </w:r>
            <w:r>
              <w:rPr>
                <w:rFonts w:hint="eastAsia" w:ascii="宋体" w:hAnsi="宋体" w:cs="宋体"/>
                <w:sz w:val="15"/>
                <w:szCs w:val="15"/>
              </w:rPr>
              <w:t>将审批时限由</w:t>
            </w:r>
            <w:r>
              <w:rPr>
                <w:rFonts w:ascii="宋体" w:hAnsi="宋体" w:cs="宋体"/>
                <w:sz w:val="15"/>
                <w:szCs w:val="15"/>
              </w:rPr>
              <w:t>60</w:t>
            </w:r>
            <w:r>
              <w:rPr>
                <w:rFonts w:hint="eastAsia" w:ascii="宋体" w:hAnsi="宋体" w:cs="宋体"/>
                <w:sz w:val="15"/>
                <w:szCs w:val="15"/>
              </w:rPr>
              <w:t>个工作日压减至</w:t>
            </w:r>
            <w:r>
              <w:rPr>
                <w:rFonts w:ascii="宋体" w:hAnsi="宋体" w:cs="宋体"/>
                <w:sz w:val="15"/>
                <w:szCs w:val="15"/>
              </w:rPr>
              <w:t>40</w:t>
            </w:r>
            <w:r>
              <w:rPr>
                <w:rFonts w:hint="eastAsia" w:ascii="宋体" w:hAnsi="宋体" w:cs="宋体"/>
                <w:sz w:val="15"/>
                <w:szCs w:val="15"/>
              </w:rPr>
              <w:t>个工作日。</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依法及时处理投诉举报。</w:t>
            </w:r>
          </w:p>
        </w:tc>
        <w:tc>
          <w:tcPr>
            <w:tcW w:w="8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部分委托县审批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65</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国家新闻出版署</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出版物零售单位设立、变更审批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出版物经营许可证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《出版管理条例》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县级新闻出版部门或行政审批局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县级新闻出版部门</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推动实现申请、审批全程网上办理，并在网上公布审批程序、受理条件、办理标准，公开办理进度。</w:t>
            </w:r>
            <w:r>
              <w:rPr>
                <w:rFonts w:ascii="宋体" w:hAnsi="宋体" w:cs="宋体"/>
                <w:sz w:val="15"/>
                <w:szCs w:val="15"/>
              </w:rPr>
              <w:t>2.</w:t>
            </w:r>
            <w:r>
              <w:rPr>
                <w:rFonts w:hint="eastAsia" w:ascii="宋体" w:hAnsi="宋体" w:cs="宋体"/>
                <w:sz w:val="15"/>
                <w:szCs w:val="15"/>
              </w:rPr>
              <w:t>精简审批材料，推动在线获取核验营业执照、企业章程、经营场所情况及使用权证明、法定代表人及主要负责人身份证明等材料。</w:t>
            </w:r>
            <w:r>
              <w:rPr>
                <w:rFonts w:ascii="宋体" w:hAnsi="宋体" w:cs="宋体"/>
                <w:sz w:val="15"/>
                <w:szCs w:val="15"/>
              </w:rPr>
              <w:t>3.</w:t>
            </w:r>
            <w:r>
              <w:rPr>
                <w:rFonts w:hint="eastAsia" w:ascii="宋体" w:hAnsi="宋体" w:cs="宋体"/>
                <w:sz w:val="15"/>
                <w:szCs w:val="15"/>
              </w:rPr>
              <w:t>将审批时限由</w:t>
            </w:r>
            <w:r>
              <w:rPr>
                <w:rFonts w:ascii="宋体" w:hAnsi="宋体" w:cs="宋体"/>
                <w:sz w:val="15"/>
                <w:szCs w:val="15"/>
              </w:rPr>
              <w:t>20</w:t>
            </w:r>
            <w:r>
              <w:rPr>
                <w:rFonts w:hint="eastAsia" w:ascii="宋体" w:hAnsi="宋体" w:cs="宋体"/>
                <w:sz w:val="15"/>
                <w:szCs w:val="15"/>
              </w:rPr>
              <w:t>个工作日压减至</w:t>
            </w:r>
            <w:r>
              <w:rPr>
                <w:rFonts w:ascii="宋体" w:hAnsi="宋体" w:cs="宋体"/>
                <w:sz w:val="15"/>
                <w:szCs w:val="15"/>
              </w:rPr>
              <w:t>13</w:t>
            </w:r>
            <w:r>
              <w:rPr>
                <w:rFonts w:hint="eastAsia" w:ascii="宋体" w:hAnsi="宋体" w:cs="宋体"/>
                <w:sz w:val="15"/>
                <w:szCs w:val="15"/>
              </w:rPr>
              <w:t>个工作日。</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开展“双随机、一公开”监管，发现违法违规行为要依法查处并公开结果。</w:t>
            </w:r>
            <w:r>
              <w:rPr>
                <w:rFonts w:ascii="宋体" w:hAnsi="宋体" w:cs="宋体"/>
                <w:sz w:val="15"/>
                <w:szCs w:val="15"/>
              </w:rPr>
              <w:t>2.</w:t>
            </w:r>
            <w:r>
              <w:rPr>
                <w:rFonts w:hint="eastAsia" w:ascii="宋体" w:hAnsi="宋体" w:cs="宋体"/>
                <w:sz w:val="15"/>
                <w:szCs w:val="15"/>
              </w:rPr>
              <w:t>依法及时处理投诉举报。</w:t>
            </w:r>
            <w:r>
              <w:rPr>
                <w:rFonts w:ascii="宋体" w:hAnsi="宋体" w:cs="宋体"/>
                <w:sz w:val="15"/>
                <w:szCs w:val="15"/>
              </w:rPr>
              <w:t>3.</w:t>
            </w:r>
            <w:r>
              <w:rPr>
                <w:rFonts w:hint="eastAsia" w:ascii="宋体" w:hAnsi="宋体" w:cs="宋体"/>
                <w:sz w:val="15"/>
                <w:szCs w:val="15"/>
              </w:rPr>
              <w:t>推进部门间信息共享应用。</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66</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国家烟草专卖局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烟草专卖零售许可证核发</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烟草专卖零售许可证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《中华人民共和国烟草专卖法》《中华人民共和国烟草专卖法实施条例》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市烟草专卖局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市烟草专卖局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县级烟草部门</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县级烟草部门</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将审批时限由</w:t>
            </w:r>
            <w:r>
              <w:rPr>
                <w:rFonts w:ascii="宋体" w:hAnsi="宋体" w:cs="宋体"/>
                <w:sz w:val="15"/>
                <w:szCs w:val="15"/>
              </w:rPr>
              <w:t>15</w:t>
            </w:r>
            <w:r>
              <w:rPr>
                <w:rFonts w:hint="eastAsia" w:ascii="宋体" w:hAnsi="宋体" w:cs="宋体"/>
                <w:sz w:val="15"/>
                <w:szCs w:val="15"/>
              </w:rPr>
              <w:t>个工作日压减至</w:t>
            </w:r>
            <w:r>
              <w:rPr>
                <w:rFonts w:ascii="宋体" w:hAnsi="宋体" w:cs="宋体"/>
                <w:sz w:val="15"/>
                <w:szCs w:val="15"/>
              </w:rPr>
              <w:t>8</w:t>
            </w:r>
            <w:r>
              <w:rPr>
                <w:rFonts w:hint="eastAsia" w:ascii="宋体" w:hAnsi="宋体" w:cs="宋体"/>
                <w:sz w:val="15"/>
                <w:szCs w:val="15"/>
              </w:rPr>
              <w:t>个工作日。</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开展“双随机、一公开”监管，加强对持证主体合规经营的监管，发现违法违规行为要依法查处并公开结果。</w:t>
            </w:r>
            <w:r>
              <w:rPr>
                <w:rFonts w:ascii="宋体" w:hAnsi="宋体" w:cs="宋体"/>
                <w:sz w:val="15"/>
                <w:szCs w:val="15"/>
              </w:rPr>
              <w:t>2.</w:t>
            </w:r>
            <w:r>
              <w:rPr>
                <w:rFonts w:hint="eastAsia" w:ascii="宋体" w:hAnsi="宋体" w:cs="宋体"/>
                <w:sz w:val="15"/>
                <w:szCs w:val="15"/>
              </w:rPr>
              <w:t>取缔无证经营主体。</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67</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国家药品监督管理局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药品零售企业许可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药品经营许可证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《中华人民共和国药品管理法》《中华人民共和国药品管理法实施条例》</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市市场监管局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县级药监部门或行政审批局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县级市场监管局</w:t>
            </w:r>
          </w:p>
        </w:tc>
        <w:tc>
          <w:tcPr>
            <w:tcW w:w="355" w:type="dxa"/>
            <w:vAlign w:val="center"/>
          </w:tcPr>
          <w:p>
            <w:pPr>
              <w:widowControl/>
              <w:spacing w:line="240" w:lineRule="exact"/>
              <w:ind w:left="-56" w:leftChars="-20" w:right="-56" w:rightChars="-20"/>
              <w:jc w:val="left"/>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不再要求申请人提供营业执照等材料。</w:t>
            </w:r>
          </w:p>
        </w:tc>
        <w:tc>
          <w:tcPr>
            <w:tcW w:w="2268" w:type="dxa"/>
            <w:vAlign w:val="center"/>
          </w:tcPr>
          <w:p>
            <w:pPr>
              <w:widowControl/>
              <w:spacing w:line="23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落实“四个最严”要求，制定年度监管计划，突出监管重点，强化风险控制。</w:t>
            </w:r>
            <w:r>
              <w:rPr>
                <w:rFonts w:ascii="宋体" w:hAnsi="宋体" w:cs="宋体"/>
                <w:sz w:val="15"/>
                <w:szCs w:val="15"/>
              </w:rPr>
              <w:t>2.</w:t>
            </w:r>
            <w:r>
              <w:rPr>
                <w:rFonts w:hint="eastAsia" w:ascii="宋体" w:hAnsi="宋体" w:cs="宋体"/>
                <w:sz w:val="15"/>
                <w:szCs w:val="15"/>
              </w:rPr>
              <w:t>通过日常监管督促企业不断完善、改进质量管理体系，持续合法合规经营。</w:t>
            </w:r>
            <w:r>
              <w:rPr>
                <w:rFonts w:ascii="宋体" w:hAnsi="宋体" w:cs="宋体"/>
                <w:sz w:val="15"/>
                <w:szCs w:val="15"/>
              </w:rPr>
              <w:t>3.</w:t>
            </w:r>
            <w:r>
              <w:rPr>
                <w:rFonts w:hint="eastAsia" w:ascii="宋体" w:hAnsi="宋体" w:cs="宋体"/>
                <w:sz w:val="15"/>
                <w:szCs w:val="15"/>
              </w:rPr>
              <w:t>对违法违规行为，依法严厉查处并公开曝光。</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68</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国家电影局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电影放映单位设立审批</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电影放映经营许可证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《中华人民共和国电影产业促进法》《电影管2理条例》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00" w:lineRule="exact"/>
              <w:ind w:left="-84" w:leftChars="-30" w:right="-84" w:rightChars="-30"/>
              <w:jc w:val="left"/>
              <w:rPr>
                <w:rFonts w:ascii="宋体" w:hAnsi="宋体" w:cs="宋体"/>
                <w:sz w:val="15"/>
                <w:szCs w:val="15"/>
              </w:rPr>
            </w:pPr>
            <w:r>
              <w:rPr>
                <w:rFonts w:hint="eastAsia" w:ascii="宋体" w:hAnsi="宋体" w:cs="宋体"/>
                <w:sz w:val="15"/>
                <w:szCs w:val="15"/>
              </w:rPr>
              <w:t>县级电影主管部门或行政审批局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县级电影主管部门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实行申请材料网上预审。</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开展“双随机、一公开”监管，畅通投诉举报渠道。</w:t>
            </w:r>
            <w:r>
              <w:rPr>
                <w:rFonts w:ascii="宋体" w:hAnsi="宋体" w:cs="宋体"/>
                <w:sz w:val="15"/>
                <w:szCs w:val="15"/>
              </w:rPr>
              <w:t>2.</w:t>
            </w:r>
            <w:r>
              <w:rPr>
                <w:rFonts w:hint="eastAsia" w:ascii="宋体" w:hAnsi="宋体" w:cs="宋体"/>
                <w:sz w:val="15"/>
                <w:szCs w:val="15"/>
              </w:rPr>
              <w:t>发挥行业协会自律作用。</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4041" w:type="dxa"/>
            <w:gridSpan w:val="16"/>
            <w:vAlign w:val="center"/>
          </w:tcPr>
          <w:p>
            <w:pPr>
              <w:widowControl/>
              <w:spacing w:line="240" w:lineRule="exact"/>
              <w:ind w:left="-56" w:leftChars="-20" w:right="-56" w:rightChars="-20"/>
              <w:jc w:val="left"/>
              <w:rPr>
                <w:rFonts w:ascii="宋体" w:hAnsi="宋体" w:cs="宋体"/>
                <w:sz w:val="15"/>
                <w:szCs w:val="15"/>
              </w:rPr>
            </w:pPr>
            <w:r>
              <w:rPr>
                <w:rFonts w:hint="eastAsia" w:ascii="宋体" w:hAnsi="宋体" w:cs="宋体"/>
                <w:sz w:val="15"/>
                <w:szCs w:val="15"/>
              </w:rPr>
              <w:t>二、河北省地方法规设定的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1</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省民族事务委员会</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对清真食品专用包装物和清真标志的审核</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无</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《河北省清真食品管理条例》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县级民族事务行政主管部门</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县级民族事务行政主管部门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12"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加强对承诺内容真实性的审查，发现虚假承诺、承诺严重不实的要依法办理。</w:t>
            </w:r>
            <w:r>
              <w:rPr>
                <w:rFonts w:ascii="宋体" w:hAnsi="宋体" w:cs="宋体"/>
                <w:sz w:val="15"/>
                <w:szCs w:val="15"/>
              </w:rPr>
              <w:t>2.</w:t>
            </w:r>
            <w:r>
              <w:rPr>
                <w:rFonts w:hint="eastAsia" w:ascii="宋体" w:hAnsi="宋体" w:cs="宋体"/>
                <w:sz w:val="15"/>
                <w:szCs w:val="15"/>
              </w:rPr>
              <w:t>开展“双随机、一公开”监管，依法查处违法违规行为。</w:t>
            </w:r>
          </w:p>
        </w:tc>
        <w:tc>
          <w:tcPr>
            <w:tcW w:w="889" w:type="dxa"/>
            <w:vAlign w:val="center"/>
          </w:tcPr>
          <w:p>
            <w:pPr>
              <w:widowControl/>
              <w:spacing w:line="240" w:lineRule="exact"/>
              <w:ind w:left="-56" w:leftChars="-20" w:right="-56" w:rightChars="-20"/>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2</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省住房和城乡建设厅</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各设区市、扩权县餐厨废弃物处置、收集、运输从业许可</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餐厨废弃物处置、收集、运输从业许可证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《河北省城市市容和环境卫生条例》</w:t>
            </w:r>
            <w:r>
              <w:rPr>
                <w:rFonts w:ascii="宋体" w:hAnsi="宋体" w:cs="宋体"/>
                <w:sz w:val="15"/>
                <w:szCs w:val="15"/>
              </w:rPr>
              <w:br w:type="textWrapping"/>
            </w:r>
            <w:r>
              <w:rPr>
                <w:rFonts w:hint="eastAsia" w:ascii="宋体" w:hAnsi="宋体" w:cs="宋体"/>
                <w:sz w:val="15"/>
                <w:szCs w:val="15"/>
              </w:rPr>
              <w:t>《河北省餐厨废弃物管理办法》</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市城市管理综合行政执法局</w:t>
            </w: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扩权县城市管理部门或行政审批局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扩权县城市管理部门</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12"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行业监管部门限期对从事餐厨废弃物处置、收集、运输服务的企业进行现场核查，查阅相关资料和设施设备。发现企业不符合承诺条件、不具备从业资格的，依法责令限期整改，逾期不整改或整改后仍达不到要求的依法撤销许可证件。</w:t>
            </w:r>
            <w:r>
              <w:rPr>
                <w:rFonts w:ascii="宋体" w:hAnsi="宋体" w:cs="宋体"/>
                <w:sz w:val="15"/>
                <w:szCs w:val="15"/>
              </w:rPr>
              <w:t xml:space="preserve">2. </w:t>
            </w:r>
            <w:r>
              <w:rPr>
                <w:rFonts w:hint="eastAsia" w:ascii="宋体" w:hAnsi="宋体" w:cs="宋体"/>
                <w:sz w:val="15"/>
                <w:szCs w:val="15"/>
              </w:rPr>
              <w:t>开展“双随机、一公开”监管，对群众举报事项开展专项核查，依法查处弄虚作假等违法违规行为。</w:t>
            </w:r>
            <w:r>
              <w:rPr>
                <w:rFonts w:ascii="宋体" w:hAnsi="宋体" w:cs="宋体"/>
                <w:sz w:val="15"/>
                <w:szCs w:val="15"/>
              </w:rPr>
              <w:t>3.</w:t>
            </w:r>
            <w:r>
              <w:rPr>
                <w:rFonts w:hint="eastAsia" w:ascii="宋体" w:hAnsi="宋体" w:cs="宋体"/>
                <w:sz w:val="15"/>
                <w:szCs w:val="15"/>
              </w:rPr>
              <w:t>加强信用监管，依法公开许可审批以及事中事后监管信息，鼓励社会监督，依法将违法失信主体纳入不良信用记录，实施联合惩戒。</w:t>
            </w:r>
          </w:p>
        </w:tc>
        <w:tc>
          <w:tcPr>
            <w:tcW w:w="889" w:type="dxa"/>
            <w:vAlign w:val="center"/>
          </w:tcPr>
          <w:p>
            <w:pPr>
              <w:widowControl/>
              <w:spacing w:line="240" w:lineRule="exact"/>
              <w:ind w:left="-56" w:leftChars="-20" w:right="-56" w:rightChars="-20"/>
              <w:rPr>
                <w:rFonts w:ascii="宋体" w:hAnsi="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3</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省市场监督管理局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食品生产加工小作坊登记</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河北省小作坊小餐饮登记证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《河北省食品小作坊小餐饮小摊点管理条例》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县级市场监管局</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食品经营许可部门应在发证之日起将企业信息书面通报当地市场监管部门，市场监管部门应在发证之日起</w:t>
            </w:r>
            <w:r>
              <w:rPr>
                <w:rFonts w:ascii="宋体" w:hAnsi="宋体" w:cs="宋体"/>
                <w:sz w:val="15"/>
                <w:szCs w:val="15"/>
              </w:rPr>
              <w:t>30</w:t>
            </w:r>
            <w:r>
              <w:rPr>
                <w:rFonts w:hint="eastAsia" w:ascii="宋体" w:hAnsi="宋体" w:cs="宋体"/>
                <w:sz w:val="15"/>
                <w:szCs w:val="15"/>
              </w:rPr>
              <w:t>个工作日内，对其实施监督检查。</w:t>
            </w:r>
            <w:r>
              <w:rPr>
                <w:rFonts w:ascii="宋体" w:hAnsi="宋体" w:cs="宋体"/>
                <w:sz w:val="15"/>
                <w:szCs w:val="15"/>
              </w:rPr>
              <w:t>2.</w:t>
            </w:r>
            <w:r>
              <w:rPr>
                <w:rFonts w:hint="eastAsia" w:ascii="宋体" w:hAnsi="宋体" w:cs="宋体"/>
                <w:sz w:val="15"/>
                <w:szCs w:val="15"/>
              </w:rPr>
              <w:t>对以告知承诺方式取得登记证的小作坊，加强对其承诺真实性的核查，发现虚假承诺或承诺严重不实的要依法处理。</w:t>
            </w:r>
            <w:r>
              <w:rPr>
                <w:rFonts w:ascii="宋体" w:hAnsi="宋体" w:cs="宋体"/>
                <w:sz w:val="15"/>
                <w:szCs w:val="15"/>
              </w:rPr>
              <w:t>3.</w:t>
            </w:r>
            <w:r>
              <w:rPr>
                <w:rFonts w:hint="eastAsia" w:ascii="宋体" w:hAnsi="宋体" w:cs="宋体"/>
                <w:sz w:val="15"/>
                <w:szCs w:val="15"/>
              </w:rPr>
              <w:t>加强信用监管，市场监管部门将相关行政处罚和失信信息记于企业名下，通过国家企业信用信息公示系统（河北）向社会公布。</w:t>
            </w:r>
          </w:p>
        </w:tc>
        <w:tc>
          <w:tcPr>
            <w:tcW w:w="889" w:type="dxa"/>
            <w:vAlign w:val="center"/>
          </w:tcPr>
          <w:p>
            <w:pPr>
              <w:widowControl/>
              <w:spacing w:line="240" w:lineRule="exact"/>
              <w:ind w:left="-56" w:leftChars="-20" w:right="-56" w:rightChars="-20"/>
              <w:rPr>
                <w:rFonts w:ascii="宋体" w:hAnsi="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dxa"/>
            <w:vAlign w:val="center"/>
          </w:tcPr>
          <w:p>
            <w:pPr>
              <w:widowControl/>
              <w:spacing w:line="240" w:lineRule="exact"/>
              <w:ind w:left="-56" w:leftChars="-20" w:right="-56" w:rightChars="-20"/>
              <w:jc w:val="center"/>
              <w:rPr>
                <w:rFonts w:ascii="宋体" w:hAnsi="宋体" w:cs="宋体"/>
                <w:sz w:val="15"/>
                <w:szCs w:val="15"/>
              </w:rPr>
            </w:pPr>
            <w:r>
              <w:rPr>
                <w:rFonts w:ascii="宋体" w:hAnsi="宋体" w:cs="宋体"/>
                <w:sz w:val="15"/>
                <w:szCs w:val="15"/>
              </w:rPr>
              <w:t>4</w:t>
            </w:r>
          </w:p>
        </w:tc>
        <w:tc>
          <w:tcPr>
            <w:tcW w:w="557"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省市场监督管理局</w:t>
            </w:r>
          </w:p>
        </w:tc>
        <w:tc>
          <w:tcPr>
            <w:tcW w:w="1485"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食品小餐饮登记</w:t>
            </w:r>
          </w:p>
        </w:tc>
        <w:tc>
          <w:tcPr>
            <w:tcW w:w="87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河北省小作坊小餐饮登记证</w:t>
            </w:r>
          </w:p>
        </w:tc>
        <w:tc>
          <w:tcPr>
            <w:tcW w:w="1620"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《河北省食品小作坊小餐饮小摊点管理条例》</w:t>
            </w:r>
          </w:p>
        </w:tc>
        <w:tc>
          <w:tcPr>
            <w:tcW w:w="657" w:type="dxa"/>
            <w:vAlign w:val="center"/>
          </w:tcPr>
          <w:p>
            <w:pPr>
              <w:widowControl/>
              <w:spacing w:line="240" w:lineRule="exact"/>
              <w:ind w:left="-84" w:leftChars="-30" w:right="-84" w:rightChars="-30"/>
              <w:jc w:val="left"/>
              <w:rPr>
                <w:rFonts w:ascii="宋体" w:hAnsi="宋体" w:cs="宋体"/>
                <w:sz w:val="15"/>
                <w:szCs w:val="15"/>
              </w:rPr>
            </w:pPr>
          </w:p>
        </w:tc>
        <w:tc>
          <w:tcPr>
            <w:tcW w:w="658" w:type="dxa"/>
            <w:vAlign w:val="center"/>
          </w:tcPr>
          <w:p>
            <w:pPr>
              <w:widowControl/>
              <w:spacing w:line="240" w:lineRule="exact"/>
              <w:ind w:left="-84" w:leftChars="-30" w:right="-84" w:rightChars="-30"/>
              <w:jc w:val="left"/>
              <w:rPr>
                <w:rFonts w:ascii="宋体" w:hAnsi="宋体" w:cs="宋体"/>
                <w:sz w:val="15"/>
                <w:szCs w:val="15"/>
              </w:rPr>
            </w:pPr>
          </w:p>
        </w:tc>
        <w:tc>
          <w:tcPr>
            <w:tcW w:w="657"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县级市场监管部门或行政审批局</w:t>
            </w:r>
          </w:p>
        </w:tc>
        <w:tc>
          <w:tcPr>
            <w:tcW w:w="658" w:type="dxa"/>
            <w:vAlign w:val="center"/>
          </w:tcPr>
          <w:p>
            <w:pPr>
              <w:widowControl/>
              <w:spacing w:line="240" w:lineRule="exact"/>
              <w:ind w:left="-84" w:leftChars="-30" w:right="-84" w:rightChars="-30"/>
              <w:jc w:val="left"/>
              <w:rPr>
                <w:rFonts w:ascii="宋体" w:hAnsi="宋体" w:cs="宋体"/>
                <w:sz w:val="15"/>
                <w:szCs w:val="15"/>
              </w:rPr>
            </w:pPr>
            <w:r>
              <w:rPr>
                <w:rFonts w:hint="eastAsia" w:ascii="宋体" w:hAnsi="宋体" w:cs="宋体"/>
                <w:sz w:val="15"/>
                <w:szCs w:val="15"/>
              </w:rPr>
              <w:t>县级市场监管局</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355" w:type="dxa"/>
            <w:vAlign w:val="center"/>
          </w:tcPr>
          <w:p>
            <w:pPr>
              <w:widowControl/>
              <w:spacing w:line="240" w:lineRule="exact"/>
              <w:ind w:left="-56" w:leftChars="-20" w:right="-56" w:rightChars="-20"/>
              <w:jc w:val="center"/>
              <w:rPr>
                <w:rFonts w:ascii="宋体" w:hAnsi="宋体" w:cs="宋体"/>
                <w:sz w:val="15"/>
                <w:szCs w:val="15"/>
              </w:rPr>
            </w:pPr>
            <w:r>
              <w:rPr>
                <w:rFonts w:hint="eastAsia" w:ascii="宋体" w:hAnsi="宋体" w:cs="宋体"/>
                <w:sz w:val="15"/>
                <w:szCs w:val="15"/>
              </w:rPr>
              <w:t>√</w:t>
            </w:r>
          </w:p>
        </w:tc>
        <w:tc>
          <w:tcPr>
            <w:tcW w:w="355" w:type="dxa"/>
            <w:vAlign w:val="center"/>
          </w:tcPr>
          <w:p>
            <w:pPr>
              <w:widowControl/>
              <w:spacing w:line="240" w:lineRule="exact"/>
              <w:ind w:left="-56" w:leftChars="-20" w:right="-56" w:rightChars="-20"/>
              <w:jc w:val="center"/>
              <w:rPr>
                <w:rFonts w:ascii="宋体" w:hAnsi="宋体" w:cs="宋体"/>
                <w:sz w:val="15"/>
                <w:szCs w:val="15"/>
              </w:rPr>
            </w:pPr>
          </w:p>
        </w:tc>
        <w:tc>
          <w:tcPr>
            <w:tcW w:w="1989" w:type="dxa"/>
            <w:vAlign w:val="center"/>
          </w:tcPr>
          <w:p>
            <w:pPr>
              <w:widowControl/>
              <w:spacing w:line="240" w:lineRule="exact"/>
              <w:ind w:left="-56" w:leftChars="-20" w:right="-56" w:rightChars="-20"/>
              <w:rPr>
                <w:rFonts w:ascii="宋体" w:hAnsi="宋体" w:cs="宋体"/>
                <w:sz w:val="15"/>
                <w:szCs w:val="15"/>
              </w:rPr>
            </w:pPr>
            <w:r>
              <w:rPr>
                <w:rFonts w:hint="eastAsia" w:ascii="宋体" w:hAnsi="宋体" w:cs="宋体"/>
                <w:sz w:val="15"/>
                <w:szCs w:val="15"/>
              </w:rPr>
              <w:t>制作并公布告知承诺书格式文本，一次性告知申请人许可条件和所需材料。对申请人自愿承诺符合许可条件并按要求提交材料的，当场作出许可决定。</w:t>
            </w:r>
          </w:p>
        </w:tc>
        <w:tc>
          <w:tcPr>
            <w:tcW w:w="2268" w:type="dxa"/>
            <w:vAlign w:val="center"/>
          </w:tcPr>
          <w:p>
            <w:pPr>
              <w:widowControl/>
              <w:spacing w:line="240" w:lineRule="exact"/>
              <w:ind w:left="-56" w:leftChars="-20" w:right="-56" w:rightChars="-20"/>
              <w:rPr>
                <w:rFonts w:ascii="宋体" w:hAnsi="宋体" w:cs="宋体"/>
                <w:sz w:val="15"/>
                <w:szCs w:val="15"/>
              </w:rPr>
            </w:pPr>
            <w:r>
              <w:rPr>
                <w:rFonts w:ascii="宋体" w:hAnsi="宋体" w:cs="宋体"/>
                <w:sz w:val="15"/>
                <w:szCs w:val="15"/>
              </w:rPr>
              <w:t>1.</w:t>
            </w:r>
            <w:r>
              <w:rPr>
                <w:rFonts w:hint="eastAsia" w:ascii="宋体" w:hAnsi="宋体" w:cs="宋体"/>
                <w:sz w:val="15"/>
                <w:szCs w:val="15"/>
              </w:rPr>
              <w:t>食品经营许可部门应在发证之日起将企业信息书面通报当地市场监管部门，市场监管部门应在发证之日起</w:t>
            </w:r>
            <w:r>
              <w:rPr>
                <w:rFonts w:ascii="宋体" w:hAnsi="宋体" w:cs="宋体"/>
                <w:sz w:val="15"/>
                <w:szCs w:val="15"/>
              </w:rPr>
              <w:t>30</w:t>
            </w:r>
            <w:r>
              <w:rPr>
                <w:rFonts w:hint="eastAsia" w:ascii="宋体" w:hAnsi="宋体" w:cs="宋体"/>
                <w:sz w:val="15"/>
                <w:szCs w:val="15"/>
              </w:rPr>
              <w:t>个工作日内，对其实施监督检查。</w:t>
            </w:r>
            <w:r>
              <w:rPr>
                <w:rFonts w:ascii="宋体" w:hAnsi="宋体" w:cs="宋体"/>
                <w:sz w:val="15"/>
                <w:szCs w:val="15"/>
              </w:rPr>
              <w:t>2.</w:t>
            </w:r>
            <w:r>
              <w:rPr>
                <w:rFonts w:hint="eastAsia" w:ascii="宋体" w:hAnsi="宋体" w:cs="宋体"/>
                <w:sz w:val="15"/>
                <w:szCs w:val="15"/>
              </w:rPr>
              <w:t>对以告知承诺方式取得登记证的小餐饮，加强对其承诺真实性的核查，发现虚假承诺或承诺严重不实的要依法处理。</w:t>
            </w:r>
            <w:r>
              <w:rPr>
                <w:rFonts w:ascii="宋体" w:hAnsi="宋体" w:cs="宋体"/>
                <w:sz w:val="15"/>
                <w:szCs w:val="15"/>
              </w:rPr>
              <w:t>3.</w:t>
            </w:r>
            <w:r>
              <w:rPr>
                <w:rFonts w:hint="eastAsia" w:ascii="宋体" w:hAnsi="宋体" w:cs="宋体"/>
                <w:sz w:val="15"/>
                <w:szCs w:val="15"/>
              </w:rPr>
              <w:t>加强信用监管，市场监管部门将相关行政处罚和失信信息记于企业名下，通过国家企业信用信息公示系统（河北）向社会公布。</w:t>
            </w:r>
          </w:p>
        </w:tc>
        <w:tc>
          <w:tcPr>
            <w:tcW w:w="889" w:type="dxa"/>
            <w:vAlign w:val="center"/>
          </w:tcPr>
          <w:p>
            <w:pPr>
              <w:widowControl/>
              <w:spacing w:line="240" w:lineRule="exact"/>
              <w:ind w:left="-56" w:leftChars="-20" w:right="-56" w:rightChars="-20"/>
              <w:rPr>
                <w:rFonts w:ascii="宋体" w:hAnsi="宋体" w:cs="宋体"/>
                <w:color w:val="000000"/>
                <w:sz w:val="15"/>
                <w:szCs w:val="15"/>
              </w:rPr>
            </w:pPr>
          </w:p>
        </w:tc>
      </w:tr>
    </w:tbl>
    <w:p/>
    <w:sectPr>
      <w:pgSz w:w="16838" w:h="11906" w:orient="landscape"/>
      <w:pgMar w:top="1800" w:right="1440" w:bottom="1800" w:left="144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56"/>
    <w:rsid w:val="007C7607"/>
    <w:rsid w:val="00FC5856"/>
    <w:rsid w:val="00FD089C"/>
    <w:rsid w:val="2C3763DE"/>
    <w:rsid w:val="5E8207CF"/>
    <w:rsid w:val="6E0A2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1"/>
    <w:semiHidden/>
    <w:uiPriority w:val="0"/>
    <w:rPr>
      <w:rFonts w:ascii="宋体" w:hAnsi="Calibri"/>
      <w:sz w:val="18"/>
      <w:szCs w:val="18"/>
    </w:rPr>
  </w:style>
  <w:style w:type="paragraph" w:styleId="3">
    <w:name w:val="Body Text"/>
    <w:basedOn w:val="1"/>
    <w:next w:val="1"/>
    <w:link w:val="19"/>
    <w:uiPriority w:val="0"/>
    <w:pPr>
      <w:spacing w:line="580" w:lineRule="exact"/>
    </w:pPr>
    <w:rPr>
      <w:rFonts w:ascii="楷体_GB2312"/>
      <w:sz w:val="32"/>
      <w:szCs w:val="22"/>
    </w:rPr>
  </w:style>
  <w:style w:type="paragraph" w:styleId="4">
    <w:name w:val="Date"/>
    <w:basedOn w:val="1"/>
    <w:next w:val="1"/>
    <w:link w:val="22"/>
    <w:semiHidden/>
    <w:uiPriority w:val="0"/>
    <w:pPr>
      <w:ind w:left="100" w:leftChars="2500"/>
    </w:pPr>
    <w:rPr>
      <w:rFonts w:ascii="Calibri" w:hAnsi="Calibri"/>
      <w:sz w:val="21"/>
      <w:szCs w:val="22"/>
    </w:rPr>
  </w:style>
  <w:style w:type="paragraph" w:styleId="5">
    <w:name w:val="Balloon Text"/>
    <w:basedOn w:val="1"/>
    <w:link w:val="17"/>
    <w:semiHidden/>
    <w:uiPriority w:val="0"/>
    <w:rPr>
      <w:sz w:val="18"/>
      <w:szCs w:val="18"/>
    </w:rPr>
  </w:style>
  <w:style w:type="paragraph" w:styleId="6">
    <w:name w:val="footer"/>
    <w:basedOn w:val="1"/>
    <w:link w:val="15"/>
    <w:unhideWhenUsed/>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0"/>
    <w:pPr>
      <w:spacing w:before="100" w:beforeAutospacing="1" w:after="100" w:afterAutospacing="1" w:line="580" w:lineRule="exact"/>
      <w:jc w:val="left"/>
    </w:pPr>
    <w:rPr>
      <w:kern w:val="0"/>
      <w:sz w:val="24"/>
      <w:szCs w:val="22"/>
    </w:rPr>
  </w:style>
  <w:style w:type="table" w:styleId="10">
    <w:name w:val="Table Grid"/>
    <w:basedOn w:val="9"/>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rPr>
  </w:style>
  <w:style w:type="character" w:styleId="13">
    <w:name w:val="page number"/>
    <w:basedOn w:val="11"/>
    <w:uiPriority w:val="0"/>
  </w:style>
  <w:style w:type="character" w:customStyle="1" w:styleId="14">
    <w:name w:val="页眉 Char"/>
    <w:basedOn w:val="11"/>
    <w:link w:val="7"/>
    <w:semiHidden/>
    <w:uiPriority w:val="0"/>
    <w:rPr>
      <w:sz w:val="18"/>
      <w:szCs w:val="18"/>
    </w:rPr>
  </w:style>
  <w:style w:type="character" w:customStyle="1" w:styleId="15">
    <w:name w:val="页脚 Char"/>
    <w:basedOn w:val="11"/>
    <w:link w:val="6"/>
    <w:qFormat/>
    <w:uiPriority w:val="0"/>
    <w:rPr>
      <w:sz w:val="18"/>
      <w:szCs w:val="18"/>
    </w:rPr>
  </w:style>
  <w:style w:type="paragraph" w:customStyle="1" w:styleId="16">
    <w:name w:val="Char Char Char Char Char Char1 Char"/>
    <w:basedOn w:val="1"/>
    <w:uiPriority w:val="0"/>
    <w:pPr>
      <w:widowControl/>
      <w:spacing w:after="160" w:line="240" w:lineRule="exact"/>
      <w:jc w:val="left"/>
    </w:pPr>
    <w:rPr>
      <w:rFonts w:ascii="Arial" w:hAnsi="Arial" w:cs="Arial"/>
      <w:b/>
      <w:bCs/>
      <w:kern w:val="0"/>
      <w:sz w:val="24"/>
      <w:szCs w:val="24"/>
      <w:lang w:eastAsia="en-US"/>
    </w:rPr>
  </w:style>
  <w:style w:type="character" w:customStyle="1" w:styleId="17">
    <w:name w:val="批注框文本 Char"/>
    <w:basedOn w:val="11"/>
    <w:link w:val="5"/>
    <w:semiHidden/>
    <w:uiPriority w:val="0"/>
    <w:rPr>
      <w:rFonts w:ascii="Times New Roman" w:hAnsi="Times New Roman" w:eastAsia="宋体" w:cs="Times New Roman"/>
      <w:sz w:val="18"/>
      <w:szCs w:val="18"/>
    </w:rPr>
  </w:style>
  <w:style w:type="paragraph" w:customStyle="1" w:styleId="18">
    <w:name w:val="Char"/>
    <w:basedOn w:val="1"/>
    <w:uiPriority w:val="0"/>
    <w:pPr>
      <w:widowControl/>
      <w:spacing w:after="160" w:line="240" w:lineRule="exact"/>
      <w:jc w:val="left"/>
    </w:pPr>
    <w:rPr>
      <w:rFonts w:ascii="Verdana" w:hAnsi="Verdana" w:eastAsia="仿宋_GB2312"/>
      <w:kern w:val="0"/>
      <w:sz w:val="20"/>
      <w:szCs w:val="20"/>
      <w:lang w:eastAsia="en-US"/>
    </w:rPr>
  </w:style>
  <w:style w:type="character" w:customStyle="1" w:styleId="19">
    <w:name w:val="正文文本 Char"/>
    <w:basedOn w:val="11"/>
    <w:link w:val="3"/>
    <w:uiPriority w:val="0"/>
    <w:rPr>
      <w:rFonts w:ascii="楷体_GB2312" w:hAnsi="Times New Roman" w:eastAsia="宋体" w:cs="Times New Roman"/>
      <w:sz w:val="32"/>
    </w:rPr>
  </w:style>
  <w:style w:type="paragraph" w:customStyle="1" w:styleId="20">
    <w:name w:val="UserStyle_7"/>
    <w:basedOn w:val="1"/>
    <w:qFormat/>
    <w:uiPriority w:val="0"/>
    <w:pPr>
      <w:spacing w:line="580" w:lineRule="exact"/>
      <w:ind w:firstLine="420" w:firstLineChars="200"/>
    </w:pPr>
    <w:rPr>
      <w:sz w:val="21"/>
      <w:szCs w:val="22"/>
    </w:rPr>
  </w:style>
  <w:style w:type="character" w:customStyle="1" w:styleId="21">
    <w:name w:val="文档结构图 Char"/>
    <w:basedOn w:val="11"/>
    <w:link w:val="2"/>
    <w:semiHidden/>
    <w:uiPriority w:val="0"/>
    <w:rPr>
      <w:rFonts w:ascii="宋体" w:hAnsi="Calibri" w:eastAsia="宋体" w:cs="Times New Roman"/>
      <w:sz w:val="18"/>
      <w:szCs w:val="18"/>
    </w:rPr>
  </w:style>
  <w:style w:type="character" w:customStyle="1" w:styleId="22">
    <w:name w:val="日期 Char"/>
    <w:basedOn w:val="11"/>
    <w:link w:val="4"/>
    <w:semiHidden/>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2797</Words>
  <Characters>15945</Characters>
  <Lines>132</Lines>
  <Paragraphs>37</Paragraphs>
  <TotalTime>26</TotalTime>
  <ScaleCrop>false</ScaleCrop>
  <LinksUpToDate>false</LinksUpToDate>
  <CharactersWithSpaces>18705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2021-11-25T01:37:00Z</dcterms:created>
  <dc:creator>Administrator</dc:creator>
  <cp:lastModifiedBy>Administrator</cp:lastModifiedBy>
  <dcterms:modified xsi:type="dcterms:W3CDTF">2021-11-25T06:43:36Z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1D90BA8F72A04BEC8E0952A132099B80</vt:lpwstr>
  </property>
</Properties>
</file>