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default" w:ascii="黑体" w:hAnsi="宋体" w:eastAsia="黑体"/>
                                <w:color w:val="FDEFBE"/>
                                <w:sz w:val="56"/>
                                <w:szCs w:val="56"/>
                                <w:lang w:val="en-US" w:eastAsia="zh-CN"/>
                              </w:rPr>
                            </w:pPr>
                            <w:r>
                              <w:rPr>
                                <w:rFonts w:hint="eastAsia" w:ascii="黑体" w:hAnsi="宋体" w:eastAsia="黑体"/>
                                <w:color w:val="FDEFBE"/>
                                <w:sz w:val="56"/>
                                <w:szCs w:val="56"/>
                                <w:lang w:val="en-US" w:eastAsia="zh-CN"/>
                              </w:rPr>
                              <w:t>保定市满城区城市管理综合行政执法局</w:t>
                            </w:r>
                          </w:p>
                          <w:p>
                            <w:pPr>
                              <w:widowControl/>
                              <w:spacing w:line="1200" w:lineRule="exact"/>
                              <w:jc w:val="center"/>
                              <w:rPr>
                                <w:color w:val="FDEFBE"/>
                                <w:sz w:val="96"/>
                                <w:szCs w:val="96"/>
                              </w:rPr>
                            </w:pPr>
                            <w:r>
                              <w:rPr>
                                <w:rFonts w:ascii="黑体" w:hAnsi="宋体" w:eastAsia="黑体"/>
                                <w:color w:val="FDEFBE"/>
                                <w:sz w:val="56"/>
                                <w:szCs w:val="56"/>
                              </w:rPr>
                              <w:t>2018</w:t>
                            </w:r>
                            <w:r>
                              <w:rPr>
                                <w:rFonts w:hint="eastAsia" w:ascii="黑体" w:hAnsi="宋体" w:eastAsia="黑体"/>
                                <w:color w:val="FDEFBE"/>
                                <w:sz w:val="56"/>
                                <w:szCs w:val="5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default" w:ascii="黑体" w:hAnsi="宋体" w:eastAsia="黑体"/>
                          <w:color w:val="FDEFBE"/>
                          <w:sz w:val="56"/>
                          <w:szCs w:val="56"/>
                          <w:lang w:val="en-US" w:eastAsia="zh-CN"/>
                        </w:rPr>
                      </w:pPr>
                      <w:r>
                        <w:rPr>
                          <w:rFonts w:hint="eastAsia" w:ascii="黑体" w:hAnsi="宋体" w:eastAsia="黑体"/>
                          <w:color w:val="FDEFBE"/>
                          <w:sz w:val="56"/>
                          <w:szCs w:val="56"/>
                          <w:lang w:val="en-US" w:eastAsia="zh-CN"/>
                        </w:rPr>
                        <w:t>保定市满城区城市管理综合行政执法局</w:t>
                      </w:r>
                    </w:p>
                    <w:p>
                      <w:pPr>
                        <w:widowControl/>
                        <w:spacing w:line="1200" w:lineRule="exact"/>
                        <w:jc w:val="center"/>
                        <w:rPr>
                          <w:color w:val="FDEFBE"/>
                          <w:sz w:val="96"/>
                          <w:szCs w:val="96"/>
                        </w:rPr>
                      </w:pPr>
                      <w:r>
                        <w:rPr>
                          <w:rFonts w:ascii="黑体" w:hAnsi="宋体" w:eastAsia="黑体"/>
                          <w:color w:val="FDEFBE"/>
                          <w:sz w:val="56"/>
                          <w:szCs w:val="56"/>
                        </w:rPr>
                        <w:t>2018</w:t>
                      </w:r>
                      <w:r>
                        <w:rPr>
                          <w:rFonts w:hint="eastAsia" w:ascii="黑体" w:hAnsi="宋体" w:eastAsia="黑体"/>
                          <w:color w:val="FDEFBE"/>
                          <w:sz w:val="56"/>
                          <w:szCs w:val="5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val="en-US" w:eastAsia="zh-CN"/>
        </w:rPr>
        <w:t>十一</w:t>
      </w:r>
      <w:r>
        <w:rPr>
          <w:rFonts w:hint="eastAsia" w:ascii="楷体" w:hAnsi="楷体" w:eastAsia="楷体" w:cs="楷体"/>
          <w:b/>
          <w:sz w:val="44"/>
          <w:szCs w:val="44"/>
        </w:rPr>
        <w:t>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2576"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2576;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g8w1Tb&#10;AAAACwEAAA8AAAAAAAAAAQAgAAAAIgAAAGRycy9kb3ducmV2LnhtbFBLAQIUABQAAAAIAIdO4kD8&#10;KQDEyAIAACcHAAAOAAAAAAAAAAEAIAAAACo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mc:AlternateContent>
          <mc:Choice Requires="wpg">
            <w:drawing>
              <wp:anchor distT="0" distB="0" distL="114300" distR="114300" simplePos="0" relativeHeight="251671552"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1552;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3s1cPtsAAAALAQAA&#10;DwAAAAAAAAABACAAAAAiAAAAZHJzL2Rvd25yZXYueG1sUEsBAhQAFAAAAAgAh07iQLr2K2TBAgAA&#10;Jw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anchorCtr="0"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A46osQ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MnUENsAAAAL&#10;AQAADwAAAAAAAAABACAAAAAiAAAAZHJzL2Rvd25yZXYueG1sUEsBAhQAFAAAAAgAh07iQEAOOqLE&#10;AgAAI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宣传贯彻国家和省、市有关城市管理的政策和法规；拟订和实施城市管理有关规定。</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拟订和实施城市管理长期规划和年度计划；组织全区性的城市管理综合整治和检查评比。</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负责市容环境卫生方面的行政管理和城区环境卫生方面的行政审批、行政许可等工作以及对市容环境卫生实施、设备、经费的管理及强制拆除不符合城市容貌标准、环境卫生标准的建筑物或设施职责；负责对市容环境卫生方面新技术的研究推广。</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4、</w:t>
      </w:r>
      <w:r>
        <w:rPr>
          <w:rFonts w:hint="eastAsia" w:ascii="仿宋_GB2312" w:hAnsi="宋体" w:eastAsia="仿宋_GB2312"/>
          <w:sz w:val="32"/>
          <w:szCs w:val="32"/>
        </w:rPr>
        <w:t>负责对城区城市管理行政执法工作的指导、检查、监督。</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5、</w:t>
      </w:r>
      <w:r>
        <w:rPr>
          <w:rFonts w:hint="eastAsia" w:ascii="仿宋_GB2312" w:hAnsi="宋体" w:eastAsia="仿宋_GB2312"/>
          <w:sz w:val="32"/>
          <w:szCs w:val="32"/>
        </w:rPr>
        <w:t>受理个人和单位有关城市管理方面的投诉和举报，查处违反有关城市管理法规的行为，检查落实“门前三包”等市容环境卫生责任制。</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6、</w:t>
      </w:r>
      <w:r>
        <w:rPr>
          <w:rFonts w:hint="eastAsia" w:ascii="仿宋_GB2312" w:hAnsi="宋体" w:eastAsia="仿宋_GB2312"/>
          <w:sz w:val="32"/>
          <w:szCs w:val="32"/>
        </w:rPr>
        <w:t xml:space="preserve">集中行使下列职权。 </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w:t>
      </w:r>
      <w:r>
        <w:rPr>
          <w:rFonts w:hint="eastAsia" w:ascii="仿宋_GB2312" w:hAnsi="宋体" w:eastAsia="仿宋_GB2312"/>
          <w:sz w:val="32"/>
          <w:szCs w:val="32"/>
          <w:lang w:eastAsia="zh-CN"/>
        </w:rPr>
        <w:t>）</w:t>
      </w:r>
      <w:r>
        <w:rPr>
          <w:rFonts w:hint="eastAsia" w:ascii="仿宋_GB2312" w:hAnsi="宋体" w:eastAsia="仿宋_GB2312"/>
          <w:sz w:val="32"/>
          <w:szCs w:val="32"/>
        </w:rPr>
        <w:t>行使住房和城乡建设局负责的市容环境卫生管理方面法律、法规、规章规定的行政处罚权。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w:t>
      </w:r>
      <w:r>
        <w:rPr>
          <w:rFonts w:hint="eastAsia" w:ascii="仿宋_GB2312" w:hAnsi="宋体" w:eastAsia="仿宋_GB2312"/>
          <w:sz w:val="32"/>
          <w:szCs w:val="32"/>
        </w:rPr>
        <w:t>行使城乡规划管理局负责的有关城市规划管理方面法律、法规、规章规定的，对在城区规划区内，未取得建设工程规划许可证进行建设以及其影响城市规划行为的行政处罚权。 </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3</w:t>
      </w:r>
      <w:r>
        <w:rPr>
          <w:rFonts w:hint="eastAsia" w:ascii="仿宋_GB2312" w:hAnsi="宋体" w:eastAsia="仿宋_GB2312"/>
          <w:sz w:val="32"/>
          <w:szCs w:val="32"/>
          <w:lang w:eastAsia="zh-CN"/>
        </w:rPr>
        <w:t>）</w:t>
      </w:r>
      <w:r>
        <w:rPr>
          <w:rFonts w:hint="eastAsia" w:ascii="仿宋_GB2312" w:hAnsi="宋体" w:eastAsia="仿宋_GB2312"/>
          <w:sz w:val="32"/>
          <w:szCs w:val="32"/>
        </w:rPr>
        <w:t>行使住房和城乡建设局负责的市政管理方面法律、法规、规章制度的行政处罚权。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4</w:t>
      </w:r>
      <w:r>
        <w:rPr>
          <w:rFonts w:hint="eastAsia" w:ascii="仿宋_GB2312" w:hAnsi="宋体" w:eastAsia="仿宋_GB2312"/>
          <w:sz w:val="32"/>
          <w:szCs w:val="32"/>
          <w:lang w:eastAsia="zh-CN"/>
        </w:rPr>
        <w:t>）</w:t>
      </w:r>
      <w:r>
        <w:rPr>
          <w:rFonts w:hint="eastAsia" w:ascii="仿宋_GB2312" w:hAnsi="宋体" w:eastAsia="仿宋_GB2312"/>
          <w:sz w:val="32"/>
          <w:szCs w:val="32"/>
        </w:rPr>
        <w:t>行使住房和城乡建设局负责的城区内园林、绿化管理方面法律、法规、规章规定的行政处罚权，负责对城区城市管理行政执法工作的指导、检查、监督。</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5</w:t>
      </w:r>
      <w:r>
        <w:rPr>
          <w:rFonts w:hint="eastAsia" w:ascii="仿宋_GB2312" w:hAnsi="宋体" w:eastAsia="仿宋_GB2312"/>
          <w:sz w:val="32"/>
          <w:szCs w:val="32"/>
          <w:lang w:eastAsia="zh-CN"/>
        </w:rPr>
        <w:t>）</w:t>
      </w:r>
      <w:r>
        <w:rPr>
          <w:rFonts w:hint="eastAsia" w:ascii="仿宋_GB2312" w:hAnsi="宋体" w:eastAsia="仿宋_GB2312"/>
          <w:sz w:val="32"/>
          <w:szCs w:val="32"/>
        </w:rPr>
        <w:t>行使环境保护局负责的环境保护方面法律、法规、规章规定的，对在城区内生活噪音污染，建筑施工噪音污染和露天烧烤行为的行政处罚权；对城市饮食服务业超标排污行为的行政处罚权；对城区范围内露天烧烤行为的行政处罚权；对向城市规划范围内排水管网、河道、水面排污、倾倒工业废渣、城市垃圾和其他废弃物行为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6</w:t>
      </w:r>
      <w:r>
        <w:rPr>
          <w:rFonts w:hint="eastAsia" w:ascii="仿宋_GB2312" w:hAnsi="宋体" w:eastAsia="仿宋_GB2312"/>
          <w:sz w:val="32"/>
          <w:szCs w:val="32"/>
          <w:lang w:eastAsia="zh-CN"/>
        </w:rPr>
        <w:t>）</w:t>
      </w:r>
      <w:r>
        <w:rPr>
          <w:rFonts w:hint="eastAsia" w:ascii="仿宋_GB2312" w:hAnsi="宋体" w:eastAsia="仿宋_GB2312"/>
          <w:sz w:val="32"/>
          <w:szCs w:val="32"/>
        </w:rPr>
        <w:t>行使工商行政管理局负责的工商行政管理方面的法律、法规、规章规定的，对在城区店外经营、街道路边无照商贩的行政处罚权；对违反规定设置户外广告行为的行政处罚权。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7</w:t>
      </w:r>
      <w:r>
        <w:rPr>
          <w:rFonts w:hint="eastAsia" w:ascii="仿宋_GB2312" w:hAnsi="宋体" w:eastAsia="仿宋_GB2312"/>
          <w:sz w:val="32"/>
          <w:szCs w:val="32"/>
          <w:lang w:eastAsia="zh-CN"/>
        </w:rPr>
        <w:t>）</w:t>
      </w:r>
      <w:r>
        <w:rPr>
          <w:rFonts w:hint="eastAsia" w:ascii="仿宋_GB2312" w:hAnsi="宋体" w:eastAsia="仿宋_GB2312"/>
          <w:sz w:val="32"/>
          <w:szCs w:val="32"/>
        </w:rPr>
        <w:t>行使有关公安交通管理方面法律、法规规定的，对侵占城市道路行（限于人行道范围）的行政处罚权（包括对城区非法经营性三轮车的规范管理）。</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8</w:t>
      </w:r>
      <w:r>
        <w:rPr>
          <w:rFonts w:hint="eastAsia" w:ascii="仿宋_GB2312" w:hAnsi="宋体" w:eastAsia="仿宋_GB2312"/>
          <w:sz w:val="32"/>
          <w:szCs w:val="32"/>
          <w:lang w:eastAsia="zh-CN"/>
        </w:rPr>
        <w:t>）</w:t>
      </w:r>
      <w:r>
        <w:rPr>
          <w:rFonts w:hint="eastAsia" w:ascii="仿宋_GB2312" w:hAnsi="宋体" w:eastAsia="仿宋_GB2312"/>
          <w:sz w:val="32"/>
          <w:szCs w:val="32"/>
        </w:rPr>
        <w:t>行使文广新局负责的文化市场管理方面法律、法规、规章规定的，对未取得文化经营许可证，擅自从事文化娱乐经营行为的行政处罚职责和对违反文化经营许可证的规定进行文化娱乐经营行为的行政处罚。</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9</w:t>
      </w:r>
      <w:r>
        <w:rPr>
          <w:rFonts w:hint="eastAsia" w:ascii="仿宋_GB2312" w:hAnsi="宋体" w:eastAsia="仿宋_GB2312"/>
          <w:sz w:val="32"/>
          <w:szCs w:val="32"/>
          <w:lang w:eastAsia="zh-CN"/>
        </w:rPr>
        <w:t>）</w:t>
      </w:r>
      <w:r>
        <w:rPr>
          <w:rFonts w:hint="eastAsia" w:ascii="仿宋_GB2312" w:hAnsi="宋体" w:eastAsia="仿宋_GB2312"/>
          <w:sz w:val="32"/>
          <w:szCs w:val="32"/>
        </w:rPr>
        <w:t>行使水利局负责的河道、水资源管理方面法律、法规、规章规定的对在城区河道水面阻碍行洪、破坏堤防行为的行政处罚职责和对未办理取水许可证或者不按取水许可证规定进行取水行为的行政处罚权。</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10</w:t>
      </w:r>
      <w:r>
        <w:rPr>
          <w:rFonts w:hint="eastAsia" w:ascii="仿宋_GB2312" w:hAnsi="宋体" w:eastAsia="仿宋_GB2312"/>
          <w:sz w:val="32"/>
          <w:szCs w:val="32"/>
          <w:lang w:eastAsia="zh-CN"/>
        </w:rPr>
        <w:t>）</w:t>
      </w:r>
      <w:r>
        <w:rPr>
          <w:rFonts w:hint="eastAsia" w:ascii="仿宋_GB2312" w:hAnsi="宋体" w:eastAsia="仿宋_GB2312"/>
          <w:sz w:val="32"/>
          <w:szCs w:val="32"/>
        </w:rPr>
        <w:t>行使外环维护处管理、游园、园林绿化维护处管理、卫生管理、市场管理、水资源管理及收费职责，负责对城区市容市貌进行综合管理部。</w:t>
      </w:r>
    </w:p>
    <w:p>
      <w:pPr>
        <w:keepNext w:val="0"/>
        <w:keepLines w:val="0"/>
        <w:pageBreakBefore w:val="0"/>
        <w:widowControl w:val="0"/>
        <w:kinsoku/>
        <w:wordWrap/>
        <w:overflowPunct/>
        <w:topLinePunct w:val="0"/>
        <w:bidi w:val="0"/>
        <w:snapToGrid/>
        <w:spacing w:line="520" w:lineRule="exact"/>
        <w:ind w:firstLine="576"/>
        <w:textAlignment w:val="auto"/>
        <w:rPr>
          <w:rFonts w:hint="eastAsia" w:ascii="仿宋_GB2312" w:hAnsi="宋体" w:eastAsia="仿宋_GB2312"/>
          <w:sz w:val="32"/>
          <w:szCs w:val="32"/>
        </w:rPr>
      </w:pPr>
      <w:r>
        <w:rPr>
          <w:rFonts w:hint="eastAsia" w:ascii="仿宋_GB2312" w:hAnsi="宋体" w:eastAsia="仿宋_GB2312"/>
          <w:sz w:val="32"/>
          <w:szCs w:val="32"/>
          <w:lang w:val="en-US" w:eastAsia="zh-CN"/>
        </w:rPr>
        <w:t>7、</w:t>
      </w:r>
      <w:r>
        <w:rPr>
          <w:rFonts w:hint="eastAsia" w:ascii="仿宋_GB2312" w:hAnsi="宋体" w:eastAsia="仿宋_GB2312"/>
          <w:sz w:val="32"/>
          <w:szCs w:val="32"/>
        </w:rPr>
        <w:t>承办市、区人民政府决定调整的城市管理领域的其他职他职责。</w:t>
      </w:r>
    </w:p>
    <w:p>
      <w:pPr>
        <w:keepNext w:val="0"/>
        <w:keepLines w:val="0"/>
        <w:pageBreakBefore w:val="0"/>
        <w:widowControl w:val="0"/>
        <w:kinsoku/>
        <w:wordWrap/>
        <w:overflowPunct/>
        <w:topLinePunct w:val="0"/>
        <w:autoSpaceDE w:val="0"/>
        <w:autoSpaceDN w:val="0"/>
        <w:bidi w:val="0"/>
        <w:adjustRightInd w:val="0"/>
        <w:snapToGrid/>
        <w:spacing w:after="0" w:line="520" w:lineRule="exact"/>
        <w:jc w:val="left"/>
        <w:textAlignment w:val="auto"/>
        <w:rPr>
          <w:rFonts w:ascii="仿宋_GB2312" w:hAnsi="Cambria" w:eastAsia="仿宋_GB2312" w:cs="ArialUnicodeMS"/>
          <w:kern w:val="0"/>
          <w:sz w:val="32"/>
          <w:szCs w:val="32"/>
        </w:rPr>
      </w:pPr>
    </w:p>
    <w:p>
      <w:pPr>
        <w:pStyle w:val="2"/>
        <w:pageBreakBefore w:val="0"/>
        <w:widowControl w:val="0"/>
        <w:kinsoku/>
        <w:wordWrap/>
        <w:overflowPunct/>
        <w:topLinePunct w:val="0"/>
        <w:bidi w:val="0"/>
        <w:snapToGrid/>
        <w:spacing w:before="0" w:after="0" w:line="520" w:lineRule="exact"/>
        <w:ind w:firstLine="640" w:firstLineChars="200"/>
        <w:jc w:val="left"/>
        <w:textAlignment w:val="auto"/>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pageBreakBefore w:val="0"/>
        <w:widowControl w:val="0"/>
        <w:kinsoku/>
        <w:wordWrap/>
        <w:overflowPunct/>
        <w:topLinePunct w:val="0"/>
        <w:bidi w:val="0"/>
        <w:snapToGrid/>
        <w:spacing w:after="0" w:line="520" w:lineRule="exact"/>
        <w:ind w:firstLine="640" w:firstLineChars="200"/>
        <w:textAlignment w:val="auto"/>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hint="eastAsia" w:ascii="仿宋_GB2312" w:hAnsi="Cambria" w:eastAsia="仿宋_GB2312" w:cs="ArialUnicodeMS"/>
                <w:kern w:val="0"/>
                <w:sz w:val="28"/>
                <w:szCs w:val="28"/>
                <w:lang w:eastAsia="zh-CN"/>
              </w:rPr>
            </w:pPr>
            <w:r>
              <w:rPr>
                <w:rFonts w:hint="eastAsia" w:ascii="仿宋_GB2312" w:hAnsi="宋体" w:eastAsia="仿宋_GB2312"/>
                <w:sz w:val="28"/>
                <w:szCs w:val="28"/>
              </w:rPr>
              <w:t>保定市满城区城市管理综合执法局</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本级</w:t>
            </w:r>
            <w:r>
              <w:rPr>
                <w:rFonts w:hint="eastAsia" w:ascii="仿宋_GB2312" w:hAnsi="宋体" w:eastAsia="仿宋_GB2312"/>
                <w:sz w:val="28"/>
                <w:szCs w:val="28"/>
                <w:lang w:eastAsia="zh-CN"/>
              </w:rPr>
              <w:t>）</w:t>
            </w:r>
          </w:p>
        </w:tc>
        <w:tc>
          <w:tcPr>
            <w:tcW w:w="2445" w:type="dxa"/>
          </w:tcPr>
          <w:p>
            <w:pPr>
              <w:spacing w:after="0" w:line="560" w:lineRule="exact"/>
              <w:jc w:val="center"/>
              <w:rPr>
                <w:rFonts w:hint="eastAsia"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行政单位</w:t>
            </w:r>
          </w:p>
        </w:tc>
        <w:tc>
          <w:tcPr>
            <w:tcW w:w="2665" w:type="dxa"/>
          </w:tcPr>
          <w:p>
            <w:pPr>
              <w:spacing w:after="0" w:line="560" w:lineRule="exact"/>
              <w:jc w:val="center"/>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3600"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360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K8VI9wAAAANAQAA&#10;DwAAAAAAAAABACAAAAAiAAAAZHJzL2Rvd25yZXYueG1sUEsBAhQAFAAAAAgAh07iQMfXNrf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12568.70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536.00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4.88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12011.82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12568.70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12568.70</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12568.70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12568.70</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jc w:val="center"/>
        <w:tblLayout w:type="fixed"/>
        <w:tblCellMar>
          <w:top w:w="0" w:type="dxa"/>
          <w:left w:w="0" w:type="dxa"/>
          <w:bottom w:w="0" w:type="dxa"/>
          <w:right w:w="0" w:type="dxa"/>
        </w:tblCellMar>
      </w:tblPr>
      <w:tblGrid>
        <w:gridCol w:w="299"/>
        <w:gridCol w:w="300"/>
        <w:gridCol w:w="345"/>
        <w:gridCol w:w="4005"/>
        <w:gridCol w:w="900"/>
        <w:gridCol w:w="275"/>
        <w:gridCol w:w="626"/>
        <w:gridCol w:w="609"/>
        <w:gridCol w:w="353"/>
        <w:gridCol w:w="236"/>
        <w:gridCol w:w="586"/>
        <w:gridCol w:w="690"/>
        <w:gridCol w:w="649"/>
      </w:tblGrid>
      <w:tr>
        <w:tblPrEx>
          <w:tblCellMar>
            <w:top w:w="0" w:type="dxa"/>
            <w:left w:w="0" w:type="dxa"/>
            <w:bottom w:w="0" w:type="dxa"/>
            <w:right w:w="0" w:type="dxa"/>
          </w:tblCellMar>
        </w:tblPrEx>
        <w:trPr>
          <w:trHeight w:val="529" w:hRule="atLeast"/>
          <w:jc w:val="center"/>
        </w:trPr>
        <w:tc>
          <w:tcPr>
            <w:tcW w:w="9873" w:type="dxa"/>
            <w:gridSpan w:val="13"/>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462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462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D+6cMb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29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0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7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2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8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3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02</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362" w:hRule="atLeast"/>
          <w:jc w:val="center"/>
        </w:trPr>
        <w:tc>
          <w:tcPr>
            <w:tcW w:w="6124"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62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8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3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325" w:hRule="atLeast"/>
          <w:jc w:val="center"/>
        </w:trPr>
        <w:tc>
          <w:tcPr>
            <w:tcW w:w="4949"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00" w:type="dxa"/>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0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60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89"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86"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69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649"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566" w:hRule="atLeast"/>
          <w:jc w:val="center"/>
        </w:trPr>
        <w:tc>
          <w:tcPr>
            <w:tcW w:w="94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4005"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00" w:type="dxa"/>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0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kern w:val="0"/>
                <w:sz w:val="20"/>
                <w:szCs w:val="20"/>
              </w:rPr>
            </w:pPr>
          </w:p>
        </w:tc>
        <w:tc>
          <w:tcPr>
            <w:tcW w:w="60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89"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86"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9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49"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01" w:hRule="atLeast"/>
          <w:jc w:val="center"/>
        </w:trPr>
        <w:tc>
          <w:tcPr>
            <w:tcW w:w="494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ascii="宋体" w:hAnsi="宋体" w:cs="宋体"/>
                <w:color w:val="000000"/>
                <w:kern w:val="0"/>
                <w:sz w:val="18"/>
                <w:szCs w:val="18"/>
              </w:rPr>
              <w:t>1</w:t>
            </w:r>
          </w:p>
        </w:tc>
        <w:tc>
          <w:tcPr>
            <w:tcW w:w="90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textAlignment w:val="center"/>
              <w:rPr>
                <w:rFonts w:ascii="宋体" w:cs="宋体"/>
                <w:color w:val="000000"/>
                <w:sz w:val="18"/>
                <w:szCs w:val="18"/>
              </w:rPr>
            </w:pPr>
            <w:r>
              <w:rPr>
                <w:rFonts w:ascii="宋体" w:hAnsi="宋体" w:cs="宋体"/>
                <w:color w:val="000000"/>
                <w:kern w:val="0"/>
                <w:sz w:val="18"/>
                <w:szCs w:val="18"/>
              </w:rPr>
              <w:t>2</w:t>
            </w:r>
          </w:p>
        </w:tc>
        <w:tc>
          <w:tcPr>
            <w:tcW w:w="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8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267" w:hRule="atLeast"/>
          <w:jc w:val="center"/>
        </w:trPr>
        <w:tc>
          <w:tcPr>
            <w:tcW w:w="494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0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12568.70</w:t>
            </w:r>
          </w:p>
        </w:tc>
        <w:tc>
          <w:tcPr>
            <w:tcW w:w="90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12568.70</w:t>
            </w:r>
          </w:p>
        </w:tc>
        <w:tc>
          <w:tcPr>
            <w:tcW w:w="60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89"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8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9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4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28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一般公共服务支出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0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政府办公厅（室）及相关机构事务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2010308</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信访事务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工商行政管理事务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94"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2011599</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其他工商行政管理事务支出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533.00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42"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节能环保支出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污染防治</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0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大气</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4.88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12,011.82</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12,011.82</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6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城乡社区管理事务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4,406.76</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4,406.76</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5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260.69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260.69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1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2120102</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27.00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27.00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2"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2120104</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城管执法</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3,765.29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3,765.29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3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2120107</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市政公用行业市场监管</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353.48</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353.48</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2120199</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其他城乡社区管理事务支出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0.30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0.30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4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城乡社区公共设施</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4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2120399</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其他城乡社区公共设施支出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8.15</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1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城乡社区环境卫生</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27"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城乡社区环境卫生</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5,948.99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0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国有土地使用权出让收入及对应专项债务收入安排的支出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1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2120803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城市建设支出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1,287.59</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3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城市基础设施配套费及对应专项债务收入安排的支出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城市公共设施</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14.00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31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污水处理费及对应专项债务收入安排的支出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346.33</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346.33</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86"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2121401</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污水处理设施建设和运营</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311.93</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311.93</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2121402</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代征手续费</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34.40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34.40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1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271" w:hRule="atLeast"/>
          <w:jc w:val="center"/>
        </w:trPr>
        <w:tc>
          <w:tcPr>
            <w:tcW w:w="94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2130407</w:t>
            </w:r>
          </w:p>
        </w:tc>
        <w:tc>
          <w:tcPr>
            <w:tcW w:w="4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前期工作</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90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16.00</w:t>
            </w:r>
          </w:p>
        </w:tc>
        <w:tc>
          <w:tcPr>
            <w:tcW w:w="6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 w:val="18"/>
                <w:szCs w:val="18"/>
              </w:rPr>
            </w:pPr>
          </w:p>
        </w:tc>
        <w:tc>
          <w:tcPr>
            <w:tcW w:w="58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120" w:lineRule="exac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9873" w:type="dxa"/>
            <w:gridSpan w:val="13"/>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1701" w:right="1474" w:bottom="1701" w:left="1588" w:header="851" w:footer="992" w:gutter="0"/>
          <w:cols w:space="0" w:num="1"/>
          <w:rtlGutter w:val="0"/>
          <w:docGrid w:type="lines" w:linePitch="312" w:charSpace="0"/>
        </w:sectPr>
      </w:pPr>
    </w:p>
    <w:tbl>
      <w:tblPr>
        <w:tblStyle w:val="12"/>
        <w:tblW w:w="9825" w:type="dxa"/>
        <w:tblInd w:w="-488" w:type="dxa"/>
        <w:tblLayout w:type="fixed"/>
        <w:tblCellMar>
          <w:top w:w="0" w:type="dxa"/>
          <w:left w:w="0" w:type="dxa"/>
          <w:bottom w:w="0" w:type="dxa"/>
          <w:right w:w="0" w:type="dxa"/>
        </w:tblCellMar>
      </w:tblPr>
      <w:tblGrid>
        <w:gridCol w:w="776"/>
        <w:gridCol w:w="66"/>
        <w:gridCol w:w="223"/>
        <w:gridCol w:w="240"/>
        <w:gridCol w:w="2327"/>
        <w:gridCol w:w="388"/>
        <w:gridCol w:w="90"/>
        <w:gridCol w:w="480"/>
        <w:gridCol w:w="160"/>
        <w:gridCol w:w="478"/>
        <w:gridCol w:w="187"/>
        <w:gridCol w:w="455"/>
        <w:gridCol w:w="280"/>
        <w:gridCol w:w="198"/>
        <w:gridCol w:w="640"/>
        <w:gridCol w:w="478"/>
        <w:gridCol w:w="499"/>
        <w:gridCol w:w="621"/>
        <w:gridCol w:w="159"/>
        <w:gridCol w:w="1080"/>
      </w:tblGrid>
      <w:tr>
        <w:tblPrEx>
          <w:tblCellMar>
            <w:top w:w="0" w:type="dxa"/>
            <w:left w:w="0" w:type="dxa"/>
            <w:bottom w:w="0" w:type="dxa"/>
            <w:right w:w="0" w:type="dxa"/>
          </w:tblCellMar>
        </w:tblPrEx>
        <w:trPr>
          <w:trHeight w:val="528" w:hRule="atLeast"/>
        </w:trPr>
        <w:tc>
          <w:tcPr>
            <w:tcW w:w="9825"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564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_x0000_s1026" o:spid="_x0000_s1026" o:spt="203" style="position:absolute;left:0pt;margin-left:-80.9pt;margin-top:-81.1pt;height:41.2pt;width:243.2pt;mso-position-vertical-relative:page;z-index:25167564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Gz6qWP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329" w:hRule="atLeast"/>
        </w:trPr>
        <w:tc>
          <w:tcPr>
            <w:tcW w:w="77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3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5" w:hRule="atLeast"/>
        </w:trPr>
        <w:tc>
          <w:tcPr>
            <w:tcW w:w="3632"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3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72" w:hRule="atLeast"/>
        </w:trPr>
        <w:tc>
          <w:tcPr>
            <w:tcW w:w="4590" w:type="dxa"/>
            <w:gridSpan w:val="8"/>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82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本年支出合计</w:t>
            </w:r>
          </w:p>
        </w:tc>
        <w:tc>
          <w:tcPr>
            <w:tcW w:w="73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基本支出</w:t>
            </w:r>
          </w:p>
        </w:tc>
        <w:tc>
          <w:tcPr>
            <w:tcW w:w="838"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项目支出</w:t>
            </w:r>
          </w:p>
        </w:tc>
        <w:tc>
          <w:tcPr>
            <w:tcW w:w="977"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上缴上级支出</w:t>
            </w:r>
          </w:p>
        </w:tc>
        <w:tc>
          <w:tcPr>
            <w:tcW w:w="78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经营支出</w:t>
            </w:r>
          </w:p>
        </w:tc>
        <w:tc>
          <w:tcPr>
            <w:tcW w:w="1080"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对附属单位补助支出</w:t>
            </w:r>
          </w:p>
        </w:tc>
      </w:tr>
      <w:tr>
        <w:tblPrEx>
          <w:tblCellMar>
            <w:top w:w="0" w:type="dxa"/>
            <w:left w:w="0" w:type="dxa"/>
            <w:bottom w:w="0" w:type="dxa"/>
            <w:right w:w="0" w:type="dxa"/>
          </w:tblCellMar>
        </w:tblPrEx>
        <w:trPr>
          <w:trHeight w:val="569" w:hRule="atLeast"/>
        </w:trPr>
        <w:tc>
          <w:tcPr>
            <w:tcW w:w="84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功能分类科目编码</w:t>
            </w:r>
          </w:p>
        </w:tc>
        <w:tc>
          <w:tcPr>
            <w:tcW w:w="3748"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科目名称</w:t>
            </w:r>
          </w:p>
        </w:tc>
        <w:tc>
          <w:tcPr>
            <w:tcW w:w="82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73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38"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977"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78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1080"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18"/>
                <w:szCs w:val="18"/>
              </w:rPr>
            </w:pPr>
          </w:p>
        </w:tc>
      </w:tr>
      <w:tr>
        <w:tblPrEx>
          <w:tblCellMar>
            <w:top w:w="0" w:type="dxa"/>
            <w:left w:w="0" w:type="dxa"/>
            <w:bottom w:w="0" w:type="dxa"/>
            <w:right w:w="0" w:type="dxa"/>
          </w:tblCellMar>
        </w:tblPrEx>
        <w:trPr>
          <w:trHeight w:val="395" w:hRule="atLeast"/>
        </w:trPr>
        <w:tc>
          <w:tcPr>
            <w:tcW w:w="4590"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2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73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3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78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10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r>
      <w:tr>
        <w:tblPrEx>
          <w:tblCellMar>
            <w:top w:w="0" w:type="dxa"/>
            <w:left w:w="0" w:type="dxa"/>
            <w:bottom w:w="0" w:type="dxa"/>
            <w:right w:w="0" w:type="dxa"/>
          </w:tblCellMar>
        </w:tblPrEx>
        <w:trPr>
          <w:trHeight w:val="310" w:hRule="atLeast"/>
        </w:trPr>
        <w:tc>
          <w:tcPr>
            <w:tcW w:w="4590" w:type="dxa"/>
            <w:gridSpan w:val="8"/>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4488.40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8080.29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一般公共服务支出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政府办公厅（室）及相关机构事务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2010308</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信访事务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工商行政管理事务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2011599</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其他工商行政管理事务支出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533.00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节能环保支出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污染防治</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大气</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4.88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12011.82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3955.40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8056.41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城乡社区管理事务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4406.76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3911.00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495.76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260.69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233.69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27.00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2120102</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27.00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27.00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2120104</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城管执法</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3765.29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3677.01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88.28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2120107</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市政公用行业市场监管</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353.48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353.48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2120199</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其他城乡社区管理事务支出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0.30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0.30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城乡社区公共设施</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2120399</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其他城乡社区公共设施支出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8.15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城乡社区环境卫生</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5948.99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10.00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5938.99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城乡社区环境卫生</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5948.99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10.00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5938.99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国有土地使用权出让收入及对应专项债务收入安排的支出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2120803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城市建设支出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1287.59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城市基础设施配套费及对应专项债务收入安排的支出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城市公共设施</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14.00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污水处理费及对应专项债务收入安排的支出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346.33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311.93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2121401</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污水处理设施建设和运营</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311.93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311.93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2121402</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代征手续费</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34.40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34.40 </w:t>
            </w: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77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3814"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84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3748"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272" w:hRule="atLeast"/>
        </w:trPr>
        <w:tc>
          <w:tcPr>
            <w:tcW w:w="84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2130407</w:t>
            </w:r>
          </w:p>
        </w:tc>
        <w:tc>
          <w:tcPr>
            <w:tcW w:w="3748"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前期工作</w:t>
            </w:r>
          </w:p>
        </w:tc>
        <w:tc>
          <w:tcPr>
            <w:tcW w:w="82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73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838"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16.00 </w:t>
            </w:r>
          </w:p>
        </w:tc>
        <w:tc>
          <w:tcPr>
            <w:tcW w:w="9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c>
          <w:tcPr>
            <w:tcW w:w="108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after="0" w:line="240" w:lineRule="exact"/>
              <w:jc w:val="right"/>
              <w:rPr>
                <w:rFonts w:hint="eastAsia" w:ascii="宋体" w:hAnsi="宋体" w:eastAsia="宋体" w:cs="宋体"/>
                <w:color w:val="000000"/>
                <w:szCs w:val="21"/>
              </w:rPr>
            </w:pPr>
          </w:p>
        </w:tc>
      </w:tr>
      <w:tr>
        <w:tblPrEx>
          <w:tblCellMar>
            <w:top w:w="0" w:type="dxa"/>
            <w:left w:w="0" w:type="dxa"/>
            <w:bottom w:w="0" w:type="dxa"/>
            <w:right w:w="0" w:type="dxa"/>
          </w:tblCellMar>
        </w:tblPrEx>
        <w:trPr>
          <w:trHeight w:val="748" w:hRule="atLeast"/>
        </w:trPr>
        <w:tc>
          <w:tcPr>
            <w:tcW w:w="9825"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1134" w:right="1474" w:bottom="1134" w:left="1588" w:header="851" w:footer="992" w:gutter="0"/>
          <w:cols w:space="0" w:num="1"/>
          <w:rtlGutter w:val="0"/>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rPiH&#10;xMUCAAAmBwAADgAAAAAAAAABACAAAAAr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536.00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536.00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12011.82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10363.91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12568.70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854"/>
        <w:gridCol w:w="452"/>
        <w:gridCol w:w="90"/>
        <w:gridCol w:w="1350"/>
        <w:gridCol w:w="542"/>
        <w:gridCol w:w="1063"/>
        <w:gridCol w:w="1516"/>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DzGYBcvgIAACY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7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4299"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项目</w:t>
            </w:r>
          </w:p>
        </w:tc>
        <w:tc>
          <w:tcPr>
            <w:tcW w:w="4561"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功能分类科目编码</w:t>
            </w:r>
          </w:p>
        </w:tc>
        <w:tc>
          <w:tcPr>
            <w:tcW w:w="3306"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科目名称</w:t>
            </w:r>
          </w:p>
        </w:tc>
        <w:tc>
          <w:tcPr>
            <w:tcW w:w="1440"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小计</w:t>
            </w:r>
          </w:p>
        </w:tc>
        <w:tc>
          <w:tcPr>
            <w:tcW w:w="1605"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基本支出</w:t>
            </w:r>
          </w:p>
        </w:tc>
        <w:tc>
          <w:tcPr>
            <w:tcW w:w="151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3306"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440"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60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51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3306"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440"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60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c>
          <w:tcPr>
            <w:tcW w:w="151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4299"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栏次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1</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w:t>
            </w:r>
          </w:p>
        </w:tc>
        <w:tc>
          <w:tcPr>
            <w:tcW w:w="151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w:t>
            </w:r>
          </w:p>
        </w:tc>
      </w:tr>
      <w:tr>
        <w:tblPrEx>
          <w:tblCellMar>
            <w:top w:w="0" w:type="dxa"/>
            <w:left w:w="0" w:type="dxa"/>
            <w:bottom w:w="0" w:type="dxa"/>
            <w:right w:w="0" w:type="dxa"/>
          </w:tblCellMar>
        </w:tblPrEx>
        <w:trPr>
          <w:trHeight w:val="368" w:hRule="atLeast"/>
        </w:trPr>
        <w:tc>
          <w:tcPr>
            <w:tcW w:w="4299"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合计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10920.79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4454.00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6466.78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一般公共服务支出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政府办公厅（室）及相关机构事务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2010308</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信访事务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工商行政管理事务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2011599</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其他工商行政管理事务支出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533.00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节能环保支出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污染防治</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2110301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大气</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4.88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10363.91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3921.00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6442.90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城乡社区管理事务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4406.76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3911.00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495.76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行政运行</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260.69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233.69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27.00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2120102</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一般行政管理事务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27.00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27.00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2120104</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城管执法</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3765.29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3677.01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88.28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2120107</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市政公用行业市场监管</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353.48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353.48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2120199</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其他城乡社区管理事务支出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0.30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0.30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城乡社区公共设施</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2120399</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其他城乡社区公共设施支出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8.15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城乡社区环境卫生</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5948.99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5938.99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2120501</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城乡社区环境卫生</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5948.99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10.00 </w:t>
            </w: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5938.99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农林水支出</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南水北调</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2130407</w:t>
            </w:r>
          </w:p>
        </w:tc>
        <w:tc>
          <w:tcPr>
            <w:tcW w:w="33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前期工作</w:t>
            </w:r>
          </w:p>
        </w:tc>
        <w:tc>
          <w:tcPr>
            <w:tcW w:w="144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c>
          <w:tcPr>
            <w:tcW w:w="1605"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1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16.00 </w:t>
            </w: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83" w:type="dxa"/>
        <w:jc w:val="center"/>
        <w:tblLayout w:type="fixed"/>
        <w:tblCellMar>
          <w:top w:w="0" w:type="dxa"/>
          <w:left w:w="0" w:type="dxa"/>
          <w:bottom w:w="0" w:type="dxa"/>
          <w:right w:w="0" w:type="dxa"/>
        </w:tblCellMar>
      </w:tblPr>
      <w:tblGrid>
        <w:gridCol w:w="595"/>
        <w:gridCol w:w="1909"/>
        <w:gridCol w:w="734"/>
        <w:gridCol w:w="603"/>
        <w:gridCol w:w="1637"/>
        <w:gridCol w:w="740"/>
        <w:gridCol w:w="936"/>
        <w:gridCol w:w="1759"/>
        <w:gridCol w:w="770"/>
      </w:tblGrid>
      <w:tr>
        <w:tblPrEx>
          <w:tblCellMar>
            <w:top w:w="0" w:type="dxa"/>
            <w:left w:w="0" w:type="dxa"/>
            <w:bottom w:w="0" w:type="dxa"/>
            <w:right w:w="0" w:type="dxa"/>
          </w:tblCellMar>
        </w:tblPrEx>
        <w:trPr>
          <w:trHeight w:val="526" w:hRule="atLeast"/>
          <w:jc w:val="center"/>
        </w:trPr>
        <w:tc>
          <w:tcPr>
            <w:tcW w:w="9683"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95"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909"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3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603"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3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936"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529"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478"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78720"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78720;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AyPvTd&#10;AAAADgEAAA8AAAAAAAAAAQAgAAAAIgAAAGRycy9kb3ducmV2LnhtbFBLAQIUABQAAAAIAIdO4kDo&#10;fkePxgIAACYHAAAOAAAAAAAAAAEAIAAAACw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936"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529"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2" w:hRule="atLeast"/>
          <w:jc w:val="center"/>
        </w:trPr>
        <w:tc>
          <w:tcPr>
            <w:tcW w:w="323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44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95"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90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60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63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93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7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95"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9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60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3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93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7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工资福利支出</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4375.78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38.76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307</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债务利息及费用支出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基本工资</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1971.26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30201</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5.55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30701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国内债务付息</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30102</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津贴补贴</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170.43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30202</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30702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国外债务付息</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奖金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459.47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30203</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资本性支出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9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30106</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伙食补助费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30204</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房屋建筑物购建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30107</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绩效工资</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858.84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30205</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1.05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办公设备购置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30108</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ind w:firstLine="150" w:firstLineChars="10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机关事业单位基本养老保险缴费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419.17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30206</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7.77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31003</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专用设备购置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30109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ind w:firstLine="180" w:firstLineChars="10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职业年金缴费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141.78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30207</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2.58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31005</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基础设施建设</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30110</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ind w:firstLine="150" w:firstLineChars="100"/>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5"/>
                <w:szCs w:val="15"/>
                <w:lang w:val="en-US" w:eastAsia="zh-CN"/>
              </w:rPr>
              <w:t>职工基本医疗保险缴费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143.17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30208</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12.25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31006</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大型修缮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公务员医疗补助缴费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30209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31007</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信息网络及软件购置更新</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30112</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其他社会保障缴费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30211</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31008</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物资储备</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住房公积金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209.71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30212</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31009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土地补偿</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30114</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医疗费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30213</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31010</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安置补助</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30199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其他工资福利支出</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1.95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30214</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地上附着物和青苗补偿</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对个人和家庭的补助</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39.47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30215</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拆迁补偿</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30301</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离休费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30216</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0.84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31013</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公务用车购置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30302</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退休费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32.81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30217</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31019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其他交通工具购置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30303</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退职（役）费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30218</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31021</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文物和陈列品购置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30304</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抚恤金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5.12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30224</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31022</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无形资产购置</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30305</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生活补助</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30225</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31099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其他资本性支出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30306</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救济费</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30226</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其他支出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30307</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医疗费补助</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30227</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39906</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赠与</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238"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30308</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助学金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30228</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39907</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国家赔偿费用支出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0"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30309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奖励金</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1.54 </w:t>
            </w: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30229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39908</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 xml:space="preserve"> 对民间非营利组织和群众性自治组织补贴</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30310</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个人农业生产补贴</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30231</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5.00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39999</w:t>
            </w: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其他支出</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30399</w:t>
            </w: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其他对个人和家庭的补助支出</w:t>
            </w: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30239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3.72 </w:t>
            </w: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90"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30240</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425" w:hRule="atLeast"/>
          <w:jc w:val="center"/>
        </w:trPr>
        <w:tc>
          <w:tcPr>
            <w:tcW w:w="595"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9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6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30299</w:t>
            </w:r>
          </w:p>
        </w:tc>
        <w:tc>
          <w:tcPr>
            <w:tcW w:w="163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w:t>
            </w:r>
            <w:r>
              <w:rPr>
                <w:rFonts w:hint="eastAsia" w:ascii="宋体" w:hAnsi="宋体" w:cs="宋体"/>
                <w:color w:val="000000"/>
                <w:kern w:val="0"/>
                <w:sz w:val="15"/>
                <w:szCs w:val="15"/>
                <w:lang w:val="en-US" w:eastAsia="zh-CN"/>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textAlignment w:val="center"/>
              <w:rPr>
                <w:rFonts w:hint="default" w:ascii="宋体" w:hAnsi="宋体" w:cs="宋体"/>
                <w:color w:val="000000"/>
                <w:kern w:val="0"/>
                <w:sz w:val="18"/>
                <w:szCs w:val="18"/>
                <w:lang w:val="en-US" w:eastAsia="zh-CN"/>
              </w:rPr>
            </w:pPr>
          </w:p>
        </w:tc>
        <w:tc>
          <w:tcPr>
            <w:tcW w:w="9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175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default"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17" w:hRule="atLeast"/>
          <w:jc w:val="center"/>
        </w:trPr>
        <w:tc>
          <w:tcPr>
            <w:tcW w:w="2504"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734"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right"/>
              <w:textAlignment w:val="center"/>
              <w:rPr>
                <w:rFonts w:hint="eastAsia" w:ascii="宋体" w:hAnsi="宋体" w:eastAsia="宋体" w:cs="宋体"/>
                <w:color w:val="000000"/>
                <w:kern w:val="0"/>
                <w:sz w:val="18"/>
                <w:szCs w:val="18"/>
                <w:lang w:val="en-US" w:eastAsia="zh-CN" w:bidi="ar-SA"/>
              </w:rPr>
            </w:pPr>
            <w:r>
              <w:rPr>
                <w:rFonts w:hint="default" w:ascii="宋体" w:hAnsi="宋体" w:eastAsia="宋体" w:cs="宋体"/>
                <w:color w:val="000000"/>
                <w:kern w:val="0"/>
                <w:sz w:val="18"/>
                <w:szCs w:val="18"/>
                <w:lang w:val="en-US" w:eastAsia="zh-CN" w:bidi="ar-SA"/>
              </w:rPr>
              <w:t xml:space="preserve">4415.24 </w:t>
            </w:r>
          </w:p>
        </w:tc>
        <w:tc>
          <w:tcPr>
            <w:tcW w:w="5675"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77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eastAsia="宋体" w:cs="宋体"/>
                <w:color w:val="000000"/>
                <w:kern w:val="0"/>
                <w:sz w:val="18"/>
                <w:szCs w:val="18"/>
                <w:lang w:val="en-US" w:eastAsia="zh-CN" w:bidi="ar-SA"/>
              </w:rPr>
            </w:pPr>
            <w:r>
              <w:rPr>
                <w:rFonts w:hint="eastAsia" w:ascii="宋体" w:hAnsi="宋体" w:eastAsia="宋体" w:cs="宋体"/>
                <w:color w:val="000000"/>
                <w:kern w:val="0"/>
                <w:sz w:val="18"/>
                <w:szCs w:val="18"/>
                <w:lang w:val="en-US" w:eastAsia="zh-CN" w:bidi="ar-SA"/>
              </w:rPr>
              <w:t>38.76</w:t>
            </w:r>
          </w:p>
        </w:tc>
      </w:tr>
      <w:tr>
        <w:tblPrEx>
          <w:tblCellMar>
            <w:top w:w="0" w:type="dxa"/>
            <w:left w:w="0" w:type="dxa"/>
            <w:bottom w:w="0" w:type="dxa"/>
            <w:right w:w="0" w:type="dxa"/>
          </w:tblCellMar>
        </w:tblPrEx>
        <w:trPr>
          <w:trHeight w:val="277" w:hRule="atLeast"/>
          <w:jc w:val="center"/>
        </w:trPr>
        <w:tc>
          <w:tcPr>
            <w:tcW w:w="9683"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1134" w:right="1134" w:bottom="1134" w:left="1134" w:header="851" w:footer="992" w:gutter="0"/>
          <w:cols w:space="0" w:num="1"/>
          <w:rtlGutter w:val="0"/>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79744"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anchorCtr="0"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7974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Okj29D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095" w:type="dxa"/>
        <w:tblInd w:w="-561" w:type="dxa"/>
        <w:tblLayout w:type="fixed"/>
        <w:tblCellMar>
          <w:top w:w="0" w:type="dxa"/>
          <w:left w:w="0" w:type="dxa"/>
          <w:bottom w:w="0" w:type="dxa"/>
          <w:right w:w="0" w:type="dxa"/>
        </w:tblCellMar>
      </w:tblPr>
      <w:tblGrid>
        <w:gridCol w:w="270"/>
        <w:gridCol w:w="270"/>
        <w:gridCol w:w="270"/>
        <w:gridCol w:w="1386"/>
        <w:gridCol w:w="1464"/>
        <w:gridCol w:w="855"/>
        <w:gridCol w:w="930"/>
        <w:gridCol w:w="1050"/>
        <w:gridCol w:w="1035"/>
        <w:gridCol w:w="1005"/>
        <w:gridCol w:w="1560"/>
      </w:tblGrid>
      <w:tr>
        <w:tblPrEx>
          <w:tblCellMar>
            <w:top w:w="0" w:type="dxa"/>
            <w:left w:w="0" w:type="dxa"/>
            <w:bottom w:w="0" w:type="dxa"/>
            <w:right w:w="0" w:type="dxa"/>
          </w:tblCellMar>
        </w:tblPrEx>
        <w:trPr>
          <w:trHeight w:val="707" w:hRule="atLeast"/>
        </w:trPr>
        <w:tc>
          <w:tcPr>
            <w:tcW w:w="10095"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anchorCtr="0"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RpoJ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7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7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7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38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319"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3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5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35"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05"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6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4515"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93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5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35"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565"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3660"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85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3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09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56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810"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850"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03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00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81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285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5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3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0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810"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285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5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5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3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0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56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366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3660"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合计</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1613.51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城乡社区支出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1647.91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1613.51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国有土地使用权出让收入及对应专项债务收入安排的支出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2120803</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城市建设支出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1287.59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城市基础设施配套费及对应专项债务收入安排的支出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2121301</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城市公共设施</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14.00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污水处理费及对应专项债务收入安排的支出</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346.33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346.33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2121401</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污水处理设施建设和运营</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311.93 </w:t>
            </w: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81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2121402</w:t>
            </w:r>
          </w:p>
        </w:tc>
        <w:tc>
          <w:tcPr>
            <w:tcW w:w="28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 xml:space="preserve">  代征手续费</w:t>
            </w:r>
          </w:p>
        </w:tc>
        <w:tc>
          <w:tcPr>
            <w:tcW w:w="85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c>
          <w:tcPr>
            <w:tcW w:w="9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3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r>
              <w:rPr>
                <w:rFonts w:hint="default" w:ascii="宋体" w:hAnsi="宋体" w:cs="宋体"/>
                <w:color w:val="000000"/>
                <w:kern w:val="0"/>
                <w:sz w:val="18"/>
                <w:szCs w:val="18"/>
                <w:lang w:val="en-US" w:eastAsia="zh-CN"/>
              </w:rPr>
              <w:t xml:space="preserve">34.40 </w:t>
            </w:r>
          </w:p>
        </w:tc>
        <w:tc>
          <w:tcPr>
            <w:tcW w:w="100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default" w:ascii="宋体" w:hAnsi="宋体" w:cs="宋体"/>
                <w:color w:val="000000"/>
                <w:kern w:val="0"/>
                <w:sz w:val="18"/>
                <w:szCs w:val="18"/>
                <w:lang w:val="en-US" w:eastAsia="zh-CN"/>
              </w:rPr>
            </w:pPr>
          </w:p>
        </w:tc>
        <w:tc>
          <w:tcPr>
            <w:tcW w:w="1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textAlignment w:val="center"/>
              <w:rPr>
                <w:rFonts w:hint="eastAsia" w:ascii="宋体" w:hAnsi="宋体" w:cs="宋体"/>
                <w:color w:val="000000"/>
                <w:kern w:val="0"/>
                <w:sz w:val="18"/>
                <w:szCs w:val="18"/>
                <w:lang w:val="en-US" w:eastAsia="zh-CN"/>
              </w:rPr>
            </w:pPr>
          </w:p>
        </w:tc>
      </w:tr>
      <w:tr>
        <w:tblPrEx>
          <w:tblCellMar>
            <w:top w:w="0" w:type="dxa"/>
            <w:left w:w="0" w:type="dxa"/>
            <w:bottom w:w="0" w:type="dxa"/>
            <w:right w:w="0" w:type="dxa"/>
          </w:tblCellMar>
        </w:tblPrEx>
        <w:trPr>
          <w:trHeight w:val="324" w:hRule="atLeast"/>
        </w:trPr>
        <w:tc>
          <w:tcPr>
            <w:tcW w:w="10095"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anchorCtr="0"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CbM7tu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rPr>
              <w:t>注：本</w:t>
            </w:r>
            <w:r>
              <w:rPr>
                <w:rFonts w:hint="eastAsia" w:ascii="宋体" w:hAnsi="宋体" w:cs="宋体"/>
                <w:color w:val="000000"/>
                <w:kern w:val="0"/>
                <w:sz w:val="22"/>
                <w:szCs w:val="22"/>
                <w:lang w:val="en-US" w:eastAsia="zh-CN"/>
              </w:rPr>
              <w:t>单位</w:t>
            </w:r>
            <w:r>
              <w:rPr>
                <w:rFonts w:hint="eastAsia" w:ascii="宋体" w:hAnsi="宋体" w:cs="宋体"/>
                <w:color w:val="000000"/>
                <w:kern w:val="0"/>
                <w:sz w:val="22"/>
                <w:szCs w:val="22"/>
              </w:rPr>
              <w:t>本年度</w:t>
            </w:r>
            <w:r>
              <w:rPr>
                <w:rFonts w:hint="eastAsia" w:ascii="宋体" w:hAnsi="宋体" w:cs="宋体"/>
                <w:color w:val="000000"/>
                <w:kern w:val="0"/>
                <w:sz w:val="22"/>
                <w:szCs w:val="22"/>
                <w:lang w:val="en-US" w:eastAsia="zh-CN"/>
              </w:rPr>
              <w:t>无</w:t>
            </w:r>
            <w:r>
              <w:rPr>
                <w:rFonts w:hint="eastAsia" w:ascii="宋体" w:hAnsi="宋体" w:cs="宋体"/>
                <w:color w:val="000000"/>
                <w:kern w:val="0"/>
                <w:sz w:val="22"/>
                <w:szCs w:val="22"/>
              </w:rPr>
              <w:t>国有资本经营预算财政拨款支出情况</w:t>
            </w:r>
            <w:r>
              <w:rPr>
                <w:rFonts w:hint="eastAsia" w:ascii="宋体" w:hAnsi="宋体" w:cs="宋体"/>
                <w:color w:val="000000"/>
                <w:kern w:val="0"/>
                <w:sz w:val="22"/>
                <w:szCs w:val="22"/>
                <w:lang w:val="en-US" w:eastAsia="zh-CN"/>
              </w:rPr>
              <w:t>,按要求以空表列示。</w:t>
            </w:r>
          </w:p>
          <w:p>
            <w:pPr>
              <w:widowControl/>
              <w:spacing w:after="0" w:line="240" w:lineRule="auto"/>
              <w:jc w:val="left"/>
              <w:textAlignment w:val="center"/>
              <w:rPr>
                <w:rFonts w:hint="eastAsia" w:ascii="宋体" w:hAnsi="宋体" w:cs="宋体"/>
                <w:color w:val="000000"/>
                <w:kern w:val="0"/>
                <w:sz w:val="22"/>
                <w:szCs w:val="22"/>
              </w:rPr>
            </w:pPr>
          </w:p>
        </w:tc>
      </w:tr>
    </w:tbl>
    <w:p>
      <w:pPr>
        <w:widowControl/>
        <w:spacing w:after="0" w:line="240" w:lineRule="auto"/>
        <w:jc w:val="left"/>
        <w:textAlignment w:val="center"/>
        <w:rPr>
          <w:rFonts w:hint="eastAsia" w:ascii="仿宋_GB2312" w:hAnsi="仿宋_GB2312" w:eastAsia="仿宋_GB2312" w:cs="仿宋_GB2312"/>
          <w:color w:val="000000"/>
          <w:kern w:val="0"/>
          <w:sz w:val="32"/>
          <w:szCs w:val="32"/>
          <w:lang w:val="en-US" w:eastAsia="zh-CN"/>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anchorCtr="0"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JpSytwAAAAN&#10;AQAADwAAAAAAAAABACAAAAAiAAAAZHJzL2Rvd25yZXYueG1sUEsBAhQAFAAAAAgAh07iQP2QwFHD&#10;AgAAJgcAAA4AAAAAAAAAAQAgAAAAKw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183.20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anchorCtr="0"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ydwedcI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J3B51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ind w:firstLine="576"/>
        <w:rPr>
          <w:rFonts w:hint="eastAsia"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p>
    <w:p>
      <w:pPr>
        <w:ind w:firstLine="576"/>
        <w:rPr>
          <w:rFonts w:hint="eastAsia"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年度支出总计</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p>
    <w:p>
      <w:pPr>
        <w:numPr>
          <w:ilvl w:val="0"/>
          <w:numId w:val="1"/>
        </w:numPr>
        <w:ind w:firstLine="576"/>
        <w:rPr>
          <w:rFonts w:hint="eastAsia" w:ascii="黑体" w:hAnsi="Calibri" w:eastAsia="黑体" w:cs="Times New Roman"/>
          <w:b w:val="0"/>
          <w:bCs w:val="0"/>
          <w:kern w:val="2"/>
          <w:sz w:val="32"/>
          <w:szCs w:val="32"/>
          <w:lang w:val="en-US" w:eastAsia="zh-CN" w:bidi="ar-SA"/>
        </w:rPr>
      </w:pPr>
      <w:r>
        <w:rPr>
          <w:rFonts w:hint="eastAsia" w:ascii="黑体" w:hAnsi="Calibri" w:eastAsia="黑体" w:cs="Times New Roman"/>
          <w:b w:val="0"/>
          <w:bCs w:val="0"/>
          <w:kern w:val="2"/>
          <w:sz w:val="32"/>
          <w:szCs w:val="32"/>
          <w:lang w:val="en-US" w:eastAsia="zh-CN" w:bidi="ar-SA"/>
        </w:rPr>
        <w:t>收入决算情况说明</w:t>
      </w:r>
    </w:p>
    <w:p>
      <w:pPr>
        <w:numPr>
          <w:ilvl w:val="0"/>
          <w:numId w:val="0"/>
        </w:numPr>
        <w:ind w:firstLine="640" w:firstLineChars="200"/>
        <w:rPr>
          <w:rFonts w:hint="eastAsia" w:ascii="黑体" w:eastAsia="仿宋_GB2312"/>
          <w:b w:val="0"/>
          <w:bCs w:val="0"/>
          <w:lang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均为</w:t>
      </w:r>
      <w:r>
        <w:rPr>
          <w:rFonts w:hint="eastAsia" w:ascii="仿宋_GB2312" w:eastAsia="仿宋_GB2312" w:cs="DengXian-Regular"/>
          <w:sz w:val="32"/>
          <w:szCs w:val="32"/>
        </w:rPr>
        <w:t>财政拨款收入</w:t>
      </w:r>
      <w:r>
        <w:rPr>
          <w:rFonts w:hint="eastAsia" w:ascii="仿宋_GB2312" w:eastAsia="仿宋_GB2312" w:cs="DengXian-Regular"/>
          <w:sz w:val="32"/>
          <w:szCs w:val="32"/>
          <w:lang w:eastAsia="zh-CN"/>
        </w:rPr>
        <w:t>，占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4488.41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36</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8080.29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64</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无</w:t>
      </w:r>
      <w:r>
        <w:rPr>
          <w:rFonts w:hint="eastAsia" w:ascii="仿宋_GB2312" w:eastAsia="仿宋_GB2312" w:cs="DengXian-Regular"/>
          <w:sz w:val="32"/>
          <w:szCs w:val="32"/>
        </w:rPr>
        <w:t>经营支出。</w:t>
      </w:r>
      <w:r>
        <mc:AlternateContent>
          <mc:Choice Requires="wpg">
            <w:drawing>
              <wp:anchor distT="0" distB="0" distL="114300" distR="114300" simplePos="0" relativeHeight="251683840"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2"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79.5pt;margin-top:29.3pt;height:43.95pt;width:301.85pt;mso-position-vertical-relative:page;z-index:251683840;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BZfHl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420" w:firstLineChars="200"/>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hint="eastAsia" w:ascii="仿宋_GB2312" w:eastAsia="仿宋_GB2312" w:cs="DengXian-Regular"/>
          <w:sz w:val="32"/>
          <w:szCs w:val="32"/>
          <w:lang w:val="en-US" w:eastAsia="zh-CN"/>
        </w:rPr>
        <w:t>上</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8683.24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223.48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2、新增城区及城乡清扫保洁费、污水处理运转经费、市政路灯电费、绿化养护等专项经费。</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10920.79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7177.11</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10920.79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7177.11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181</w:t>
      </w:r>
      <w:r>
        <w:rPr>
          <w:rFonts w:ascii="仿宋_GB2312" w:eastAsia="仿宋_GB2312" w:cs="DengXian-Regular"/>
          <w:sz w:val="32"/>
          <w:szCs w:val="32"/>
        </w:rPr>
        <w:t>%</w:t>
      </w:r>
      <w:r>
        <w:rPr>
          <w:rFonts w:hint="eastAsia" w:ascii="仿宋_GB2312" w:eastAsia="仿宋_GB2312" w:cs="DengXian-Regular"/>
          <w:sz w:val="32"/>
          <w:szCs w:val="32"/>
        </w:rPr>
        <w:t>，主要是主要是</w:t>
      </w:r>
      <w:r>
        <w:rPr>
          <w:rFonts w:hint="eastAsia" w:ascii="仿宋_GB2312" w:eastAsia="仿宋_GB2312" w:cs="DengXian-Regular"/>
          <w:sz w:val="32"/>
          <w:szCs w:val="32"/>
          <w:lang w:val="en-US" w:eastAsia="zh-CN"/>
        </w:rPr>
        <w:t>1、新增保定市满城区市政维护管理处和保定市满城区市场建设服务中心两个下属单位，新增两个单位人员</w:t>
      </w:r>
      <w:r>
        <w:rPr>
          <w:rFonts w:hint="eastAsia" w:ascii="仿宋_GB2312" w:eastAsia="仿宋_GB2312" w:cs="DengXian-Regular"/>
          <w:sz w:val="32"/>
          <w:szCs w:val="32"/>
        </w:rPr>
        <w:t>工资及保险</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工资及保险上涨和补发以前年度工资。</w:t>
      </w:r>
      <w:r>
        <w:rPr>
          <w:rFonts w:hint="eastAsia" w:ascii="仿宋_GB2312" w:eastAsia="仿宋_GB2312" w:cs="DengXian-Regular"/>
          <w:sz w:val="32"/>
          <w:szCs w:val="32"/>
          <w:lang w:val="en-US" w:eastAsia="zh-CN"/>
        </w:rPr>
        <w:t>2、新增城区及城乡清扫保洁费等专项经费</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1647.91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1506.13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1062.00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污水处理运转经费、市政路灯电费、绿化养护递增等专项经费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1647.91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1506.13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1062.00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污水处理运转经费、市政路灯电费、绿化养护递增等专项经费</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12568.7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104.00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471.94</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增加环境卫生清扫保洁、垃圾处理等专项经费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104.00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471.94</w:t>
      </w:r>
      <w:r>
        <w:rPr>
          <w:rFonts w:hint="eastAsia" w:ascii="仿宋_GB2312" w:eastAsia="仿宋_GB2312" w:cs="DengXian-Regular"/>
          <w:sz w:val="32"/>
          <w:szCs w:val="32"/>
        </w:rPr>
        <w:t>万元，决算数大于预算数主要原因是主要是</w:t>
      </w:r>
      <w:r>
        <w:rPr>
          <w:rFonts w:hint="eastAsia" w:ascii="仿宋_GB2312" w:eastAsia="仿宋_GB2312" w:cs="DengXian-Regular"/>
          <w:sz w:val="32"/>
          <w:szCs w:val="32"/>
          <w:lang w:val="en-US" w:eastAsia="zh-CN"/>
        </w:rPr>
        <w:t>增加环境卫生清扫保洁、垃圾处理等专项经费</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104.00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830.43</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增加地表水厂处理费等专项支出</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104.00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830.43</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增加环境卫生清扫保洁、垃圾处理等专项经费</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82.00</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358.49</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年底部分专项经费未拨付</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82.00</w:t>
      </w:r>
      <w:r>
        <w:rPr>
          <w:rFonts w:ascii="仿宋_GB2312" w:eastAsia="仿宋_GB2312" w:cs="DengXian-Regular"/>
          <w:sz w:val="32"/>
          <w:szCs w:val="32"/>
        </w:rPr>
        <w:t>%</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358.49</w:t>
      </w:r>
      <w:r>
        <w:rPr>
          <w:rFonts w:hint="eastAsia" w:ascii="仿宋_GB2312" w:eastAsia="仿宋_GB2312" w:cs="DengXian-Regular"/>
          <w:sz w:val="32"/>
          <w:szCs w:val="32"/>
        </w:rPr>
        <w:t>万元，主要是</w:t>
      </w:r>
      <w:r>
        <w:rPr>
          <w:rFonts w:hint="eastAsia" w:ascii="仿宋_GB2312" w:eastAsia="仿宋_GB2312" w:cs="DengXian-Regular"/>
          <w:sz w:val="32"/>
          <w:szCs w:val="32"/>
          <w:lang w:val="en-US" w:eastAsia="zh-CN"/>
        </w:rPr>
        <w:t>年底部分专项经费未拨付</w:t>
      </w:r>
      <w:r>
        <w:rPr>
          <w:rFonts w:hint="eastAsia" w:ascii="仿宋_GB2312" w:eastAsia="仿宋_GB2312" w:cs="DengXian-Regular"/>
          <w:sz w:val="32"/>
          <w:szCs w:val="32"/>
        </w:rPr>
        <w:t>。</w:t>
      </w:r>
    </w:p>
    <w:p>
      <w:pPr>
        <w:numPr>
          <w:ilvl w:val="0"/>
          <w:numId w:val="0"/>
        </w:numPr>
        <w:adjustRightInd w:val="0"/>
        <w:snapToGrid w:val="0"/>
        <w:spacing w:after="0" w:line="580" w:lineRule="exact"/>
        <w:ind w:leftChars="0" w:firstLine="643" w:firstLineChars="200"/>
        <w:rPr>
          <w:rFonts w:ascii="楷体_GB2312" w:eastAsia="楷体_GB2312" w:cs="DengXian-Bold"/>
          <w:b/>
          <w:bCs/>
          <w:sz w:val="32"/>
          <w:szCs w:val="32"/>
        </w:rPr>
      </w:pP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三</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12568.70</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一般公共服务支出</w:t>
      </w:r>
      <w:r>
        <w:rPr>
          <w:rFonts w:hint="eastAsia" w:ascii="仿宋_GB2312" w:eastAsia="仿宋_GB2312" w:cs="DengXian-Regular"/>
          <w:sz w:val="32"/>
          <w:szCs w:val="32"/>
          <w:lang w:val="en-US" w:eastAsia="zh-CN"/>
        </w:rPr>
        <w:t>536.00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4.26</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节能环保</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4.88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0.04</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城乡社区</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12011.82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95.57</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16.00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0.13</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numPr>
          <w:ilvl w:val="0"/>
          <w:numId w:val="0"/>
        </w:numPr>
        <w:adjustRightInd w:val="0"/>
        <w:snapToGrid w:val="0"/>
        <w:spacing w:after="0" w:line="580" w:lineRule="exact"/>
        <w:ind w:firstLine="630" w:firstLineChars="300"/>
        <w:rPr>
          <w:rFonts w:hint="eastAsia" w:ascii="楷体_GB2312" w:eastAsia="楷体_GB2312" w:cs="DengXian-Bold"/>
          <w:b/>
          <w:bCs/>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Alq&#10;tyLHAgAAJgcAAA4AAAAAAAAAAQAgAAAAKg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lang w:val="en-US" w:eastAsia="zh-CN"/>
        </w:rPr>
        <w:t>四</w:t>
      </w:r>
      <w:r>
        <w:rPr>
          <w:rFonts w:hint="eastAsia" w:ascii="楷体_GB2312" w:eastAsia="楷体_GB2312" w:cs="DengXian-Bold"/>
          <w:b/>
          <w:bCs/>
          <w:sz w:val="32"/>
          <w:szCs w:val="32"/>
          <w:lang w:eastAsia="zh-CN"/>
        </w:rPr>
        <w:t>）</w:t>
      </w:r>
      <w:r>
        <w:rPr>
          <w:rFonts w:hint="eastAsia" w:ascii="楷体_GB2312" w:eastAsia="楷体_GB2312" w:cs="DengXian-Bold"/>
          <w:b/>
          <w:bCs/>
          <w:sz w:val="32"/>
          <w:szCs w:val="32"/>
        </w:rPr>
        <w:t>一般公共预算财政拨款基本支出决算情况说明</w:t>
      </w:r>
    </w:p>
    <w:p>
      <w:pPr>
        <w:numPr>
          <w:ilvl w:val="0"/>
          <w:numId w:val="0"/>
        </w:numPr>
        <w:adjustRightInd w:val="0"/>
        <w:snapToGrid w:val="0"/>
        <w:spacing w:after="0" w:line="580" w:lineRule="exact"/>
        <w:ind w:firstLine="630" w:firstLineChars="300"/>
        <w:rPr>
          <w:rFonts w:ascii="仿宋_GB2312" w:eastAsia="仿宋_GB2312" w:cs="DengXian-Regular"/>
          <w:sz w:val="32"/>
          <w:szCs w:val="32"/>
        </w:rPr>
      </w:pPr>
      <w: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3" name="矩形 13"/>
                        <wps:cNvSpPr/>
                        <wps:spPr>
                          <a:xfrm>
                            <a:off x="4551" y="52615"/>
                            <a:ext cx="8546" cy="1175"/>
                          </a:xfrm>
                          <a:prstGeom prst="rect">
                            <a:avLst/>
                          </a:prstGeom>
                          <a:solidFill>
                            <a:srgbClr val="96DA9D"/>
                          </a:solidFill>
                          <a:ln w="25400">
                            <a:noFill/>
                          </a:ln>
                        </wps:spPr>
                        <wps:bodyPr anchor="ctr" anchorCtr="0" upright="1"/>
                      </wps:wsp>
                      <wps:wsp>
                        <wps:cNvPr id="9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23"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Cfxj4bE&#10;AgAAJ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dG1bf7sAAADb&#10;AAAADwAAAGRycy9kb3ducmV2LnhtbEWPQUsDMRSE70L/Q3gFb+3LK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1bf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QDKn74AAADb&#10;AAAADwAAAGRycy9kb3ducmV2LnhtbEWP3WoCMRSE7wXfIZxC7zSrl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Kn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4454.00</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4415.24</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38.76</w:t>
      </w:r>
      <w:r>
        <w:rPr>
          <w:rFonts w:hint="eastAsia" w:ascii="仿宋_GB2312" w:eastAsia="仿宋_GB2312" w:cs="DengXian-Regular"/>
          <w:sz w:val="32"/>
          <w:szCs w:val="32"/>
        </w:rPr>
        <w:t>万元，主要包括办公费、水费、电费、邮电费、取暖费、培训费、公务用车运行维护费、其他交通费用。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5.00</w:t>
      </w:r>
      <w:r>
        <w:rPr>
          <w:rFonts w:hint="eastAsia" w:ascii="仿宋_GB2312" w:eastAsia="仿宋_GB2312" w:cs="DengXian-Regular"/>
          <w:sz w:val="32"/>
          <w:szCs w:val="32"/>
        </w:rPr>
        <w:t>万元，较年初预算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无增长</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我单位</w:t>
      </w:r>
      <w:r>
        <w:rPr>
          <w:rFonts w:hint="eastAsia" w:ascii="仿宋_GB2312" w:eastAsia="仿宋_GB2312" w:cs="DengXian-Regular"/>
          <w:sz w:val="32"/>
          <w:szCs w:val="32"/>
        </w:rPr>
        <w:t>认真贯彻落实中央八项规定精神和厉行节约要求，从严控制“三公”经费开支，全年实际支出具体情况如下：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K3zOWL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w:t>
      </w:r>
      <w:r>
        <w:rPr>
          <w:rFonts w:hint="eastAsia" w:ascii="楷体_GB2312" w:eastAsia="楷体_GB2312" w:cs="DengXian-Bold"/>
          <w:b/>
          <w:bCs/>
          <w:sz w:val="32"/>
          <w:szCs w:val="32"/>
          <w:lang w:val="en-US" w:eastAsia="zh-CN"/>
        </w:rPr>
        <w:t>无</w:t>
      </w:r>
      <w:r>
        <w:rPr>
          <w:rFonts w:hint="eastAsia" w:ascii="楷体_GB2312" w:eastAsia="楷体_GB2312" w:cs="DengXian-Bold"/>
          <w:b/>
          <w:bCs/>
          <w:sz w:val="32"/>
          <w:szCs w:val="32"/>
        </w:rPr>
        <w:t>因公出国（境）费支出。</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eastAsia="仿宋_GB2312" w:cs="DengXian-Regular"/>
          <w:sz w:val="32"/>
          <w:szCs w:val="32"/>
          <w:lang w:val="en-US" w:eastAsia="zh-CN"/>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5.00</w:t>
      </w:r>
      <w:r>
        <w:rPr>
          <w:rFonts w:hint="eastAsia" w:ascii="楷体_GB2312" w:eastAsia="楷体_GB2312" w:cs="DengXian-Bold"/>
          <w:b/>
          <w:bCs/>
          <w:sz w:val="32"/>
          <w:szCs w:val="32"/>
        </w:rPr>
        <w:t>万元。</w:t>
      </w: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单位</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w:t>
      </w:r>
      <w:r>
        <w:rPr>
          <w:rFonts w:hint="eastAsia" w:ascii="仿宋_GB2312" w:eastAsia="仿宋_GB2312" w:cs="DengXian-Regular"/>
          <w:sz w:val="32"/>
          <w:szCs w:val="32"/>
          <w:lang w:val="en-US" w:eastAsia="zh-CN"/>
        </w:rPr>
        <w:t>持平，无增减</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b/>
          <w:sz w:val="32"/>
          <w:szCs w:val="32"/>
          <w:lang w:eastAsia="zh-CN"/>
        </w:rPr>
      </w:pPr>
      <w:r>
        <w:rPr>
          <w:rFonts w:hint="eastAsia" w:ascii="仿宋_GB2312" w:eastAsia="仿宋_GB2312" w:cs="DengXian-Regular"/>
          <w:b/>
          <w:sz w:val="32"/>
          <w:szCs w:val="32"/>
          <w:lang w:val="en-US" w:eastAsia="zh-CN"/>
        </w:rPr>
        <w:t>1、未发生</w:t>
      </w:r>
      <w:r>
        <w:rPr>
          <w:rFonts w:hint="eastAsia" w:ascii="仿宋_GB2312" w:eastAsia="仿宋_GB2312" w:cs="DengXian-Regular"/>
          <w:b/>
          <w:sz w:val="32"/>
          <w:szCs w:val="32"/>
        </w:rPr>
        <w:t>公务用车购置费</w:t>
      </w:r>
      <w:r>
        <w:rPr>
          <w:rFonts w:hint="eastAsia" w:ascii="仿宋_GB2312" w:eastAsia="仿宋_GB2312" w:cs="DengXian-Regular"/>
          <w:b/>
          <w:sz w:val="32"/>
          <w:szCs w:val="32"/>
          <w:lang w:eastAsia="zh-CN"/>
        </w:rPr>
        <w:t>。</w:t>
      </w:r>
    </w:p>
    <w:p>
      <w:pPr>
        <w:adjustRightInd w:val="0"/>
        <w:snapToGrid w:val="0"/>
        <w:spacing w:after="0" w:line="580" w:lineRule="exact"/>
        <w:ind w:firstLine="640" w:firstLineChars="200"/>
        <w:rPr>
          <w:rFonts w:hint="eastAsia" w:ascii="仿宋_GB2312" w:eastAsia="仿宋_GB2312" w:cs="DengXian-Regular"/>
          <w:b/>
          <w:sz w:val="32"/>
          <w:szCs w:val="32"/>
          <w:lang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万元。公务用车购置费支出较预算增加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lang w:val="en-US" w:eastAsia="zh-CN"/>
        </w:rPr>
        <w:t>2、</w:t>
      </w: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单位</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val="en-US" w:eastAsia="zh-CN"/>
        </w:rPr>
        <w:t>无增减</w:t>
      </w:r>
      <w:r>
        <w:rPr>
          <w:rFonts w:hint="eastAsia" w:ascii="仿宋_GB2312" w:eastAsia="仿宋_GB2312" w:cs="DengXian-Regular"/>
          <w:sz w:val="32"/>
          <w:szCs w:val="32"/>
        </w:rPr>
        <w:t>。</w:t>
      </w:r>
    </w:p>
    <w:p>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楷体_GB2312" w:eastAsia="楷体_GB2312" w:cs="DengXian-Bold"/>
          <w:b/>
          <w:bCs/>
          <w:sz w:val="32"/>
          <w:szCs w:val="32"/>
        </w:rPr>
        <w:t>（三）</w:t>
      </w:r>
      <w:r>
        <w:rPr>
          <w:rFonts w:hint="eastAsia" w:ascii="楷体_GB2312" w:eastAsia="楷体_GB2312" w:cs="DengXian-Bold"/>
          <w:b/>
          <w:bCs/>
          <w:sz w:val="32"/>
          <w:szCs w:val="32"/>
          <w:lang w:val="en-US" w:eastAsia="zh-CN"/>
        </w:rPr>
        <w:t>无</w:t>
      </w:r>
      <w:r>
        <w:rPr>
          <w:rFonts w:hint="eastAsia" w:ascii="楷体_GB2312" w:eastAsia="楷体_GB2312" w:cs="DengXian-Bold"/>
          <w:b/>
          <w:bCs/>
          <w:sz w:val="32"/>
          <w:szCs w:val="32"/>
        </w:rPr>
        <w:t>公务接待费支出。</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bookmarkStart w:id="0" w:name="_GoBack"/>
      <w:bookmarkEnd w:id="0"/>
      <w:r>
        <w:rPr>
          <w:rFonts w:hint="eastAsia" w:ascii="仿宋_GB2312" w:eastAsia="仿宋_GB2312" w:cs="DengXian-Regular"/>
          <w:sz w:val="32"/>
          <w:szCs w:val="32"/>
        </w:rPr>
        <w:t>八项规定精神和厉行节约要求从严控制“三公”经费开支</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420" w:firstLineChars="200"/>
        <w:rPr>
          <w:rFonts w:hint="eastAsia" w:ascii="仿宋_GB2312" w:eastAsia="仿宋_GB2312" w:cs="DengXian-Regular"/>
          <w:b w:val="0"/>
          <w:bCs w:val="0"/>
          <w:sz w:val="32"/>
          <w:szCs w:val="32"/>
          <w:highlight w:val="none"/>
          <w:lang w:val="en-US" w:eastAsia="zh-CN"/>
        </w:rPr>
      </w:pPr>
      <w:r>
        <w:rPr>
          <w:b w:val="0"/>
          <w:bCs w:val="0"/>
          <w:highlight w:val="none"/>
        </w:rP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PVZ87f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r>
        <w:rPr>
          <w:rFonts w:hint="eastAsia" w:ascii="仿宋_GB2312" w:eastAsia="仿宋_GB2312" w:cs="DengXian-Regular"/>
          <w:sz w:val="32"/>
          <w:szCs w:val="32"/>
          <w:lang w:eastAsia="zh-CN"/>
        </w:rPr>
        <w:t>根据预算绩效管理要求，本部门组织对</w:t>
      </w:r>
      <w:r>
        <w:rPr>
          <w:rFonts w:hint="eastAsia" w:ascii="仿宋_GB2312" w:eastAsia="仿宋_GB2312" w:cs="DengXian-Regular"/>
          <w:sz w:val="32"/>
          <w:szCs w:val="32"/>
          <w:lang w:val="en-US" w:eastAsia="zh-CN"/>
        </w:rPr>
        <w:t>2018年度一般公共预算项目支出全面开展绩效自评，全年专项资金共支出8080.29万元。从评价情况来看，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地实现了预算项目绩效目标。</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（二）项目绩效自评结果。我单位主要采取自行监控模式，按照预算绩效运行的管理制度要求和有关规定</w:t>
      </w:r>
      <w:r>
        <w:rPr>
          <w:rFonts w:hint="eastAsia" w:ascii="仿宋_GB2312" w:eastAsia="仿宋_GB2312" w:cs="DengXian-Regular"/>
          <w:sz w:val="32"/>
          <w:szCs w:val="32"/>
          <w:lang w:eastAsia="zh-CN"/>
        </w:rPr>
        <w:t>，</w:t>
      </w:r>
      <w:r>
        <w:rPr>
          <w:rFonts w:hint="eastAsia" w:ascii="仿宋_GB2312" w:eastAsia="仿宋_GB2312" w:cs="DengXian-Regular"/>
          <w:sz w:val="32"/>
          <w:szCs w:val="32"/>
        </w:rPr>
        <w:t>对照项目绩效目标，完善项目支出责任制度，提高支出执行的及时性、均衡性和有效性；及时掌握项目绩效目标的完成情况、项目实施进度和资金支付进度；争取保障资金支付与工程量相对应；当项目执行绩效与绩效目标发生偏离时，及时报告，并采取相应措施予以纠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不存在项目执行绩效与绩效目标发生</w:t>
      </w:r>
      <w:r>
        <w:rPr>
          <w:rFonts w:hint="eastAsia" w:ascii="宋体" w:hAnsi="宋体" w:cs="宋体"/>
          <w:sz w:val="32"/>
          <w:szCs w:val="32"/>
        </w:rPr>
        <w:t>偏</w:t>
      </w:r>
      <w:r>
        <w:rPr>
          <w:rFonts w:hint="eastAsia" w:ascii="仿宋_GB2312" w:hAnsi="仿宋_GB2312" w:eastAsia="仿宋_GB2312" w:cs="仿宋_GB2312"/>
          <w:sz w:val="32"/>
          <w:szCs w:val="32"/>
        </w:rPr>
        <w:t>离情况</w:t>
      </w:r>
      <w:r>
        <w:rPr>
          <w:rFonts w:hint="eastAsia" w:ascii="仿宋_GB2312" w:hAnsi="仿宋_GB2312" w:eastAsia="仿宋_GB2312" w:cs="仿宋_GB2312"/>
          <w:sz w:val="32"/>
          <w:szCs w:val="32"/>
          <w:lang w:eastAsia="zh-CN"/>
        </w:rPr>
        <w:t>。</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（三）重点项目绩效评价结果。</w:t>
      </w:r>
      <w:r>
        <w:rPr>
          <w:rFonts w:hint="eastAsia" w:ascii="仿宋_GB2312" w:eastAsia="仿宋_GB2312" w:cs="DengXian-Regular"/>
          <w:sz w:val="32"/>
          <w:szCs w:val="32"/>
          <w:lang w:val="en-US" w:eastAsia="zh-CN"/>
        </w:rPr>
        <w:t>无</w:t>
      </w:r>
      <w:r>
        <w:rPr>
          <w:rFonts w:hint="eastAsia" w:ascii="仿宋_GB2312" w:eastAsia="仿宋_GB2312" w:cs="DengXian-Regular"/>
          <w:sz w:val="32"/>
          <w:szCs w:val="32"/>
        </w:rPr>
        <w:t>重点项目绩效评价</w:t>
      </w:r>
      <w:r>
        <w:rPr>
          <w:rFonts w:hint="eastAsia" w:ascii="仿宋_GB2312" w:eastAsia="仿宋_GB2312" w:cs="DengXian-Regular"/>
          <w:sz w:val="32"/>
          <w:szCs w:val="32"/>
          <w:lang w:val="en-US"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38.76</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7.56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16.00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压缩办公费用，减少单位日常运行费用。</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snapToGrid w:val="0"/>
        <w:spacing w:line="580" w:lineRule="exact"/>
        <w:ind w:firstLine="640" w:firstLineChars="200"/>
        <w:jc w:val="left"/>
        <w:rPr>
          <w:rFonts w:ascii="仿宋_GB2312" w:hAnsi="Times New Roman" w:eastAsia="仿宋_GB2312" w:cs="DengXian-Regular"/>
          <w:color w:val="auto"/>
          <w:sz w:val="32"/>
          <w:szCs w:val="32"/>
          <w:highlight w:val="none"/>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183.20</w:t>
      </w:r>
      <w:r>
        <w:rPr>
          <w:rFonts w:hint="eastAsia" w:ascii="仿宋_GB2312" w:eastAsia="仿宋_GB2312" w:cs="DengXian-Regular"/>
          <w:sz w:val="32"/>
          <w:szCs w:val="32"/>
        </w:rPr>
        <w:t>万元，从采购类型来看，</w:t>
      </w:r>
      <w:r>
        <w:rPr>
          <w:rFonts w:hint="eastAsia" w:ascii="仿宋_GB2312" w:eastAsia="仿宋_GB2312" w:cs="DengXian-Regular"/>
          <w:sz w:val="32"/>
          <w:szCs w:val="32"/>
          <w:lang w:val="en-US" w:eastAsia="zh-CN"/>
        </w:rPr>
        <w:t>全部为</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auto"/>
          <w:kern w:val="0"/>
          <w:sz w:val="32"/>
          <w:szCs w:val="32"/>
          <w:highlight w:val="none"/>
        </w:rPr>
        <w:t>授予中小企业合同金</w:t>
      </w:r>
      <w:r>
        <w:rPr>
          <w:rFonts w:hint="eastAsia" w:ascii="仿宋_GB2312" w:hAnsi="仿宋_GB2312" w:eastAsia="仿宋_GB2312" w:cs="仿宋_GB2312"/>
          <w:color w:val="auto"/>
          <w:kern w:val="0"/>
          <w:sz w:val="32"/>
          <w:szCs w:val="32"/>
          <w:highlight w:val="none"/>
          <w:lang w:val="en-US" w:eastAsia="zh-CN"/>
        </w:rPr>
        <w:t>0</w:t>
      </w:r>
      <w:r>
        <w:rPr>
          <w:rFonts w:hint="eastAsia" w:ascii="仿宋_GB2312" w:hAnsi="仿宋_GB2312" w:eastAsia="仿宋_GB2312" w:cs="仿宋_GB2312"/>
          <w:color w:val="auto"/>
          <w:kern w:val="0"/>
          <w:sz w:val="32"/>
          <w:szCs w:val="32"/>
          <w:highlight w:val="none"/>
        </w:rPr>
        <w:t>万元，占政府采购支出总额的</w:t>
      </w:r>
      <w:r>
        <w:rPr>
          <w:rFonts w:hint="eastAsia" w:ascii="仿宋_GB2312" w:hAnsi="仿宋_GB2312" w:eastAsia="仿宋_GB2312" w:cs="仿宋_GB2312"/>
          <w:color w:val="auto"/>
          <w:kern w:val="0"/>
          <w:sz w:val="32"/>
          <w:szCs w:val="32"/>
          <w:highlight w:val="none"/>
          <w:lang w:val="en-US" w:eastAsia="zh-CN"/>
        </w:rPr>
        <w:t>0</w:t>
      </w:r>
      <w:r>
        <w:rPr>
          <w:rFonts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，其中授予小微企业合同金额</w:t>
      </w:r>
      <w:r>
        <w:rPr>
          <w:rFonts w:hint="eastAsia" w:ascii="仿宋_GB2312" w:hAnsi="仿宋_GB2312" w:eastAsia="仿宋_GB2312" w:cs="仿宋_GB2312"/>
          <w:color w:val="auto"/>
          <w:kern w:val="0"/>
          <w:sz w:val="32"/>
          <w:szCs w:val="32"/>
          <w:highlight w:val="none"/>
          <w:lang w:val="en-US" w:eastAsia="zh-CN"/>
        </w:rPr>
        <w:t>0</w:t>
      </w:r>
      <w:r>
        <w:rPr>
          <w:rFonts w:hint="eastAsia" w:ascii="仿宋_GB2312" w:hAnsi="仿宋_GB2312" w:eastAsia="仿宋_GB2312" w:cs="仿宋_GB2312"/>
          <w:color w:val="auto"/>
          <w:kern w:val="0"/>
          <w:sz w:val="32"/>
          <w:szCs w:val="32"/>
          <w:highlight w:val="none"/>
        </w:rPr>
        <w:t>万元，占政府采购支出总额的</w:t>
      </w:r>
      <w:r>
        <w:rPr>
          <w:rFonts w:hint="eastAsia" w:ascii="仿宋_GB2312" w:hAnsi="仿宋_GB2312" w:eastAsia="仿宋_GB2312" w:cs="仿宋_GB2312"/>
          <w:color w:val="auto"/>
          <w:kern w:val="0"/>
          <w:sz w:val="32"/>
          <w:szCs w:val="32"/>
          <w:highlight w:val="none"/>
          <w:lang w:val="en-US" w:eastAsia="zh-CN"/>
        </w:rPr>
        <w:t>0</w:t>
      </w:r>
      <w:r>
        <w:rPr>
          <w:rFonts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rPr>
        <w:t>。</w:t>
      </w:r>
    </w:p>
    <w:p>
      <w:pPr>
        <w:widowControl/>
        <w:spacing w:after="0" w:line="580" w:lineRule="exact"/>
        <w:ind w:firstLine="640" w:firstLineChars="200"/>
        <w:jc w:val="left"/>
        <w:rPr>
          <w:rFonts w:hint="eastAsia" w:ascii="仿宋_GB2312" w:eastAsia="仿宋_GB2312" w:cs="DengXian-Regular"/>
          <w:sz w:val="32"/>
          <w:szCs w:val="32"/>
          <w:lang w:eastAsia="zh-CN"/>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31</w:t>
      </w:r>
      <w:r>
        <w:rPr>
          <w:rFonts w:hint="eastAsia" w:ascii="仿宋_GB2312" w:eastAsia="仿宋_GB2312" w:cs="DengXian-Regular"/>
          <w:sz w:val="32"/>
          <w:szCs w:val="32"/>
        </w:rPr>
        <w:t>辆，比上年</w:t>
      </w:r>
      <w:r>
        <w:rPr>
          <w:rFonts w:hint="eastAsia" w:ascii="仿宋_GB2312" w:eastAsia="仿宋_GB2312" w:cs="DengXian-Regular"/>
          <w:sz w:val="32"/>
          <w:szCs w:val="32"/>
          <w:lang w:val="en-US" w:eastAsia="zh-CN"/>
        </w:rPr>
        <w:t>无增减车</w:t>
      </w:r>
      <w:r>
        <w:rPr>
          <w:rFonts w:hint="eastAsia" w:ascii="仿宋_GB2312" w:eastAsia="仿宋_GB2312" w:cs="DengXian-Regular"/>
          <w:sz w:val="32"/>
          <w:szCs w:val="32"/>
        </w:rPr>
        <w:t>辆，其中，机要通信用车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14</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15</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val="en-US" w:eastAsia="zh-CN"/>
        </w:rPr>
        <w:t>环卫清扫保洁车、绿环养护车及市政作业车等。</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我单位</w:t>
      </w:r>
      <w:r>
        <w:rPr>
          <w:rFonts w:hint="eastAsia" w:ascii="仿宋_GB2312" w:eastAsia="仿宋_GB2312" w:cs="DengXian-Regular"/>
          <w:sz w:val="32"/>
          <w:szCs w:val="32"/>
        </w:rPr>
        <w:t>无收支及结转结余情况。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anchorCtr="0"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awMz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052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052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3j5uTc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anchorCtr="0"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DKHoTm&#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anchorCtr="0"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AkV1WMMC&#10;AAAm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6FC131-F62D-4B4F-B1A4-9FC584EC77B1}"/>
  </w:font>
  <w:font w:name="Arial">
    <w:panose1 w:val="020B0604020202020204"/>
    <w:charset w:val="01"/>
    <w:family w:val="swiss"/>
    <w:pitch w:val="default"/>
    <w:sig w:usb0="E0002EFF" w:usb1="C000785B" w:usb2="00000009" w:usb3="00000000" w:csb0="400001FF" w:csb1="FFFF0000"/>
    <w:embedRegular r:id="rId2" w:fontKey="{31F5CB85-6F64-43E9-9E7B-8A424887659A}"/>
  </w:font>
  <w:font w:name="黑体">
    <w:panose1 w:val="02010609060101010101"/>
    <w:charset w:val="86"/>
    <w:family w:val="auto"/>
    <w:pitch w:val="default"/>
    <w:sig w:usb0="800002BF" w:usb1="38CF7CFA" w:usb2="00000016" w:usb3="00000000" w:csb0="00040001" w:csb1="00000000"/>
    <w:embedRegular r:id="rId3" w:fontKey="{D63ECCAA-442A-4D6B-BD38-E217CE8AC4A8}"/>
  </w:font>
  <w:font w:name="Courier New">
    <w:panose1 w:val="02070309020205020404"/>
    <w:charset w:val="01"/>
    <w:family w:val="modern"/>
    <w:pitch w:val="default"/>
    <w:sig w:usb0="E0002EFF" w:usb1="C0007843" w:usb2="00000009" w:usb3="00000000" w:csb0="400001FF" w:csb1="FFFF0000"/>
    <w:embedRegular r:id="rId4" w:fontKey="{4600C570-DABA-4753-B0E1-F1AF3EE9FC5C}"/>
  </w:font>
  <w:font w:name="Symbol">
    <w:panose1 w:val="05050102010706020507"/>
    <w:charset w:val="02"/>
    <w:family w:val="roman"/>
    <w:pitch w:val="default"/>
    <w:sig w:usb0="00000000" w:usb1="00000000" w:usb2="00000000" w:usb3="00000000" w:csb0="80000000" w:csb1="00000000"/>
    <w:embedRegular r:id="rId5" w:fontKey="{FD7BA2F4-5224-497B-AACC-F1546DE34519}"/>
  </w:font>
  <w:font w:name="Calibri">
    <w:panose1 w:val="020F0502020204030204"/>
    <w:charset w:val="00"/>
    <w:family w:val="swiss"/>
    <w:pitch w:val="default"/>
    <w:sig w:usb0="E4002EFF" w:usb1="C000247B" w:usb2="00000009" w:usb3="00000000" w:csb0="200001FF" w:csb1="00000000"/>
    <w:embedRegular r:id="rId6" w:fontKey="{6730FF85-A2E4-41A7-BF60-5CF5AF8CA484}"/>
  </w:font>
  <w:font w:name="Cambria">
    <w:panose1 w:val="02040503050406030204"/>
    <w:charset w:val="00"/>
    <w:family w:val="roman"/>
    <w:pitch w:val="default"/>
    <w:sig w:usb0="E00006FF" w:usb1="420024FF" w:usb2="02000000" w:usb3="00000000" w:csb0="2000019F" w:csb1="00000000"/>
    <w:embedRegular r:id="rId7" w:fontKey="{5C8342C4-242A-4A45-B839-31F4F87F8195}"/>
  </w:font>
  <w:font w:name="楷体">
    <w:panose1 w:val="02010609060101010101"/>
    <w:charset w:val="86"/>
    <w:family w:val="modern"/>
    <w:pitch w:val="default"/>
    <w:sig w:usb0="800002BF" w:usb1="38CF7CFA" w:usb2="00000016" w:usb3="00000000" w:csb0="00040001" w:csb1="00000000"/>
    <w:embedRegular r:id="rId8" w:fontKey="{DFC78A57-5241-4BE1-829D-744A0666FD9A}"/>
  </w:font>
  <w:font w:name="MS Gothic">
    <w:panose1 w:val="020B0609070205080204"/>
    <w:charset w:val="80"/>
    <w:family w:val="modern"/>
    <w:pitch w:val="default"/>
    <w:sig w:usb0="E00002FF" w:usb1="6AC7FDFB" w:usb2="08000012" w:usb3="00000000" w:csb0="4002009F" w:csb1="DFD70000"/>
    <w:embedRegular r:id="rId9" w:fontKey="{8B14ACAA-8151-4C38-8E18-5065F72EB601}"/>
  </w:font>
  <w:font w:name="仿宋_GB2312">
    <w:altName w:val="仿宋"/>
    <w:panose1 w:val="02010609030101010101"/>
    <w:charset w:val="86"/>
    <w:family w:val="modern"/>
    <w:pitch w:val="default"/>
    <w:sig w:usb0="00000000" w:usb1="00000000" w:usb2="00000000" w:usb3="00000000" w:csb0="00000000" w:csb1="00000000"/>
    <w:embedRegular r:id="rId10" w:fontKey="{42B2A148-28B7-4F6B-8913-ED5C83DCF67E}"/>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embedRegular r:id="rId11" w:fontKey="{C9E670BC-7FA8-4E68-AFED-45D8A46EDDB9}"/>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2" w:fontKey="{05507A05-49D0-478C-9570-B96135535960}"/>
  </w:font>
  <w:font w:name="DengXian-Regular">
    <w:altName w:val="宋体"/>
    <w:panose1 w:val="00000000000000000000"/>
    <w:charset w:val="86"/>
    <w:family w:val="auto"/>
    <w:pitch w:val="default"/>
    <w:sig w:usb0="00000000" w:usb1="00000000" w:usb2="00000010" w:usb3="00000000" w:csb0="00040000" w:csb1="00000000"/>
    <w:embedRegular r:id="rId13" w:fontKey="{10827EEA-2381-4BFA-925C-DA687FFE1DA6}"/>
  </w:font>
  <w:font w:name="楷体_GB2312">
    <w:panose1 w:val="02010609030101010101"/>
    <w:charset w:val="86"/>
    <w:family w:val="auto"/>
    <w:pitch w:val="default"/>
    <w:sig w:usb0="00000001" w:usb1="080E0000" w:usb2="00000000" w:usb3="00000000" w:csb0="00040000" w:csb1="00000000"/>
    <w:embedRegular r:id="rId14" w:fontKey="{A29EAD84-7177-4852-A087-C73C74CABF33}"/>
  </w:font>
  <w:font w:name="DengXian-Bold">
    <w:altName w:val="宋体"/>
    <w:panose1 w:val="00000000000000000000"/>
    <w:charset w:val="86"/>
    <w:family w:val="auto"/>
    <w:pitch w:val="default"/>
    <w:sig w:usb0="00000000" w:usb1="00000000" w:usb2="00000010" w:usb3="00000000" w:csb0="00040000" w:csb1="00000000"/>
    <w:embedRegular r:id="rId15" w:fontKey="{EB35AB0C-BDD5-41C9-9A55-5978462E14FD}"/>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C74F87"/>
    <w:multiLevelType w:val="singleLevel"/>
    <w:tmpl w:val="69C74F8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3AF671C"/>
    <w:rsid w:val="04073F84"/>
    <w:rsid w:val="047720D4"/>
    <w:rsid w:val="0B60750A"/>
    <w:rsid w:val="0BD551A6"/>
    <w:rsid w:val="0DDA3028"/>
    <w:rsid w:val="10686488"/>
    <w:rsid w:val="10DF728A"/>
    <w:rsid w:val="1264200E"/>
    <w:rsid w:val="13DE55BF"/>
    <w:rsid w:val="13EB4D3E"/>
    <w:rsid w:val="141C5B77"/>
    <w:rsid w:val="18D8339D"/>
    <w:rsid w:val="18F97980"/>
    <w:rsid w:val="19FA67E1"/>
    <w:rsid w:val="1A21388F"/>
    <w:rsid w:val="1A570D2F"/>
    <w:rsid w:val="1B172836"/>
    <w:rsid w:val="1BCA6A4E"/>
    <w:rsid w:val="1BD85DBB"/>
    <w:rsid w:val="1EBF1F75"/>
    <w:rsid w:val="1ED1582B"/>
    <w:rsid w:val="1FBC0099"/>
    <w:rsid w:val="243566AC"/>
    <w:rsid w:val="263F1B35"/>
    <w:rsid w:val="267349E1"/>
    <w:rsid w:val="28CC70C1"/>
    <w:rsid w:val="28FB0B8D"/>
    <w:rsid w:val="2D274FEB"/>
    <w:rsid w:val="2D2B7942"/>
    <w:rsid w:val="2D46481D"/>
    <w:rsid w:val="2E733B28"/>
    <w:rsid w:val="31852B5A"/>
    <w:rsid w:val="32D01238"/>
    <w:rsid w:val="339F1633"/>
    <w:rsid w:val="34ED1F9B"/>
    <w:rsid w:val="370662F9"/>
    <w:rsid w:val="38570AA3"/>
    <w:rsid w:val="39726E2D"/>
    <w:rsid w:val="3B2D3EA3"/>
    <w:rsid w:val="3B671DFD"/>
    <w:rsid w:val="3C2B2CB7"/>
    <w:rsid w:val="3DFC59A8"/>
    <w:rsid w:val="3E242161"/>
    <w:rsid w:val="3ECF245E"/>
    <w:rsid w:val="3FB96314"/>
    <w:rsid w:val="42E37B76"/>
    <w:rsid w:val="438B6350"/>
    <w:rsid w:val="450067CA"/>
    <w:rsid w:val="46DA62FE"/>
    <w:rsid w:val="499A2CF0"/>
    <w:rsid w:val="4BE52CC1"/>
    <w:rsid w:val="4C521C14"/>
    <w:rsid w:val="53A44FAF"/>
    <w:rsid w:val="554B4810"/>
    <w:rsid w:val="55AA40A2"/>
    <w:rsid w:val="568F283D"/>
    <w:rsid w:val="594329EC"/>
    <w:rsid w:val="5BEE1540"/>
    <w:rsid w:val="5DE61A5D"/>
    <w:rsid w:val="61FC0A9B"/>
    <w:rsid w:val="63C04243"/>
    <w:rsid w:val="649C01C7"/>
    <w:rsid w:val="680E2AEC"/>
    <w:rsid w:val="687A261A"/>
    <w:rsid w:val="699A3F60"/>
    <w:rsid w:val="6CA17D04"/>
    <w:rsid w:val="6D9A79CF"/>
    <w:rsid w:val="6E3B5352"/>
    <w:rsid w:val="70836AAA"/>
    <w:rsid w:val="727813EA"/>
    <w:rsid w:val="72902E62"/>
    <w:rsid w:val="73C61104"/>
    <w:rsid w:val="776452EA"/>
    <w:rsid w:val="7CFC49DF"/>
    <w:rsid w:val="7DC663B9"/>
    <w:rsid w:val="7FD21032"/>
    <w:rsid w:val="7FFB385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8</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2021-05-08T01:28:00Z</cp:lastPrinted>
  <dcterms:modified xsi:type="dcterms:W3CDTF">2022-03-11T07:59:56Z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66AE4C3E9B6148DB94CD836AD8A9960A</vt:lpwstr>
  </property>
</Properties>
</file>