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86912"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a:ln w="9525">
                      <a:noFill/>
                      <a:miter lim="800000"/>
                      <a:headEnd/>
                      <a:tailEnd/>
                    </a:ln>
                  </pic:spPr>
                </pic:pic>
              </a:graphicData>
            </a:graphic>
          </wp:anchor>
        </w:drawing>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91.4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2"/>
                      <w:szCs w:val="92"/>
                    </w:rPr>
                  </w:pPr>
                  <w:r>
                    <w:rPr>
                      <w:rFonts w:hint="eastAsia" w:ascii="黑体" w:hAnsi="宋体" w:eastAsia="黑体"/>
                      <w:color w:val="FDEFBE"/>
                      <w:sz w:val="92"/>
                      <w:szCs w:val="92"/>
                    </w:rPr>
                    <w:t>中共保定市满城区委老干部局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1533" w:firstLineChars="347"/>
        <w:rPr>
          <w:rFonts w:ascii="楷体" w:hAnsi="楷体" w:eastAsia="楷体" w:cs="楷体"/>
          <w:b/>
          <w:sz w:val="44"/>
          <w:szCs w:val="44"/>
        </w:rPr>
      </w:pPr>
      <w:r>
        <w:rPr>
          <w:rFonts w:hint="eastAsia" w:ascii="楷体" w:hAnsi="楷体" w:eastAsia="楷体" w:cs="楷体"/>
          <w:b/>
          <w:sz w:val="44"/>
          <w:szCs w:val="44"/>
        </w:rPr>
        <w:t>中共保定市满城区委老干部局</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ind w:firstLine="3360" w:firstLineChars="1600"/>
        <w:rPr>
          <w:rFonts w:ascii="黑体" w:eastAsia="黑体"/>
          <w:sz w:val="48"/>
          <w:szCs w:val="48"/>
        </w:rPr>
      </w:pPr>
      <w:r>
        <w:pict>
          <v:group id="组合 179" o:spid="_x0000_s1028" o:spt="203" style="position:absolute;left:0pt;margin-left:-80.8pt;margin-top:39.95pt;height:46.7pt;width:250.05pt;mso-position-vertical-relative:page;z-index:251660288;mso-width-relative:page;mso-height-relative:page;" coordorigin="4551,52615" coordsize="8546,1398203"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61312;mso-width-relative:page;mso-height-relative:page;" coordorigin="4551,52615" coordsize="8546,1398203">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87936"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a:ln w="9525">
                      <a:noFill/>
                      <a:miter lim="800000"/>
                      <a:headEnd/>
                      <a:tailEnd/>
                    </a:ln>
                  </pic:spPr>
                </pic:pic>
              </a:graphicData>
            </a:graphic>
          </wp:anchor>
        </w:drawing>
      </w:r>
      <w:r>
        <w:pict>
          <v:shape id="文本框 118" o:spid="_x0000_s1035" o:spt="202" type="#_x0000_t202" style="position:absolute;left:0pt;margin-left:-97.3pt;margin-top:259.1pt;height:81.7pt;width:613.65pt;z-index:251662336;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3360;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根据《中共保定市满城区委老干部局职能配置、内设机构和人员编制方案》规定，中共保定市满城区委老干部局的主要职责是：</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（一）负责贯彻落实中央、省、市、区党委政府关于离退休干部（以下简称：老干部）工作的方针政策；拟定或参与拟定全区老干部工作有关的具体规定和办法。</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（二）指导、督促、检查各乡镇、区直各部门老干部工作；组织和协调有关部门做好老干部工作。</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（三）指导各单位老干部安置工作；负责审批进出区离休干部易地安置手续。</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（四）督促、指导各部门落实老干部的政治、生活待遇，抓好离休干部离休费、医疗费（以下简称：“两费”）的落实；调查研究老干部政治待遇和生活待遇中的问题，协调有关部门提出解决办法。</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（五）协助组织部门抓好老干部党支部建设，加强和改进新形势下老干部的思想政治工作。</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六）指导各乡镇、区直各部门老干部活动中心（室、站）和老干部门诊部的建设和管理；了解反映老干部队医疗保健方面的意见和要求；组织和指导老干部开展健康科学的文化健身、保健讲座、健康疗养、参观学习等活动。</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（七）指导各单位组织老干部继续在政治、经济、文化等领域发挥作用。</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八）教育和引导青少年勤奋学习，树立正确的世界观、人生观、价值观，勤于实践、提高服务社会、报效祖国的本领，使广大青少年茁壮成长，做好关心下一代工作，指导各级各部门关心下一代工作委员会的工作。</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（九）指导全区老年教育工作；督促检查各级老年大学（分校）的建设和管理；负责管理区老干部活动中心、老年大学；做好有关老干部工作的接待工作。</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（十）负责指导逝世离休干部的善后工作，协助承办区委交办的丧葬事宜，会同有关部门制定治丧办法。</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（十一）承担区委老干部工作领导小组办公室的日常工作。</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（十二）承办区委、区政府交办的其他事项。</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老干部局由办公室及综合服务科构成，下属涉老组织有关工委、老年协会、老促会、老体协、老年大学、夕阳红艺术团。</w:t>
      </w:r>
    </w:p>
    <w:p>
      <w:pPr>
        <w:widowControl/>
        <w:spacing w:line="580" w:lineRule="exact"/>
        <w:ind w:firstLine="640" w:firstLineChars="200"/>
        <w:rPr>
          <w:rFonts w:ascii="仿宋_GB2312" w:hAnsi="Calibri" w:eastAsia="仿宋_GB2312" w:cs="ArialUnicodeMS"/>
          <w:kern w:val="0"/>
          <w:sz w:val="32"/>
          <w:szCs w:val="32"/>
        </w:rPr>
      </w:pPr>
    </w:p>
    <w:p>
      <w:pPr>
        <w:autoSpaceDE w:val="0"/>
        <w:autoSpaceDN w:val="0"/>
        <w:adjustRightInd w:val="0"/>
        <w:spacing w:after="0" w:line="560" w:lineRule="exact"/>
        <w:jc w:val="left"/>
        <w:rPr>
          <w:rFonts w:ascii="仿宋_GB2312" w:hAnsi="Cambria" w:eastAsia="仿宋_GB2312" w:cs="ArialUnicodeMS"/>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libri" w:eastAsia="仿宋_GB2312" w:cs="ArialUnicodeMS"/>
                <w:kern w:val="0"/>
                <w:sz w:val="32"/>
                <w:szCs w:val="32"/>
              </w:rPr>
              <w:t>中共保定市满城区委老干部局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88960"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a:ln w="9525">
                      <a:noFill/>
                      <a:miter lim="800000"/>
                      <a:headEnd/>
                      <a:tailEnd/>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438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65408;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1424.31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70.15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1349.75</w:t>
            </w:r>
          </w:p>
        </w:tc>
      </w:tr>
      <w:tr>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4.41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1424.31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1424.31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1424.31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1424.31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479" w:type="dxa"/>
        <w:jc w:val="center"/>
        <w:tblLayout w:type="fixed"/>
        <w:tblCellMar>
          <w:top w:w="0" w:type="dxa"/>
          <w:left w:w="0" w:type="dxa"/>
          <w:bottom w:w="0" w:type="dxa"/>
          <w:right w:w="0" w:type="dxa"/>
        </w:tblCellMar>
      </w:tblPr>
      <w:tblGrid>
        <w:gridCol w:w="335"/>
        <w:gridCol w:w="179"/>
        <w:gridCol w:w="304"/>
        <w:gridCol w:w="2067"/>
        <w:gridCol w:w="260"/>
        <w:gridCol w:w="792"/>
        <w:gridCol w:w="23"/>
        <w:gridCol w:w="604"/>
        <w:gridCol w:w="223"/>
        <w:gridCol w:w="37"/>
        <w:gridCol w:w="767"/>
        <w:gridCol w:w="48"/>
        <w:gridCol w:w="151"/>
        <w:gridCol w:w="616"/>
        <w:gridCol w:w="93"/>
        <w:gridCol w:w="556"/>
        <w:gridCol w:w="215"/>
        <w:gridCol w:w="363"/>
        <w:gridCol w:w="452"/>
        <w:gridCol w:w="530"/>
        <w:gridCol w:w="850"/>
        <w:gridCol w:w="1014"/>
      </w:tblGrid>
      <w:tr>
        <w:tblPrEx>
          <w:tblCellMar>
            <w:top w:w="0" w:type="dxa"/>
            <w:left w:w="0" w:type="dxa"/>
            <w:bottom w:w="0" w:type="dxa"/>
            <w:right w:w="0" w:type="dxa"/>
          </w:tblCellMar>
        </w:tblPrEx>
        <w:trPr>
          <w:gridAfter w:val="1"/>
          <w:wAfter w:w="1014" w:type="dxa"/>
          <w:trHeight w:val="770" w:hRule="atLeast"/>
          <w:jc w:val="center"/>
        </w:trPr>
        <w:tc>
          <w:tcPr>
            <w:tcW w:w="9465" w:type="dxa"/>
            <w:gridSpan w:val="2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66432;mso-width-relative:page;mso-height-relative:page;" coordorigin="4551,52615" coordsize="8546,1398203">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19"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16"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014" w:type="dxa"/>
          <w:trHeight w:val="362" w:hRule="atLeast"/>
          <w:jc w:val="center"/>
        </w:trPr>
        <w:tc>
          <w:tcPr>
            <w:tcW w:w="288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59"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014" w:type="dxa"/>
          <w:trHeight w:val="325" w:hRule="atLeast"/>
          <w:jc w:val="center"/>
        </w:trPr>
        <w:tc>
          <w:tcPr>
            <w:tcW w:w="3937" w:type="dxa"/>
            <w:gridSpan w:val="6"/>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5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003"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709"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56"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78"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82"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850"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014" w:type="dxa"/>
          <w:trHeight w:val="626"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3119" w:type="dxa"/>
            <w:gridSpan w:val="3"/>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5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003"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09"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56"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78"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82"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850"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014" w:type="dxa"/>
          <w:trHeight w:val="391" w:hRule="atLeast"/>
          <w:jc w:val="center"/>
        </w:trPr>
        <w:tc>
          <w:tcPr>
            <w:tcW w:w="393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5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0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70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8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014" w:type="dxa"/>
          <w:trHeight w:val="90" w:hRule="atLeast"/>
          <w:jc w:val="center"/>
        </w:trPr>
        <w:tc>
          <w:tcPr>
            <w:tcW w:w="393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5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1003"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09"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5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78"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82"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85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1014" w:type="dxa"/>
          <w:trHeight w:val="782"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一般公共服务支出</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20131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党委办公厅（室）及相关机构事务</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2013101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 xml:space="preserve">  行政运行</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社会保障和就业支出</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行政事业单位离退休</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2080501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 xml:space="preserve">  归口管理的行政单位离退休</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2080503</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 xml:space="preserve">  离退休人员管理机构</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住房保障支出</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22102</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住房改革支出</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2210201</w:t>
            </w:r>
          </w:p>
        </w:tc>
        <w:tc>
          <w:tcPr>
            <w:tcW w:w="311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0"/>
                <w:szCs w:val="20"/>
              </w:rPr>
            </w:pPr>
            <w:r>
              <w:rPr>
                <w:rFonts w:hint="eastAsia" w:cs="Arial"/>
                <w:color w:val="000000"/>
                <w:sz w:val="20"/>
                <w:szCs w:val="20"/>
              </w:rPr>
              <w:t xml:space="preserve">  住房公积金</w:t>
            </w:r>
          </w:p>
        </w:tc>
        <w:tc>
          <w:tcPr>
            <w:tcW w:w="8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00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481" w:hRule="atLeast"/>
          <w:jc w:val="center"/>
        </w:trPr>
        <w:tc>
          <w:tcPr>
            <w:tcW w:w="9465" w:type="dxa"/>
            <w:gridSpan w:val="2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269" w:type="dxa"/>
        <w:tblLayout w:type="fixed"/>
        <w:tblCellMar>
          <w:top w:w="0" w:type="dxa"/>
          <w:left w:w="0" w:type="dxa"/>
          <w:bottom w:w="0" w:type="dxa"/>
          <w:right w:w="0" w:type="dxa"/>
        </w:tblCellMar>
      </w:tblPr>
      <w:tblGrid>
        <w:gridCol w:w="558"/>
        <w:gridCol w:w="288"/>
        <w:gridCol w:w="572"/>
        <w:gridCol w:w="231"/>
        <w:gridCol w:w="1116"/>
        <w:gridCol w:w="647"/>
        <w:gridCol w:w="1550"/>
        <w:gridCol w:w="691"/>
        <w:gridCol w:w="301"/>
        <w:gridCol w:w="817"/>
        <w:gridCol w:w="34"/>
        <w:gridCol w:w="567"/>
        <w:gridCol w:w="519"/>
        <w:gridCol w:w="48"/>
        <w:gridCol w:w="992"/>
        <w:gridCol w:w="709"/>
      </w:tblGrid>
      <w:tr>
        <w:tblPrEx>
          <w:tblCellMar>
            <w:top w:w="0" w:type="dxa"/>
            <w:left w:w="0" w:type="dxa"/>
            <w:bottom w:w="0" w:type="dxa"/>
            <w:right w:w="0" w:type="dxa"/>
          </w:tblCellMar>
        </w:tblPrEx>
        <w:trPr>
          <w:trHeight w:val="798" w:hRule="atLeast"/>
        </w:trPr>
        <w:tc>
          <w:tcPr>
            <w:tcW w:w="964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67456;mso-width-relative:page;mso-height-relative:page;" coordorigin="4551,52615" coordsize="8546,1398203">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9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49"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412"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5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9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69"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4962"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85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567"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56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709"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5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09"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4962"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85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56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4962"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合计</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Cs w:val="21"/>
              </w:rPr>
              <w:t>1424.31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Cs w:val="21"/>
              </w:rPr>
              <w:t>1424.31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580"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一般公共服务支出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20131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党委办公厅（室）及相关机构事务</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604"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2013101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 xml:space="preserve">  行政运行</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208</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社会保障和就业支出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20805</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行政事业单位离退休</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2080501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 xml:space="preserve">  归口管理的行政单位离退休</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2080503</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 xml:space="preserve">  离退休人员管理机构</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221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住房保障支出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22102</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住房改革支出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5" w:hRule="atLeast"/>
        </w:trPr>
        <w:tc>
          <w:tcPr>
            <w:tcW w:w="14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2210201</w:t>
            </w:r>
          </w:p>
        </w:tc>
        <w:tc>
          <w:tcPr>
            <w:tcW w:w="354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rPr>
                <w:rFonts w:cs="Arial" w:asciiTheme="minorEastAsia" w:hAnsiTheme="minorEastAsia" w:eastAsiaTheme="minorEastAsia"/>
                <w:color w:val="000000"/>
                <w:sz w:val="20"/>
                <w:szCs w:val="20"/>
              </w:rPr>
            </w:pPr>
            <w:r>
              <w:rPr>
                <w:rFonts w:hint="eastAsia" w:cs="Arial" w:asciiTheme="minorEastAsia" w:hAnsiTheme="minorEastAsia" w:eastAsiaTheme="minorEastAsia"/>
                <w:color w:val="000000"/>
                <w:sz w:val="20"/>
                <w:szCs w:val="20"/>
              </w:rPr>
              <w:t xml:space="preserve">  住房公积金</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64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68480;mso-width-relative:page;mso-height-relative:page;" coordorigin="4551,52615" coordsize="8546,1398203">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Cs w:val="21"/>
              </w:rPr>
              <w:t>1424.31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70.15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70.15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1349.75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1349.75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4.41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4.41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1424.31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271"/>
        <w:gridCol w:w="621"/>
        <w:gridCol w:w="1222"/>
        <w:gridCol w:w="1134"/>
        <w:gridCol w:w="765"/>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69504;mso-width-relative:page;mso-height-relative:page;" coordorigin="4551,52615" coordsize="8546,1398203">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511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3742" w:type="dxa"/>
            <w:gridSpan w:val="4"/>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4125" w:type="dxa"/>
            <w:gridSpan w:val="3"/>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843"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1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76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412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843"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6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412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843"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6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511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511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1424.31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1424.31</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一般公共服务支出</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20131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党委办公厅（室）及相关机构事务</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2013101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 xml:space="preserve">  行政运行</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70.15</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社会保障和就业支出</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行政事业单位离退休</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1349.75</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2080501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 xml:space="preserve">  归口管理的行政单位离退休</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1295.17</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2080503</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 xml:space="preserve">  离退休人员管理机构</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54.58</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住房保障支出</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22102</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住房改革支出</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2210201</w:t>
            </w:r>
          </w:p>
        </w:tc>
        <w:tc>
          <w:tcPr>
            <w:tcW w:w="41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rPr>
                <w:rFonts w:ascii="宋体" w:hAnsi="宋体" w:cs="Arial"/>
                <w:color w:val="000000"/>
                <w:sz w:val="22"/>
                <w:szCs w:val="22"/>
              </w:rPr>
            </w:pPr>
            <w:r>
              <w:rPr>
                <w:rFonts w:hint="eastAsia" w:cs="Arial"/>
                <w:color w:val="000000"/>
                <w:sz w:val="22"/>
                <w:szCs w:val="22"/>
              </w:rPr>
              <w:t xml:space="preserve">  住房公积金</w:t>
            </w:r>
          </w:p>
        </w:tc>
        <w:tc>
          <w:tcPr>
            <w:tcW w:w="184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4.41</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jc w:val="center"/>
        <w:tblLayout w:type="autofit"/>
        <w:tblCellMar>
          <w:top w:w="0" w:type="dxa"/>
          <w:left w:w="0" w:type="dxa"/>
          <w:bottom w:w="0" w:type="dxa"/>
          <w:right w:w="0" w:type="dxa"/>
        </w:tblCellMar>
      </w:tblPr>
      <w:tblGrid>
        <w:gridCol w:w="740"/>
        <w:gridCol w:w="1683"/>
        <w:gridCol w:w="658"/>
        <w:gridCol w:w="732"/>
        <w:gridCol w:w="1153"/>
        <w:gridCol w:w="596"/>
        <w:gridCol w:w="732"/>
        <w:gridCol w:w="1984"/>
        <w:gridCol w:w="596"/>
      </w:tblGrid>
      <w:tr>
        <w:tblPrEx>
          <w:tblCellMar>
            <w:top w:w="0" w:type="dxa"/>
            <w:left w:w="0" w:type="dxa"/>
            <w:bottom w:w="0" w:type="dxa"/>
            <w:right w:w="0" w:type="dxa"/>
          </w:tblCellMar>
        </w:tblPrEx>
        <w:trPr>
          <w:trHeight w:val="526" w:hRule="atLeast"/>
          <w:jc w:val="center"/>
        </w:trPr>
        <w:tc>
          <w:tcPr>
            <w:tcW w:w="0" w:type="auto"/>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0" w:type="auto"/>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0528;mso-width-relative:page;mso-height-relative:page;" coordorigin="4551,52615" coordsize="8546,1398203">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0" w:type="auto"/>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0" w:type="auto"/>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0" w:type="auto"/>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0" w:type="auto"/>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682"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工资福利支出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88.81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商品和服务支出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24.72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债务利息及费用支出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基本工资</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19.19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办公费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0.41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30701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国内债务付息</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津贴补贴</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43.72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印刷费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30702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国外债务付息</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奖金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5.85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咨询费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资本性支出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伙食补助费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30204</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手续费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房屋建筑物购建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绩效工资</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30205</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办公设备购置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机关事业单位基本养老保险缴费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8.20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电费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专用设备购置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30109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职业年金缴费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1.83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邮电费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0.54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31005</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基础设施建设</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30110</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职工基本医疗保险缴费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2.77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取暖费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大型修缮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公务员医疗补助缴费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30209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物业管理费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信息网络及软件购置更新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其他社会保障缴费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0.19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差旅费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物资储备</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住房公积金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4.41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因公出国（境）费用</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土地补偿</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30114</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医疗费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维修（护）费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31010</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安置补助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其他工资福利支出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2.64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30214</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租赁费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31011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地上附着物和青苗补偿</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对个人和家庭的补助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1310.78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30215</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会议费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31012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拆迁补偿</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离休费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415.20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培训费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31013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公务用车购置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退休费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公务接待费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0.40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31019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其他交通工具购置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30303</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退职（役）费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专用材料费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31021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文物和陈列品购置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30304</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抚恤金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185.93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30224</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被装购置费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31022</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无形资产购置</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30305</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生活补助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32.29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30225</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专用燃料费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其他资本性支出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救济费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劳务费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医疗费补助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600.85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委托业务费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10.50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39906</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赠与</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助学金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工会经费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39907</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国家赔偿费用支出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30309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奖励金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624.00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30229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福利费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39908</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对民间非营利组织和群众性自治组织补贴</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30310</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个人农业生产补贴</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30231</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公务用车运行维护费</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2.67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39999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30399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其他对个人和家庭的补助支出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76.45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30239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其他交通费用</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r>
              <w:rPr>
                <w:rFonts w:hint="eastAsia" w:ascii="宋体" w:hAnsi="宋体" w:cs="宋体"/>
                <w:color w:val="000000"/>
                <w:kern w:val="0"/>
                <w:sz w:val="16"/>
                <w:szCs w:val="16"/>
              </w:rPr>
              <w:t>3.32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textAlignment w:val="center"/>
              <w:rPr>
                <w:rFonts w:ascii="宋体" w:hAnsi="宋体" w:cs="宋体"/>
                <w:color w:val="000000"/>
                <w:kern w:val="0"/>
                <w:sz w:val="16"/>
                <w:szCs w:val="16"/>
              </w:rPr>
            </w:pPr>
            <w:r>
              <w:rPr>
                <w:rFonts w:hint="eastAsia" w:ascii="宋体" w:hAnsi="宋体" w:cs="宋体"/>
                <w:color w:val="000000"/>
                <w:kern w:val="0"/>
                <w:sz w:val="16"/>
                <w:szCs w:val="16"/>
              </w:rPr>
              <w:t>　</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30240</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税金及附加费用</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textAlignment w:val="center"/>
              <w:rPr>
                <w:rFonts w:ascii="宋体" w:hAnsi="宋体" w:cs="宋体"/>
                <w:color w:val="000000"/>
                <w:kern w:val="0"/>
                <w:sz w:val="16"/>
                <w:szCs w:val="16"/>
              </w:rPr>
            </w:pPr>
          </w:p>
        </w:tc>
      </w:tr>
      <w:tr>
        <w:tblPrEx>
          <w:tblCellMar>
            <w:top w:w="0" w:type="dxa"/>
            <w:left w:w="0" w:type="dxa"/>
            <w:bottom w:w="0" w:type="dxa"/>
            <w:right w:w="0" w:type="dxa"/>
          </w:tblCellMar>
        </w:tblPrEx>
        <w:trPr>
          <w:trHeight w:val="413"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textAlignment w:val="center"/>
              <w:rPr>
                <w:rFonts w:ascii="宋体" w:hAnsi="宋体" w:cs="宋体"/>
                <w:color w:val="000000"/>
                <w:kern w:val="0"/>
                <w:sz w:val="16"/>
                <w:szCs w:val="16"/>
              </w:rPr>
            </w:pPr>
            <w:r>
              <w:rPr>
                <w:rFonts w:hint="eastAsia" w:ascii="宋体" w:hAnsi="宋体" w:cs="宋体"/>
                <w:color w:val="000000"/>
                <w:kern w:val="0"/>
                <w:sz w:val="16"/>
                <w:szCs w:val="16"/>
              </w:rPr>
              <w:t>　</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30299</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其他商品和服务支出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textAlignment w:val="center"/>
              <w:rPr>
                <w:rFonts w:ascii="宋体" w:hAnsi="宋体" w:cs="宋体"/>
                <w:color w:val="000000"/>
                <w:kern w:val="0"/>
                <w:sz w:val="16"/>
                <w:szCs w:val="16"/>
              </w:rPr>
            </w:pPr>
            <w:r>
              <w:rPr>
                <w:rFonts w:hint="eastAsia" w:ascii="宋体" w:hAnsi="宋体" w:cs="宋体"/>
                <w:color w:val="000000"/>
                <w:kern w:val="0"/>
                <w:sz w:val="16"/>
                <w:szCs w:val="16"/>
              </w:rPr>
              <w:t>6.87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textAlignment w:val="center"/>
              <w:rPr>
                <w:rFonts w:ascii="宋体" w:hAnsi="宋体" w:cs="宋体"/>
                <w:color w:val="000000"/>
                <w:kern w:val="0"/>
                <w:sz w:val="16"/>
                <w:szCs w:val="16"/>
              </w:rPr>
            </w:pPr>
          </w:p>
        </w:tc>
      </w:tr>
      <w:tr>
        <w:tblPrEx>
          <w:tblCellMar>
            <w:top w:w="0" w:type="dxa"/>
            <w:left w:w="0" w:type="dxa"/>
            <w:bottom w:w="0" w:type="dxa"/>
            <w:right w:w="0" w:type="dxa"/>
          </w:tblCellMar>
        </w:tblPrEx>
        <w:trPr>
          <w:trHeight w:val="317" w:hRule="atLeast"/>
          <w:jc w:val="center"/>
        </w:trPr>
        <w:tc>
          <w:tcPr>
            <w:tcW w:w="0" w:type="auto"/>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人员经费合计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cs="宋体"/>
                <w:color w:val="000000"/>
                <w:kern w:val="0"/>
                <w:sz w:val="16"/>
                <w:szCs w:val="16"/>
              </w:rPr>
            </w:pPr>
            <w:r>
              <w:rPr>
                <w:rFonts w:hint="eastAsia" w:ascii="宋体" w:hAnsi="宋体" w:cs="宋体"/>
                <w:color w:val="000000"/>
                <w:kern w:val="0"/>
                <w:sz w:val="16"/>
                <w:szCs w:val="16"/>
              </w:rPr>
              <w:t>1399.59</w:t>
            </w:r>
          </w:p>
        </w:tc>
        <w:tc>
          <w:tcPr>
            <w:tcW w:w="0" w:type="auto"/>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公用经费合计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24.72</w:t>
            </w:r>
          </w:p>
        </w:tc>
      </w:tr>
      <w:tr>
        <w:tblPrEx>
          <w:tblCellMar>
            <w:top w:w="0" w:type="dxa"/>
            <w:left w:w="0" w:type="dxa"/>
            <w:bottom w:w="0" w:type="dxa"/>
            <w:right w:w="0" w:type="dxa"/>
          </w:tblCellMar>
        </w:tblPrEx>
        <w:trPr>
          <w:trHeight w:val="277" w:hRule="atLeast"/>
          <w:jc w:val="center"/>
        </w:trPr>
        <w:tc>
          <w:tcPr>
            <w:tcW w:w="0" w:type="auto"/>
            <w:gridSpan w:val="9"/>
            <w:tcBorders>
              <w:top w:val="nil"/>
              <w:left w:val="nil"/>
              <w:bottom w:val="nil"/>
              <w:right w:val="nil"/>
            </w:tcBorders>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注：本表反映部门本年度一般公共预算财政拨款基本支出明细情况。</w:t>
            </w:r>
          </w:p>
        </w:tc>
      </w:tr>
    </w:tbl>
    <w:p>
      <w:pPr>
        <w:widowControl/>
        <w:snapToGrid w:val="0"/>
        <w:spacing w:after="0" w:line="240" w:lineRule="auto"/>
        <w:jc w:val="left"/>
        <w:textAlignment w:val="center"/>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71552;mso-width-relative:page;mso-height-relative:page;" coordorigin="4551,52615" coordsize="8546,1398203">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5.40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0.40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3.07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2.67</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2.67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0.40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72576;mso-width-relative:page;mso-height-relative:page;" coordorigin="4551,52615" coordsize="8546,1398203">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rPr>
                <w:rFonts w:ascii="宋体" w:hAnsi="宋体" w:cs="宋体"/>
                <w:color w:val="000000"/>
                <w:sz w:val="22"/>
                <w:szCs w:val="22"/>
              </w:rPr>
            </w:pPr>
            <w:r>
              <w:rPr>
                <w:rFonts w:hint="eastAsia" w:ascii="宋体" w:hAnsi="宋体" w:cs="宋体"/>
                <w:color w:val="000000"/>
                <w:kern w:val="0"/>
                <w:szCs w:val="21"/>
              </w:rPr>
              <w:t>注：本表反映部门本年度政府性基金预算财政拨款收入、支出及结转和结余情况。</w:t>
            </w:r>
            <w:r>
              <w:rPr>
                <w:rFonts w:hint="eastAsia" w:ascii="宋体" w:hAnsi="宋体" w:cs="宋体"/>
                <w:color w:val="000000"/>
                <w:sz w:val="22"/>
                <w:szCs w:val="22"/>
              </w:rPr>
              <w:t>本部门本年度无政府性基金预算收入，按要求空表列示。</w:t>
            </w:r>
          </w:p>
          <w:p>
            <w:pPr>
              <w:widowControl/>
              <w:adjustRightInd w:val="0"/>
              <w:spacing w:after="0" w:line="240" w:lineRule="auto"/>
              <w:jc w:val="left"/>
              <w:textAlignment w:val="center"/>
              <w:rPr>
                <w:rFonts w:ascii="宋体" w:cs="宋体"/>
                <w:color w:val="000000"/>
                <w:szCs w:val="21"/>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73600;mso-width-relative:page;mso-height-relative:page;" coordorigin="4551,52615" coordsize="8546,1398203">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rPr>
                <w:rFonts w:ascii="仿宋_GB2312" w:hAnsi="仿宋_GB2312" w:eastAsia="仿宋_GB2312" w:cs="仿宋_GB2312"/>
                <w:sz w:val="20"/>
                <w:szCs w:val="20"/>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sz w:val="22"/>
                <w:szCs w:val="22"/>
              </w:rPr>
              <w:t>本部门本年度无国有资本经营预算支出，按要求空表列示。</w:t>
            </w:r>
          </w:p>
          <w:p>
            <w:pPr>
              <w:widowControl/>
              <w:spacing w:after="0" w:line="240" w:lineRule="auto"/>
              <w:jc w:val="left"/>
              <w:textAlignment w:val="center"/>
              <w:rPr>
                <w:rFonts w:ascii="宋体" w:cs="宋体"/>
                <w:color w:val="000000"/>
                <w:sz w:val="22"/>
                <w:szCs w:val="22"/>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74624;mso-width-relative:page;mso-height-relative:page;" coordorigin="4551,52615" coordsize="8546,1398203">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spacing w:line="420" w:lineRule="exac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注：本表反映部门本年度纳入部门预算范围的政府采购预算及支出情况。本部门本年度无政府采购预算，按要求空表列示。</w:t>
            </w:r>
          </w:p>
          <w:p>
            <w:pPr>
              <w:widowControl/>
              <w:adjustRightInd w:val="0"/>
              <w:snapToGrid w:val="0"/>
              <w:spacing w:after="0" w:line="240" w:lineRule="auto"/>
              <w:jc w:val="left"/>
              <w:textAlignment w:val="center"/>
              <w:rPr>
                <w:rFonts w:ascii="宋体" w:cs="宋体"/>
                <w:color w:val="000000"/>
                <w:szCs w:val="21"/>
              </w:rPr>
            </w:pPr>
          </w:p>
        </w:tc>
      </w:tr>
    </w:tbl>
    <w:p>
      <w:pPr>
        <w:widowControl/>
        <w:spacing w:after="0" w:line="560" w:lineRule="exact"/>
        <w:jc w:val="left"/>
        <w:rPr>
          <w:rFonts w:ascii="仿宋_GB2312" w:hAnsi="宋体" w:eastAsia="仿宋_GB2312"/>
          <w:b/>
          <w:sz w:val="28"/>
          <w:szCs w:val="28"/>
          <w:highlight w:val="yellow"/>
        </w:rPr>
      </w:pP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89984"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5" o:spid="_x0000_s1072" o:spt="202" type="#_x0000_t202" style="position:absolute;left:0pt;margin-left:-78.7pt;margin-top:232.8pt;height:159.1pt;width:596.2pt;z-index:25167564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76672;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spacing w:line="560" w:lineRule="exact"/>
        <w:ind w:firstLine="640" w:firstLineChars="200"/>
        <w:jc w:val="left"/>
        <w:outlineLvl w:val="0"/>
        <w:rPr>
          <w:rFonts w:ascii="宋体" w:hAnsi="宋体" w:eastAsia="仿宋"/>
          <w:sz w:val="28"/>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宋体" w:hAnsi="宋体" w:eastAsia="仿宋"/>
          <w:sz w:val="28"/>
          <w:szCs w:val="32"/>
        </w:rPr>
        <w:t>1424.31</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w:t>
      </w:r>
      <w:r>
        <w:rPr>
          <w:rFonts w:hint="eastAsia" w:ascii="宋体" w:hAnsi="宋体" w:eastAsia="仿宋"/>
          <w:sz w:val="28"/>
          <w:szCs w:val="32"/>
        </w:rPr>
        <w:t>94.06</w:t>
      </w:r>
      <w:r>
        <w:rPr>
          <w:rFonts w:hint="eastAsia" w:ascii="仿宋_GB2312" w:eastAsia="仿宋_GB2312" w:cs="DengXian-Regular"/>
          <w:sz w:val="32"/>
          <w:szCs w:val="32"/>
        </w:rPr>
        <w:t>万元，降低6.6</w:t>
      </w:r>
      <w:r>
        <w:rPr>
          <w:rFonts w:ascii="仿宋_GB2312" w:eastAsia="仿宋_GB2312" w:cs="DengXian-Regular"/>
          <w:sz w:val="32"/>
          <w:szCs w:val="32"/>
        </w:rPr>
        <w:t>%</w:t>
      </w:r>
      <w:r>
        <w:rPr>
          <w:rFonts w:hint="eastAsia" w:ascii="仿宋_GB2312" w:eastAsia="仿宋_GB2312" w:cs="DengXian-Regular"/>
          <w:sz w:val="32"/>
          <w:szCs w:val="32"/>
        </w:rPr>
        <w:t>，主要原因是离休老干部因去世等原因自然减员减少了工资支出，且单位积极响应厉行节约的号召尽量缩减不必要的经费开支</w:t>
      </w:r>
      <w:r>
        <w:rPr>
          <w:rFonts w:hint="eastAsia" w:ascii="宋体" w:hAnsi="宋体" w:eastAsia="仿宋"/>
          <w:sz w:val="28"/>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宋体" w:hAnsi="宋体" w:eastAsia="仿宋"/>
          <w:sz w:val="28"/>
          <w:szCs w:val="32"/>
        </w:rPr>
        <w:t>1424.31</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w:t>
      </w:r>
      <w:r>
        <w:rPr>
          <w:rFonts w:hint="eastAsia" w:ascii="宋体" w:hAnsi="宋体" w:eastAsia="仿宋"/>
          <w:sz w:val="28"/>
          <w:szCs w:val="32"/>
        </w:rPr>
        <w:t>94.06</w:t>
      </w:r>
      <w:r>
        <w:rPr>
          <w:rFonts w:hint="eastAsia" w:ascii="仿宋_GB2312" w:eastAsia="仿宋_GB2312" w:cs="DengXian-Regular"/>
          <w:sz w:val="32"/>
          <w:szCs w:val="32"/>
        </w:rPr>
        <w:t>万元，降低6.6</w:t>
      </w:r>
      <w:r>
        <w:rPr>
          <w:rFonts w:ascii="仿宋_GB2312" w:eastAsia="仿宋_GB2312" w:cs="DengXian-Regular"/>
          <w:sz w:val="32"/>
          <w:szCs w:val="32"/>
        </w:rPr>
        <w:t>%</w:t>
      </w:r>
      <w:r>
        <w:rPr>
          <w:rFonts w:hint="eastAsia" w:ascii="仿宋_GB2312" w:eastAsia="仿宋_GB2312" w:cs="DengXian-Regular"/>
          <w:sz w:val="32"/>
          <w:szCs w:val="32"/>
        </w:rPr>
        <w:t>，主要原因是离休老干部因去世等原因自然减员减少了工资支出，且单位积极响应厉行节约的号召尽量缩减不必要的经费开支</w:t>
      </w:r>
      <w:r>
        <w:rPr>
          <w:rFonts w:hint="eastAsia" w:ascii="宋体" w:hAnsi="宋体" w:eastAsia="仿宋"/>
          <w:sz w:val="28"/>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宋体" w:hAnsi="宋体" w:eastAsia="仿宋"/>
          <w:sz w:val="28"/>
          <w:szCs w:val="32"/>
        </w:rPr>
        <w:t>1424.31</w:t>
      </w:r>
      <w:r>
        <w:rPr>
          <w:rFonts w:hint="eastAsia" w:ascii="仿宋_GB2312" w:eastAsia="仿宋_GB2312" w:cs="DengXian-Regular"/>
          <w:sz w:val="32"/>
          <w:szCs w:val="32"/>
        </w:rPr>
        <w:t>万元，其中：财政拨款收入</w:t>
      </w:r>
      <w:r>
        <w:rPr>
          <w:rFonts w:hint="eastAsia" w:ascii="宋体" w:hAnsi="宋体" w:eastAsia="仿宋"/>
          <w:sz w:val="28"/>
          <w:szCs w:val="32"/>
        </w:rPr>
        <w:t>1424.31</w:t>
      </w:r>
      <w:r>
        <w:rPr>
          <w:rFonts w:hint="eastAsia" w:ascii="仿宋_GB2312" w:eastAsia="仿宋_GB2312" w:cs="DengXian-Regular"/>
          <w:sz w:val="32"/>
          <w:szCs w:val="32"/>
        </w:rPr>
        <w:t>万元，占100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宋体" w:hAnsi="宋体" w:eastAsia="仿宋"/>
          <w:sz w:val="28"/>
          <w:szCs w:val="32"/>
        </w:rPr>
        <w:t>1424.31</w:t>
      </w:r>
      <w:r>
        <w:rPr>
          <w:rFonts w:hint="eastAsia" w:ascii="仿宋_GB2312" w:eastAsia="仿宋_GB2312" w:cs="DengXian-Regular"/>
          <w:sz w:val="32"/>
          <w:szCs w:val="32"/>
        </w:rPr>
        <w:t>万元，其中：基本支出1424.31万元，占100</w:t>
      </w:r>
      <w:r>
        <w:rPr>
          <w:rFonts w:ascii="仿宋_GB2312" w:eastAsia="仿宋_GB2312" w:cs="DengXian-Regular"/>
          <w:sz w:val="32"/>
          <w:szCs w:val="32"/>
        </w:rPr>
        <w:t>%</w:t>
      </w:r>
      <w:r>
        <w:rPr>
          <w:rFonts w:hint="eastAsia" w:ascii="仿宋_GB2312" w:eastAsia="仿宋_GB2312" w:cs="DengXian-Regular"/>
          <w:sz w:val="32"/>
          <w:szCs w:val="32"/>
        </w:rPr>
        <w:t>；</w:t>
      </w:r>
      <w:r>
        <w:pict>
          <v:group id="组合 70" o:spid="_x0000_s1082" o:spt="203" style="position:absolute;left:0pt;margin-left:-79.5pt;margin-top:29.3pt;height:43.95pt;width:301.85pt;mso-position-vertical-relative:page;z-index:251677696;mso-width-relative:page;mso-height-relative:page;" coordorigin="4551,52615" coordsize="8546,1398203">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161" w:firstLineChars="5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宋体" w:hAnsi="宋体" w:eastAsia="仿宋"/>
          <w:sz w:val="28"/>
          <w:szCs w:val="32"/>
        </w:rPr>
        <w:t>1424.31</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年度减少94.06万元，降低6.60</w:t>
      </w:r>
      <w:r>
        <w:rPr>
          <w:rFonts w:ascii="仿宋_GB2312" w:eastAsia="仿宋_GB2312" w:cs="DengXian-Regular"/>
          <w:sz w:val="32"/>
          <w:szCs w:val="32"/>
        </w:rPr>
        <w:t>%</w:t>
      </w:r>
      <w:r>
        <w:rPr>
          <w:rFonts w:hint="eastAsia" w:ascii="仿宋_GB2312" w:eastAsia="仿宋_GB2312" w:cs="DengXian-Regular"/>
          <w:sz w:val="32"/>
          <w:szCs w:val="32"/>
        </w:rPr>
        <w:t>，主要是离休老干部因去世等原因自然减员减少了工资支出，且单位积极响应厉行节约的号召尽量缩减不必要的经费开支；本年支出1424.31万元，减少94.06万元，降低6.60</w:t>
      </w:r>
      <w:r>
        <w:rPr>
          <w:rFonts w:ascii="仿宋_GB2312" w:eastAsia="仿宋_GB2312" w:cs="DengXian-Regular"/>
          <w:sz w:val="32"/>
          <w:szCs w:val="32"/>
        </w:rPr>
        <w:t>%</w:t>
      </w:r>
      <w:r>
        <w:rPr>
          <w:rFonts w:hint="eastAsia" w:ascii="仿宋_GB2312" w:eastAsia="仿宋_GB2312" w:cs="DengXian-Regular"/>
          <w:sz w:val="32"/>
          <w:szCs w:val="32"/>
        </w:rPr>
        <w:t>，主要是离休老干部因去世等原因自然减员减少了工资支出，且单位积极响应厉行节约的号召尽量缩减不必要的经费开支。</w:t>
      </w:r>
    </w:p>
    <w:p>
      <w:pPr>
        <w:spacing w:after="0" w:line="580" w:lineRule="exact"/>
        <w:ind w:firstLine="161" w:firstLineChars="5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宋体" w:hAnsi="宋体" w:eastAsia="仿宋"/>
          <w:sz w:val="28"/>
          <w:szCs w:val="32"/>
        </w:rPr>
        <w:t>1424.31</w:t>
      </w:r>
      <w:r>
        <w:rPr>
          <w:rFonts w:hint="eastAsia" w:ascii="仿宋_GB2312" w:eastAsia="仿宋_GB2312" w:cs="DengXian-Regular"/>
          <w:sz w:val="32"/>
          <w:szCs w:val="32"/>
        </w:rPr>
        <w:t>万元，完成年初预算的98.80</w:t>
      </w:r>
      <w:r>
        <w:rPr>
          <w:rFonts w:ascii="仿宋_GB2312" w:eastAsia="仿宋_GB2312" w:cs="DengXian-Regular"/>
          <w:sz w:val="32"/>
          <w:szCs w:val="32"/>
        </w:rPr>
        <w:t>%,</w:t>
      </w:r>
      <w:r>
        <w:rPr>
          <w:rFonts w:hint="eastAsia" w:ascii="仿宋_GB2312" w:eastAsia="仿宋_GB2312" w:cs="DengXian-Regular"/>
          <w:sz w:val="32"/>
          <w:szCs w:val="32"/>
        </w:rPr>
        <w:t>比年初预算减少17.32万元，决算数小于预算数主要原因是离休老干部因去世等原因自然减员减少了工资支出，且单位积极响应厉行节约的号召尽量缩减不必要的经费开支；本年支出</w:t>
      </w:r>
      <w:r>
        <w:rPr>
          <w:rFonts w:hint="eastAsia" w:ascii="宋体" w:hAnsi="宋体" w:eastAsia="仿宋"/>
          <w:sz w:val="28"/>
          <w:szCs w:val="32"/>
        </w:rPr>
        <w:t>1424.31</w:t>
      </w:r>
      <w:r>
        <w:rPr>
          <w:rFonts w:hint="eastAsia" w:ascii="仿宋_GB2312" w:eastAsia="仿宋_GB2312" w:cs="DengXian-Regular"/>
          <w:sz w:val="32"/>
          <w:szCs w:val="32"/>
        </w:rPr>
        <w:t>万元，完成年初预算的98.80</w:t>
      </w:r>
      <w:r>
        <w:rPr>
          <w:rFonts w:ascii="仿宋_GB2312" w:eastAsia="仿宋_GB2312" w:cs="DengXian-Regular"/>
          <w:sz w:val="32"/>
          <w:szCs w:val="32"/>
        </w:rPr>
        <w:t>%,</w:t>
      </w:r>
      <w:r>
        <w:rPr>
          <w:rFonts w:hint="eastAsia" w:ascii="仿宋_GB2312" w:eastAsia="仿宋_GB2312" w:cs="DengXian-Regular"/>
          <w:sz w:val="32"/>
          <w:szCs w:val="32"/>
        </w:rPr>
        <w:t>比年初预算减少17.32万元，决算数小于预算数主要原因是离休老干部因去世等原因自然减员减少了工资支出，且单位积极响应厉行节约的号召尽量缩减不必要的经费开支。</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宋体" w:hAnsi="宋体" w:eastAsia="仿宋"/>
          <w:sz w:val="28"/>
          <w:szCs w:val="32"/>
        </w:rPr>
        <w:t>1424.31</w:t>
      </w:r>
      <w:r>
        <w:rPr>
          <w:rFonts w:hint="eastAsia" w:ascii="仿宋_GB2312" w:eastAsia="仿宋_GB2312" w:cs="DengXian-Regular"/>
          <w:sz w:val="32"/>
          <w:szCs w:val="32"/>
        </w:rPr>
        <w:t>万元，主要用于以下方面一般公共服务（类）支出70.15万元，占4.93</w:t>
      </w:r>
      <w:r>
        <w:rPr>
          <w:rFonts w:ascii="仿宋_GB2312" w:eastAsia="仿宋_GB2312" w:cs="DengXian-Regular"/>
          <w:sz w:val="32"/>
          <w:szCs w:val="32"/>
        </w:rPr>
        <w:t>%</w:t>
      </w:r>
      <w:r>
        <w:rPr>
          <w:rFonts w:hint="eastAsia" w:ascii="仿宋_GB2312" w:eastAsia="仿宋_GB2312" w:cs="DengXian-Regular"/>
          <w:sz w:val="32"/>
          <w:szCs w:val="32"/>
        </w:rPr>
        <w:t>；社会保障和就业（类）支出1349.75万元，占94.77</w:t>
      </w:r>
      <w:r>
        <w:rPr>
          <w:rFonts w:ascii="仿宋_GB2312" w:eastAsia="仿宋_GB2312" w:cs="DengXian-Regular"/>
          <w:sz w:val="32"/>
          <w:szCs w:val="32"/>
        </w:rPr>
        <w:t>%</w:t>
      </w:r>
      <w:r>
        <w:rPr>
          <w:rFonts w:hint="eastAsia" w:ascii="仿宋_GB2312" w:eastAsia="仿宋_GB2312" w:cs="DengXian-Regular"/>
          <w:sz w:val="32"/>
          <w:szCs w:val="32"/>
        </w:rPr>
        <w:t>；住房保障（类）支出4.41万元，占0.31</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78720;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 w:hAnsi="仿宋" w:eastAsia="仿宋" w:cs="仿宋"/>
          <w:sz w:val="32"/>
          <w:szCs w:val="32"/>
        </w:rPr>
        <w:t>1424.31</w:t>
      </w:r>
      <w:r>
        <w:rPr>
          <w:rFonts w:hint="eastAsia" w:ascii="仿宋_GB2312" w:eastAsia="仿宋_GB2312" w:cs="DengXian-Regular"/>
          <w:sz w:val="32"/>
          <w:szCs w:val="32"/>
        </w:rPr>
        <w:t>万元，其中：人员经费</w:t>
      </w:r>
      <w:r>
        <w:rPr>
          <w:rFonts w:hint="eastAsia" w:ascii="宋体" w:hAnsi="宋体"/>
          <w:sz w:val="32"/>
          <w:szCs w:val="32"/>
        </w:rPr>
        <w:t>1399.59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宋体" w:hAnsi="宋体"/>
          <w:sz w:val="32"/>
          <w:szCs w:val="32"/>
        </w:rPr>
        <w:t>24.72</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年度“三公”经费支出共计3.07万元，</w:t>
      </w:r>
      <w:r>
        <w:rPr>
          <w:rFonts w:hint="eastAsia" w:ascii="仿宋_GB2312" w:eastAsia="仿宋_GB2312" w:cs="DengXian-Regular"/>
          <w:b/>
          <w:bCs/>
          <w:sz w:val="32"/>
          <w:szCs w:val="32"/>
        </w:rPr>
        <w:t>较年初预算减少2.33万元，降低43.15</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79744;mso-width-relative:page;mso-height-relative:page;" coordorigin="4551,52615" coordsize="8546,1398203">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年度无本单位组织的出国（境）团组。</w:t>
      </w:r>
      <w:r>
        <w:rPr>
          <w:rFonts w:hint="eastAsia" w:ascii="仿宋_GB2312" w:eastAsia="仿宋_GB2312" w:cs="DengXian-Regular"/>
          <w:color w:val="000000"/>
          <w:sz w:val="32"/>
          <w:szCs w:val="32"/>
        </w:rPr>
        <w:t>未发生</w:t>
      </w:r>
      <w:r>
        <w:rPr>
          <w:rFonts w:hint="eastAsia" w:ascii="仿宋_GB2312" w:eastAsia="仿宋_GB2312" w:cs="DengXian-Regular"/>
          <w:sz w:val="32"/>
          <w:szCs w:val="32"/>
        </w:rPr>
        <w:t>‘因公出国（境）费’经费支出。0组次0人次。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（二）公务用车购置及运行维护费支出2.670万元。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年度公务用车购置及运行维护费较年初预算减少2.33万元，降低46.60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年度单位公务用车保有量2辆。公车运行维护费支出较年初预算减少2.33万元，降低46.60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（三）公务接待费支出0.4万元。</w:t>
      </w:r>
      <w:r>
        <w:pict>
          <v:group id="_x0000_s1109" o:spid="_x0000_s1109" o:spt="203" style="position:absolute;left:0pt;margin-left:-79.5pt;margin-top:29.3pt;height:43.95pt;width:301.85pt;mso-position-vertical-relative:page;z-index:251680768;mso-width-relative:page;mso-height-relative:page;" coordorigin="4551,52615" coordsize="8546,1398203">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年度公务接待共8批次、83人次。公务接待费支出</w:t>
      </w:r>
      <w:r>
        <w:rPr>
          <w:rFonts w:hint="eastAsia" w:ascii="仿宋" w:hAnsi="仿宋" w:eastAsia="仿宋" w:cs="仿宋"/>
          <w:sz w:val="32"/>
          <w:szCs w:val="32"/>
        </w:rPr>
        <w:t>与年初预算持平。</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pStyle w:val="33"/>
        <w:ind w:left="640" w:leftChars="305" w:firstLine="640" w:firstLineChars="200"/>
        <w:rPr>
          <w:rFonts w:ascii="仿宋" w:hAnsi="仿宋" w:eastAsia="仿宋" w:cs="仿宋"/>
          <w:color w:val="auto"/>
          <w:kern w:val="2"/>
          <w:sz w:val="32"/>
          <w:szCs w:val="32"/>
        </w:rPr>
      </w:pPr>
      <w:r>
        <w:rPr>
          <w:rFonts w:hint="eastAsia" w:ascii="仿宋" w:hAnsi="仿宋" w:eastAsia="仿宋" w:cs="仿宋"/>
          <w:color w:val="auto"/>
          <w:kern w:val="2"/>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w:t>
      </w:r>
    </w:p>
    <w:p>
      <w:pPr>
        <w:adjustRightInd w:val="0"/>
        <w:snapToGrid w:val="0"/>
        <w:spacing w:line="580" w:lineRule="exact"/>
        <w:ind w:firstLine="482" w:firstLineChars="15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ascii="仿宋_GB2312" w:hAnsi="仿宋_GB2312" w:eastAsia="仿宋_GB2312" w:cs="仿宋_GB2312"/>
          <w:sz w:val="32"/>
          <w:szCs w:val="32"/>
        </w:rPr>
        <w:t>2019年离休老干部医药费</w:t>
      </w:r>
      <w:r>
        <w:rPr>
          <w:rFonts w:hint="eastAsia" w:ascii="仿宋_GB2312" w:hAnsi="仿宋_GB2312" w:eastAsia="仿宋_GB2312" w:cs="仿宋_GB2312"/>
          <w:sz w:val="32"/>
          <w:szCs w:val="32"/>
        </w:rPr>
        <w:t>项目及离退休人员管理机构项目等2个项目绩效自评结果。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201</w:t>
      </w:r>
      <w:r>
        <w:rPr>
          <w:rFonts w:hint="eastAsia" w:ascii="仿宋_GB2312" w:hAnsi="仿宋_GB2312" w:eastAsia="仿宋_GB2312" w:cs="仿宋_GB2312"/>
          <w:sz w:val="32"/>
          <w:szCs w:val="32"/>
        </w:rPr>
        <w:t>8</w:t>
      </w:r>
      <w:r>
        <w:rPr>
          <w:rFonts w:ascii="仿宋_GB2312" w:hAnsi="仿宋_GB2312" w:eastAsia="仿宋_GB2312" w:cs="仿宋_GB2312"/>
          <w:sz w:val="32"/>
          <w:szCs w:val="32"/>
        </w:rPr>
        <w:t>年离休老干部医药费</w:t>
      </w:r>
      <w:r>
        <w:rPr>
          <w:rFonts w:hint="eastAsia" w:ascii="仿宋_GB2312" w:hAnsi="仿宋_GB2312" w:eastAsia="仿宋_GB2312" w:cs="仿宋_GB2312"/>
          <w:sz w:val="32"/>
          <w:szCs w:val="32"/>
        </w:rPr>
        <w:t>项目自评综述：根据年初设定的绩效目标，</w:t>
      </w:r>
      <w:r>
        <w:rPr>
          <w:rFonts w:ascii="仿宋_GB2312" w:hAnsi="仿宋_GB2312" w:eastAsia="仿宋_GB2312" w:cs="仿宋_GB2312"/>
          <w:sz w:val="32"/>
          <w:szCs w:val="32"/>
        </w:rPr>
        <w:t>201</w:t>
      </w:r>
      <w:r>
        <w:rPr>
          <w:rFonts w:hint="eastAsia" w:ascii="仿宋_GB2312" w:hAnsi="仿宋_GB2312" w:eastAsia="仿宋_GB2312" w:cs="仿宋_GB2312"/>
          <w:sz w:val="32"/>
          <w:szCs w:val="32"/>
        </w:rPr>
        <w:t>8</w:t>
      </w:r>
      <w:r>
        <w:rPr>
          <w:rFonts w:ascii="仿宋_GB2312" w:hAnsi="仿宋_GB2312" w:eastAsia="仿宋_GB2312" w:cs="仿宋_GB2312"/>
          <w:sz w:val="32"/>
          <w:szCs w:val="32"/>
        </w:rPr>
        <w:t>年离休老干部医药费</w:t>
      </w:r>
      <w:r>
        <w:rPr>
          <w:rFonts w:hint="eastAsia" w:ascii="仿宋_GB2312" w:hAnsi="仿宋_GB2312" w:eastAsia="仿宋_GB2312" w:cs="仿宋_GB2312"/>
          <w:sz w:val="32"/>
          <w:szCs w:val="32"/>
        </w:rPr>
        <w:t>项目绩效自评得分为100分。全年预算数为800.00万元，执行数为600.85万元，完成预算的75.11%。离休干部药费报销工作根据离休干部住院、用药实际情况报销，实际发生比预算额度要少。项目绩效目标完成情况：一是及时足额发放离休干部药费；二是离休干部及家属满意。暂未发现明显问题。</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离退休人员管理机构项目绩效自评综述：离退休人员管理机构项目自评综述：根据年初设定的绩效目标，离退休人员管理机构项目绩效自评得分为98分。全年预算数为34.40万元，执行数为34.40万元，完成预算的100%。项目绩效目标完成情况：一是建设、管理、使用好老年活动阵地，完善、更新老年教育设施，并指导全区阵地建设；二是离休干部及家属满意。暂未发现明显问题。</w:t>
      </w:r>
    </w:p>
    <w:p>
      <w:pPr>
        <w:keepNext/>
        <w:keepLines/>
        <w:numPr>
          <w:ilvl w:val="0"/>
          <w:numId w:val="2"/>
        </w:numPr>
        <w:snapToGrid w:val="0"/>
        <w:spacing w:after="0" w:line="580" w:lineRule="exact"/>
        <w:ind w:firstLine="64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财政评价项目绩效评价结果</w:t>
      </w:r>
    </w:p>
    <w:p>
      <w:pPr>
        <w:keepNext/>
        <w:keepLines/>
        <w:snapToGrid w:val="0"/>
        <w:spacing w:line="580" w:lineRule="exact"/>
        <w:ind w:firstLine="640" w:firstLineChars="200"/>
        <w:jc w:val="left"/>
        <w:outlineLvl w:val="1"/>
        <w:rPr>
          <w:rFonts w:ascii="仿宋_GB2312" w:hAnsi="仿宋_GB2312" w:eastAsia="仿宋_GB2312" w:cs="仿宋_GB2312"/>
          <w:b/>
          <w:bCs/>
          <w:sz w:val="32"/>
          <w:szCs w:val="32"/>
        </w:rPr>
      </w:pPr>
      <w:r>
        <w:rPr>
          <w:rFonts w:hint="eastAsia" w:ascii="仿宋_GB2312" w:hAnsi="仿宋_GB2312" w:eastAsia="仿宋_GB2312" w:cs="仿宋_GB2312"/>
          <w:sz w:val="32"/>
          <w:szCs w:val="32"/>
        </w:rPr>
        <w:t>暂无财政评价项目绩效报告，无项目绩效评价结果与绩效评价表</w:t>
      </w:r>
      <w:r>
        <w:rPr>
          <w:rFonts w:hint="eastAsia" w:ascii="仿宋_GB2312" w:hAnsi="仿宋_GB2312" w:eastAsia="仿宋_GB2312" w:cs="仿宋_GB2312"/>
          <w:b/>
          <w:bCs/>
          <w:sz w:val="32"/>
          <w:szCs w:val="32"/>
        </w:rPr>
        <w:t>。</w:t>
      </w:r>
    </w:p>
    <w:p>
      <w:pPr>
        <w:pStyle w:val="33"/>
        <w:ind w:left="640" w:leftChars="305" w:firstLine="640" w:firstLineChars="200"/>
        <w:rPr>
          <w:rFonts w:ascii="仿宋" w:hAnsi="仿宋" w:eastAsia="仿宋" w:cs="仿宋"/>
          <w:color w:val="auto"/>
          <w:kern w:val="2"/>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年度机关运行经费支出24.72万元，比年初预算数增加4.23万元，增长21.00</w:t>
      </w:r>
      <w:r>
        <w:rPr>
          <w:rFonts w:ascii="仿宋_GB2312" w:eastAsia="仿宋_GB2312" w:cs="DengXian-Regular"/>
          <w:sz w:val="32"/>
          <w:szCs w:val="32"/>
        </w:rPr>
        <w:t>%</w:t>
      </w:r>
      <w:r>
        <w:rPr>
          <w:rFonts w:hint="eastAsia" w:ascii="仿宋_GB2312" w:eastAsia="仿宋_GB2312" w:cs="DengXian-Regular"/>
          <w:sz w:val="32"/>
          <w:szCs w:val="32"/>
        </w:rPr>
        <w:t>。主要原因是工作任务增多，办公费用有所增加。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ascii="仿宋_GB2312" w:hAnsi="仿宋_GB2312" w:eastAsia="仿宋_GB2312" w:cs="仿宋_GB2312"/>
          <w:b w:val="0"/>
          <w:bCs w:val="0"/>
          <w:color w:val="000000"/>
          <w:kern w:val="0"/>
        </w:rPr>
      </w:pPr>
      <w:r>
        <w:rPr>
          <w:rFonts w:hint="eastAsia" w:ascii="仿宋_GB2312" w:eastAsia="仿宋_GB2312" w:cs="DengXian-Regular"/>
          <w:b w:val="0"/>
          <w:bCs w:val="0"/>
        </w:rPr>
        <w:t>本部门</w:t>
      </w:r>
      <w:r>
        <w:rPr>
          <w:rFonts w:ascii="仿宋_GB2312" w:eastAsia="仿宋_GB2312" w:cs="DengXian-Regular"/>
          <w:b w:val="0"/>
          <w:bCs w:val="0"/>
        </w:rPr>
        <w:t>201</w:t>
      </w:r>
      <w:r>
        <w:rPr>
          <w:rFonts w:hint="eastAsia" w:ascii="仿宋_GB2312" w:eastAsia="仿宋_GB2312" w:cs="DengXian-Regular"/>
          <w:b w:val="0"/>
          <w:bCs w:val="0"/>
        </w:rPr>
        <w:t>8年度政府采购支出总额0万元，从采购类型来看，</w:t>
      </w:r>
      <w:r>
        <w:rPr>
          <w:rFonts w:hint="eastAsia" w:ascii="仿宋_GB2312" w:hAnsi="仿宋_GB2312" w:eastAsia="仿宋_GB2312" w:cs="仿宋_GB2312"/>
          <w:b w:val="0"/>
          <w:bCs w:val="0"/>
          <w:color w:val="000000"/>
          <w:kern w:val="0"/>
        </w:rPr>
        <w:t>政府采购货物支出0万元、政府采购工程支出0万元、政府采购服务支出0万元。授予中小企业合同金0万元，占政府采购支出总额的0</w:t>
      </w:r>
      <w:r>
        <w:rPr>
          <w:rFonts w:ascii="仿宋_GB2312" w:hAnsi="仿宋_GB2312" w:eastAsia="仿宋_GB2312" w:cs="仿宋_GB2312"/>
          <w:b w:val="0"/>
          <w:bCs w:val="0"/>
          <w:color w:val="000000"/>
          <w:kern w:val="0"/>
        </w:rPr>
        <w:t>%</w:t>
      </w:r>
      <w:r>
        <w:rPr>
          <w:rFonts w:hint="eastAsia" w:ascii="仿宋_GB2312" w:hAnsi="仿宋_GB2312" w:eastAsia="仿宋_GB2312" w:cs="仿宋_GB2312"/>
          <w:b w:val="0"/>
          <w:bCs w:val="0"/>
          <w:color w:val="000000"/>
          <w:kern w:val="0"/>
        </w:rPr>
        <w:t>，其中授予小微企业合同金额0万元，占政府采购支出总额的0</w:t>
      </w:r>
      <w:r>
        <w:rPr>
          <w:rFonts w:ascii="仿宋_GB2312" w:hAnsi="仿宋_GB2312" w:eastAsia="仿宋_GB2312" w:cs="仿宋_GB2312"/>
          <w:b w:val="0"/>
          <w:bCs w:val="0"/>
          <w:color w:val="000000"/>
          <w:kern w:val="0"/>
        </w:rPr>
        <w:t>%</w:t>
      </w:r>
      <w:r>
        <w:rPr>
          <w:rFonts w:hint="eastAsia" w:ascii="仿宋_GB2312" w:hAnsi="仿宋_GB2312" w:eastAsia="仿宋_GB2312" w:cs="仿宋_GB2312"/>
          <w:b w:val="0"/>
          <w:bCs w:val="0"/>
          <w:color w:val="000000"/>
          <w:kern w:val="0"/>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spacing w:line="560" w:lineRule="exact"/>
        <w:ind w:firstLine="640" w:firstLineChars="200"/>
        <w:jc w:val="left"/>
        <w:outlineLvl w:val="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日，本部门共有车辆2辆，比上年无变化。其中，离退休干部用车1辆，其他用车1辆。</w:t>
      </w:r>
      <w:r>
        <w:rPr>
          <w:rFonts w:hint="eastAsia" w:ascii="仿宋" w:hAnsi="仿宋" w:eastAsia="仿宋"/>
          <w:sz w:val="32"/>
          <w:szCs w:val="32"/>
        </w:rPr>
        <w:t>固定资产总金额27.73万元，2018年没有购置固定资产的预算。2018年固定资产变动情况：本年度未变动。</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万元以上通用设备0台（套），比上年增加（0套0，单位价值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w:t>
      </w:r>
    </w:p>
    <w:p>
      <w:pPr>
        <w:spacing w:line="560" w:lineRule="exact"/>
        <w:ind w:firstLine="640" w:firstLineChars="200"/>
        <w:jc w:val="left"/>
        <w:outlineLvl w:val="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年度无收支及结转结余情况。本部门</w:t>
      </w:r>
      <w:r>
        <w:rPr>
          <w:rFonts w:ascii="仿宋_GB2312" w:eastAsia="仿宋_GB2312" w:cs="DengXian-Regular"/>
          <w:sz w:val="32"/>
          <w:szCs w:val="32"/>
        </w:rPr>
        <w:t>20</w:t>
      </w:r>
      <w:r>
        <w:rPr>
          <w:rFonts w:hint="eastAsia" w:ascii="仿宋_GB2312" w:eastAsia="仿宋_GB2312" w:cs="DengXian-Regular"/>
          <w:sz w:val="32"/>
          <w:szCs w:val="32"/>
        </w:rPr>
        <w:t>18年度无政府性基金预算财政拨款收支、无国有资本经营预算财政拨款支出，故政府性基金预算财政拨款收入支出决算表、国有资本经营预算财政拨款支出决算表以空表列示。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1792;mso-width-relative:page;mso-height-relative:page;" coordorigin="4551,52615" coordsize="8546,1398203">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91008"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22" o:spid="_x0000_s1119" o:spt="202" type="#_x0000_t202" style="position:absolute;left:0pt;margin-left:-78.7pt;margin-top:232.8pt;height:159.1pt;width:596.2pt;z-index:25168281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spacing w:line="600" w:lineRule="exact"/>
        <w:outlineLvl w:val="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解释</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83840;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4864;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5888;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w:t>
      </w:r>
      <w:r>
        <w:rPr>
          <w:rFonts w:hint="eastAsia" w:ascii="宋体" w:hAnsi="宋体" w:cs="宋体"/>
          <w:b/>
          <w:bCs/>
          <w:color w:val="000000"/>
          <w:kern w:val="0"/>
          <w:sz w:val="32"/>
          <w:szCs w:val="32"/>
        </w:rPr>
        <w:t>式</w:t>
      </w:r>
      <w:r>
        <w:rPr>
          <w:rFonts w:hint="eastAsia" w:ascii="仿宋_GB2312" w:hAnsi="宋体" w:eastAsia="仿宋_GB2312"/>
          <w:b/>
          <w:bCs/>
          <w:color w:val="000000"/>
          <w:kern w:val="0"/>
          <w:sz w:val="32"/>
          <w:szCs w:val="32"/>
        </w:rPr>
        <w:t>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9537A3-1011-474E-A17C-FB4CEBFF64E3}"/>
  </w:font>
  <w:font w:name="Arial">
    <w:panose1 w:val="020B0604020202020204"/>
    <w:charset w:val="01"/>
    <w:family w:val="swiss"/>
    <w:pitch w:val="default"/>
    <w:sig w:usb0="E0002AFF" w:usb1="C0007843" w:usb2="00000009" w:usb3="00000000" w:csb0="400001FF" w:csb1="FFFF0000"/>
    <w:embedRegular r:id="rId2" w:fontKey="{BC65E6E1-5802-459A-8EA5-A10F3762178B}"/>
  </w:font>
  <w:font w:name="黑体">
    <w:panose1 w:val="02010609060101010101"/>
    <w:charset w:val="86"/>
    <w:family w:val="auto"/>
    <w:pitch w:val="default"/>
    <w:sig w:usb0="800002BF" w:usb1="38CF7CFA" w:usb2="00000016" w:usb3="00000000" w:csb0="00040001" w:csb1="00000000"/>
    <w:embedRegular r:id="rId3" w:fontKey="{D30A64F3-7629-4635-8125-754F82BBFC40}"/>
  </w:font>
  <w:font w:name="Courier New">
    <w:panose1 w:val="02070309020205020404"/>
    <w:charset w:val="01"/>
    <w:family w:val="modern"/>
    <w:pitch w:val="default"/>
    <w:sig w:usb0="E0002AFF" w:usb1="C0007843" w:usb2="00000009" w:usb3="00000000" w:csb0="400001FF" w:csb1="FFFF0000"/>
    <w:embedRegular r:id="rId4" w:fontKey="{55A7D806-5740-400C-B7EB-3CB021C6C0A0}"/>
  </w:font>
  <w:font w:name="Symbol">
    <w:panose1 w:val="05050102010706020507"/>
    <w:charset w:val="02"/>
    <w:family w:val="roman"/>
    <w:pitch w:val="default"/>
    <w:sig w:usb0="00000000" w:usb1="00000000" w:usb2="00000000" w:usb3="00000000" w:csb0="80000000" w:csb1="00000000"/>
    <w:embedRegular r:id="rId5" w:fontKey="{8BFFFADB-B79D-4C03-9746-FB42391C7DF9}"/>
  </w:font>
  <w:font w:name="Calibri">
    <w:panose1 w:val="020F0502020204030204"/>
    <w:charset w:val="00"/>
    <w:family w:val="swiss"/>
    <w:pitch w:val="default"/>
    <w:sig w:usb0="E00002FF" w:usb1="4000ACFF" w:usb2="00000001" w:usb3="00000000" w:csb0="2000019F" w:csb1="00000000"/>
    <w:embedRegular r:id="rId6" w:fontKey="{25A98106-204F-4098-96AE-DA4DE6546BC9}"/>
  </w:font>
  <w:font w:name="Cambria">
    <w:panose1 w:val="02040503050406030204"/>
    <w:charset w:val="00"/>
    <w:family w:val="roman"/>
    <w:pitch w:val="default"/>
    <w:sig w:usb0="E00002FF" w:usb1="400004FF" w:usb2="00000000" w:usb3="00000000" w:csb0="2000019F" w:csb1="00000000"/>
    <w:embedRegular r:id="rId7" w:fontKey="{A8A31DE2-83A1-4BB6-95B4-4C8839146F69}"/>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32020435-222E-4FC6-BD21-9489CCAA5C43}"/>
  </w:font>
  <w:font w:name="仿宋_GB2312">
    <w:altName w:val="仿宋"/>
    <w:panose1 w:val="00000000000000000000"/>
    <w:charset w:val="86"/>
    <w:family w:val="modern"/>
    <w:pitch w:val="default"/>
    <w:sig w:usb0="00000000" w:usb1="00000000" w:usb2="00000010" w:usb3="00000000" w:csb0="00040000" w:csb1="00000000"/>
    <w:embedRegular r:id="rId9" w:fontKey="{82F665D2-8CEF-499F-9D2E-A29C303F8604}"/>
  </w:font>
  <w:font w:name="仿宋">
    <w:panose1 w:val="02010609060101010101"/>
    <w:charset w:val="86"/>
    <w:family w:val="auto"/>
    <w:pitch w:val="default"/>
    <w:sig w:usb0="800002BF" w:usb1="38CF7CFA" w:usb2="00000016" w:usb3="00000000" w:csb0="00040001" w:csb1="00000000"/>
    <w:embedRegular r:id="rId10" w:fontKey="{D4003801-99BD-4CBF-9775-874FA436BB45}"/>
  </w:font>
  <w:font w:name="MS Gothic">
    <w:panose1 w:val="020B0609070205080204"/>
    <w:charset w:val="80"/>
    <w:family w:val="modern"/>
    <w:pitch w:val="default"/>
    <w:sig w:usb0="E00002FF" w:usb1="6AC7FDFB" w:usb2="00000012" w:usb3="00000000" w:csb0="4002009F" w:csb1="DFD70000"/>
    <w:embedRegular r:id="rId11" w:fontKey="{A88FEA6C-CA5A-41AC-A383-1D030E2FF9A4}"/>
  </w:font>
  <w:font w:name="ArialUnicodeMS">
    <w:altName w:val="Malgun Gothic"/>
    <w:panose1 w:val="00000000000000000000"/>
    <w:charset w:val="81"/>
    <w:family w:val="auto"/>
    <w:pitch w:val="default"/>
    <w:sig w:usb0="00000000" w:usb1="00000000" w:usb2="00000010" w:usb3="00000000" w:csb0="00080000" w:csb1="00000000"/>
    <w:embedRegular r:id="rId12" w:fontKey="{508DDF82-373B-49DE-94CB-A590B0219D0A}"/>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12183357-4644-4384-BDE3-9EB3FC067D66}"/>
  </w:font>
  <w:font w:name="Arial">
    <w:panose1 w:val="020B0604020202020204"/>
    <w:charset w:val="00"/>
    <w:family w:val="swiss"/>
    <w:pitch w:val="default"/>
    <w:sig w:usb0="E0002AFF" w:usb1="C0007843" w:usb2="00000009" w:usb3="00000000" w:csb0="400001FF" w:csb1="FFFF0000"/>
    <w:embedRegular r:id="rId14" w:fontKey="{ECC5CFC7-4A67-47C0-9784-1A9538AB936A}"/>
  </w:font>
  <w:font w:name="DengXian-Regular">
    <w:altName w:val="宋体"/>
    <w:panose1 w:val="00000000000000000000"/>
    <w:charset w:val="86"/>
    <w:family w:val="auto"/>
    <w:pitch w:val="default"/>
    <w:sig w:usb0="00000000" w:usb1="00000000" w:usb2="00000010" w:usb3="00000000" w:csb0="00040000" w:csb1="00000000"/>
    <w:embedRegular r:id="rId15" w:fontKey="{D04617C7-12E5-484B-8C30-B05E26FE68E5}"/>
  </w:font>
  <w:font w:name="楷体_GB2312">
    <w:altName w:val="楷体"/>
    <w:panose1 w:val="00000000000000000000"/>
    <w:charset w:val="86"/>
    <w:family w:val="modern"/>
    <w:pitch w:val="default"/>
    <w:sig w:usb0="00000000" w:usb1="00000000" w:usb2="00000010" w:usb3="00000000" w:csb0="00040000" w:csb1="00000000"/>
    <w:embedRegular r:id="rId16" w:fontKey="{E3C2DD2C-03E1-4041-8797-B8124C5370A0}"/>
  </w:font>
  <w:font w:name="DengXian-Bold">
    <w:altName w:val="宋体"/>
    <w:panose1 w:val="00000000000000000000"/>
    <w:charset w:val="86"/>
    <w:family w:val="auto"/>
    <w:pitch w:val="default"/>
    <w:sig w:usb0="00000000" w:usb1="00000000" w:usb2="00000010" w:usb3="00000000" w:csb0="00040000" w:csb1="00000000"/>
    <w:embedRegular r:id="rId17" w:fontKey="{E8FFE33B-C071-49D1-90B7-F8624E9DF1D8}"/>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4E7F"/>
    <w:rsid w:val="000475A0"/>
    <w:rsid w:val="000661E8"/>
    <w:rsid w:val="000838C3"/>
    <w:rsid w:val="000B2446"/>
    <w:rsid w:val="000D7C65"/>
    <w:rsid w:val="000E2F81"/>
    <w:rsid w:val="000F470A"/>
    <w:rsid w:val="00117946"/>
    <w:rsid w:val="00117E2C"/>
    <w:rsid w:val="00146C47"/>
    <w:rsid w:val="00152FB8"/>
    <w:rsid w:val="00176658"/>
    <w:rsid w:val="0018239E"/>
    <w:rsid w:val="00184E52"/>
    <w:rsid w:val="001A29BD"/>
    <w:rsid w:val="001B3410"/>
    <w:rsid w:val="001C030D"/>
    <w:rsid w:val="001C4A84"/>
    <w:rsid w:val="001E5902"/>
    <w:rsid w:val="001F59D5"/>
    <w:rsid w:val="00233705"/>
    <w:rsid w:val="002408B2"/>
    <w:rsid w:val="002455AB"/>
    <w:rsid w:val="00275CA2"/>
    <w:rsid w:val="002A65A5"/>
    <w:rsid w:val="002C04C4"/>
    <w:rsid w:val="002C5052"/>
    <w:rsid w:val="002D08B0"/>
    <w:rsid w:val="002D1AE3"/>
    <w:rsid w:val="002F2ECE"/>
    <w:rsid w:val="00336D1A"/>
    <w:rsid w:val="00341C8F"/>
    <w:rsid w:val="00353D17"/>
    <w:rsid w:val="0035463A"/>
    <w:rsid w:val="00391D9D"/>
    <w:rsid w:val="0039739E"/>
    <w:rsid w:val="003B6C51"/>
    <w:rsid w:val="003C1413"/>
    <w:rsid w:val="003C549F"/>
    <w:rsid w:val="003D5A16"/>
    <w:rsid w:val="003E6B2A"/>
    <w:rsid w:val="003E7DB3"/>
    <w:rsid w:val="00431175"/>
    <w:rsid w:val="00463A72"/>
    <w:rsid w:val="00497733"/>
    <w:rsid w:val="004B6E37"/>
    <w:rsid w:val="004C32BA"/>
    <w:rsid w:val="004D384D"/>
    <w:rsid w:val="00543182"/>
    <w:rsid w:val="00575922"/>
    <w:rsid w:val="005A6C90"/>
    <w:rsid w:val="005B55C6"/>
    <w:rsid w:val="005D4C95"/>
    <w:rsid w:val="005E3FB0"/>
    <w:rsid w:val="005F4B66"/>
    <w:rsid w:val="005F5208"/>
    <w:rsid w:val="006060B2"/>
    <w:rsid w:val="00623803"/>
    <w:rsid w:val="00641318"/>
    <w:rsid w:val="0064405D"/>
    <w:rsid w:val="006522A5"/>
    <w:rsid w:val="006570FF"/>
    <w:rsid w:val="00676E41"/>
    <w:rsid w:val="0068406E"/>
    <w:rsid w:val="00695557"/>
    <w:rsid w:val="006D4EA7"/>
    <w:rsid w:val="0070012A"/>
    <w:rsid w:val="0070664B"/>
    <w:rsid w:val="007071B8"/>
    <w:rsid w:val="00730553"/>
    <w:rsid w:val="007318AB"/>
    <w:rsid w:val="007414DE"/>
    <w:rsid w:val="00767FF8"/>
    <w:rsid w:val="007905A9"/>
    <w:rsid w:val="007B0E8E"/>
    <w:rsid w:val="007E5500"/>
    <w:rsid w:val="007F055B"/>
    <w:rsid w:val="008065C6"/>
    <w:rsid w:val="00811C2F"/>
    <w:rsid w:val="00833D46"/>
    <w:rsid w:val="00840A97"/>
    <w:rsid w:val="0085047D"/>
    <w:rsid w:val="0086515F"/>
    <w:rsid w:val="008A29DB"/>
    <w:rsid w:val="008C0149"/>
    <w:rsid w:val="008D5DED"/>
    <w:rsid w:val="008E25CA"/>
    <w:rsid w:val="008F34FC"/>
    <w:rsid w:val="009020E5"/>
    <w:rsid w:val="00922643"/>
    <w:rsid w:val="00944CD7"/>
    <w:rsid w:val="00977A6C"/>
    <w:rsid w:val="009831B2"/>
    <w:rsid w:val="009A1ABE"/>
    <w:rsid w:val="009E21A4"/>
    <w:rsid w:val="009F22C6"/>
    <w:rsid w:val="00A07E50"/>
    <w:rsid w:val="00A15397"/>
    <w:rsid w:val="00A2281C"/>
    <w:rsid w:val="00A35CE0"/>
    <w:rsid w:val="00A4462E"/>
    <w:rsid w:val="00A44AA4"/>
    <w:rsid w:val="00A57D00"/>
    <w:rsid w:val="00A61623"/>
    <w:rsid w:val="00A84687"/>
    <w:rsid w:val="00AB0A0E"/>
    <w:rsid w:val="00AC59D3"/>
    <w:rsid w:val="00AD3B6E"/>
    <w:rsid w:val="00B1751F"/>
    <w:rsid w:val="00B3300C"/>
    <w:rsid w:val="00B40B20"/>
    <w:rsid w:val="00B56722"/>
    <w:rsid w:val="00B74D39"/>
    <w:rsid w:val="00B91DA4"/>
    <w:rsid w:val="00BD6F9F"/>
    <w:rsid w:val="00C02329"/>
    <w:rsid w:val="00C12630"/>
    <w:rsid w:val="00C34562"/>
    <w:rsid w:val="00C3774E"/>
    <w:rsid w:val="00C57456"/>
    <w:rsid w:val="00C65387"/>
    <w:rsid w:val="00C71C3A"/>
    <w:rsid w:val="00C85E63"/>
    <w:rsid w:val="00C8694A"/>
    <w:rsid w:val="00C87FAB"/>
    <w:rsid w:val="00C91FF7"/>
    <w:rsid w:val="00C94E53"/>
    <w:rsid w:val="00C95C3F"/>
    <w:rsid w:val="00CC46BD"/>
    <w:rsid w:val="00CD4C1E"/>
    <w:rsid w:val="00D0048E"/>
    <w:rsid w:val="00D06A05"/>
    <w:rsid w:val="00D23E7A"/>
    <w:rsid w:val="00D61063"/>
    <w:rsid w:val="00DA0325"/>
    <w:rsid w:val="00DB35AF"/>
    <w:rsid w:val="00DD72D7"/>
    <w:rsid w:val="00DF437B"/>
    <w:rsid w:val="00DF5B88"/>
    <w:rsid w:val="00E0589E"/>
    <w:rsid w:val="00E21913"/>
    <w:rsid w:val="00E241FA"/>
    <w:rsid w:val="00E2595E"/>
    <w:rsid w:val="00E35374"/>
    <w:rsid w:val="00E50C19"/>
    <w:rsid w:val="00E63061"/>
    <w:rsid w:val="00E64655"/>
    <w:rsid w:val="00E73081"/>
    <w:rsid w:val="00E84DAA"/>
    <w:rsid w:val="00E856C9"/>
    <w:rsid w:val="00EB6A8B"/>
    <w:rsid w:val="00EC26CD"/>
    <w:rsid w:val="00EF38C6"/>
    <w:rsid w:val="00F679C7"/>
    <w:rsid w:val="00F7711A"/>
    <w:rsid w:val="00FA0D58"/>
    <w:rsid w:val="00FA56F4"/>
    <w:rsid w:val="00FB4EDA"/>
    <w:rsid w:val="00FC4766"/>
    <w:rsid w:val="00FD23C4"/>
    <w:rsid w:val="00FD3BD5"/>
    <w:rsid w:val="00FD5EB9"/>
    <w:rsid w:val="00FE3DC8"/>
    <w:rsid w:val="04073F84"/>
    <w:rsid w:val="0B60750A"/>
    <w:rsid w:val="10686488"/>
    <w:rsid w:val="10DF728A"/>
    <w:rsid w:val="1264200E"/>
    <w:rsid w:val="141C5B77"/>
    <w:rsid w:val="18D8339D"/>
    <w:rsid w:val="1A21388F"/>
    <w:rsid w:val="1A570D2F"/>
    <w:rsid w:val="2678360A"/>
    <w:rsid w:val="28FB0B8D"/>
    <w:rsid w:val="2D2B7942"/>
    <w:rsid w:val="2D46481D"/>
    <w:rsid w:val="2E733B28"/>
    <w:rsid w:val="31852B5A"/>
    <w:rsid w:val="32013549"/>
    <w:rsid w:val="32D01238"/>
    <w:rsid w:val="3DFC59A8"/>
    <w:rsid w:val="3ECF245E"/>
    <w:rsid w:val="3F7D6E90"/>
    <w:rsid w:val="3FB96314"/>
    <w:rsid w:val="53A44FAF"/>
    <w:rsid w:val="594329EC"/>
    <w:rsid w:val="5BEE1540"/>
    <w:rsid w:val="5DE61A5D"/>
    <w:rsid w:val="63C04243"/>
    <w:rsid w:val="649C01C7"/>
    <w:rsid w:val="699A3F60"/>
    <w:rsid w:val="72902E62"/>
    <w:rsid w:val="73C61104"/>
    <w:rsid w:val="776452EA"/>
    <w:rsid w:val="7CFB4218"/>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9"/>
    <customShpInfo spid="_x0000_s1030"/>
    <customShpInfo spid="_x0000_s1028"/>
    <customShpInfo spid="_x0000_s1032"/>
    <customShpInfo spid="_x0000_s1033"/>
    <customShpInfo spid="_x0000_s1031"/>
    <customShpInfo spid="_x0000_s1035"/>
    <customShpInfo spid="_x0000_s1037"/>
    <customShpInfo spid="_x0000_s1038"/>
    <customShpInfo spid="_x0000_s1036"/>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1708</Words>
  <Characters>9742</Characters>
  <Lines>81</Lines>
  <Paragraphs>22</Paragraphs>
  <TotalTime>1</TotalTime>
  <ScaleCrop>false</ScaleCrop>
  <LinksUpToDate>false</LinksUpToDate>
  <CharactersWithSpaces>11428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2021-06-25T07:32:00Z</dcterms:created>
  <dc:creator>User</dc:creator>
  <cp:lastModifiedBy>adizuo</cp:lastModifiedBy>
  <cp:lastPrinted>2019-08-02T01:01:00Z</cp:lastPrinted>
  <dcterms:modified xsi:type="dcterms:W3CDTF">2022-03-12T00:50:27Z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D48470BD91AC468B974931729C113571</vt:lpwstr>
  </property>
</Properties>
</file>