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bookmarkStart w:id="0" w:name="_GoBack"/>
      <w:bookmarkEnd w:id="0"/>
      <w:r>
        <w:pict>
          <v:shape id="文本框 10" o:spid="_x0000_s1033" o:spt="202" type="#_x0000_t202" style="position:absolute;left:0pt;margin-left:106.25pt;margin-top:693.55pt;height:79.95pt;width:404.15pt;z-index:25165926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34" o:spt="3" type="#_x0000_t3" style="position:absolute;left:0pt;margin-left:53.5pt;margin-top:232.45pt;height:121.95pt;width:121.95pt;z-index:251659264;v-text-anchor:middle;mso-width-relative:page;mso-height-relative:page;" stroked="f" coordsize="21600,21600">
            <v:path/>
            <v:fill focussize="0,0"/>
            <v:stroke on="f" weight="1pt" joinstyle="miter"/>
            <v:imagedata o:title=""/>
            <o:lock v:ext="edit"/>
            <v:textbox>
              <w:txbxContent>
                <w:p/>
              </w:txbxContent>
            </v:textbox>
          </v:shape>
        </w:pict>
      </w:r>
      <w:r>
        <w:pict>
          <v:shape id="椭圆 9" o:spid="_x0000_s1036" o:spt="3" type="#_x0000_t3" style="position:absolute;left:0pt;margin-left:62.2pt;margin-top:242.75pt;height:103.45pt;width:103.45pt;z-index:251659264;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59264;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6192;mso-width-relative:page;mso-height-relative:page;" coordorigin="13622,-66719" coordsize="12005,1392046">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59264;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pict>
          <v:rect id="矩形 14" o:spid="_x0000_s1035" o:spt="1" style="position:absolute;left:0pt;margin-left:-34.7pt;margin-top:128.15pt;height:73.4pt;width:152.4pt;z-index:251659264;mso-width-relative:page;mso-height-relative:page;" filled="f" stroked="f" coordsize="21600,21600">
            <v:path/>
            <v:fill on="f" focussize="0,0"/>
            <v:stroke on="f"/>
            <v:imagedata o:title=""/>
            <o:lock v:ext="edit" aspectratio="f"/>
            <v:textbo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中共保定市满城区委老干部局</w:t>
      </w:r>
    </w:p>
    <w:p>
      <w:pPr>
        <w:snapToGrid w:val="0"/>
        <w:jc w:val="center"/>
        <w:rPr>
          <w:rFonts w:ascii="楷体_GB2312" w:hAns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rPr>
          <w:rFonts w:ascii="Times New Roman" w:hAnsi="Times New Roman" w:eastAsia="黑体"/>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59264;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根据《中共保定市满城区委老干部局职能配置、内设机构和人员编制方案》规定，中共保定市满城区委老干部局的主要职责是：</w:t>
      </w:r>
      <w:r>
        <w:rPr>
          <w:rFonts w:ascii="宋体" w:hAnsi="宋体" w:eastAsia="仿宋"/>
          <w:sz w:val="28"/>
          <w:szCs w:val="32"/>
        </w:rPr>
        <w:t xml:space="preserve"> </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（一）负责贯彻落实中央、省、市、区党委政府关于离退休干部（以下简称：老干部）工作的方针政策；拟定或参与拟定全区老干部工作有关的具体规定和办法。</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（二）指导、督促、检查各乡镇、区直各部门老干部工作；组织和协调有关部门做好老干部工作。</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（三）指导各单位老干部安置工作；负责审批进出区离休干部易地安置手续。</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（四）督促、指导各部门落实老干部的政治、生活待遇，抓好离休干部离休费、医疗费（以下简称：“两费”）的落实；调查研究老干部政治待遇和生活待遇中的问题，协调有关部门提出解决办法。</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（五）协助组织部门抓好老干部党支部建设，加强和改进新形势下老干部的思想政治工作。</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六）指导各乡镇、区直各部门老干部活动中心（室、站）和老干部门诊部的建设和管理；了解反映老干部队医疗保健方面的意见和要求；组织和指导老干部开展健康科学的文化健身、保健讲座、健康疗养、参观学习等活动。</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（七）指导各单位组织老干部继续在政治、经济、文化等领域发挥作用。</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八）教育和引导青少年勤奋学习，树立正确的世界观、人生观、价值观，勤于实践、提高服务社会、报效祖国的本领，使广大青少年茁壮成长，做好关心下一代工作，指导各级各部门关心下一代工作委员会的工作。</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（九）指导全区老年教育工作；督促检查各级老年大学（分校）的建设和管理；负责管理区老干部活动中心、老年大学；做好有关老干部工作的接待工作。</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（十）负责指导逝世离休干部的善后工作，协助承办区委交办的丧葬事宜，会同有关部门制定治丧办法。</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（十一）承担区委老干部工作领导小组办公室的日常工作。</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（十二）承办区委、区政府交办的其他事项。</w:t>
      </w:r>
    </w:p>
    <w:p>
      <w:pPr>
        <w:spacing w:line="560" w:lineRule="exact"/>
        <w:ind w:firstLine="560" w:firstLineChars="200"/>
        <w:jc w:val="left"/>
        <w:outlineLvl w:val="0"/>
        <w:rPr>
          <w:rFonts w:ascii="宋体" w:hAnsi="宋体" w:eastAsia="仿宋"/>
          <w:sz w:val="28"/>
          <w:szCs w:val="32"/>
        </w:rPr>
      </w:pPr>
      <w:r>
        <w:rPr>
          <w:rFonts w:hint="eastAsia" w:ascii="宋体" w:hAnsi="宋体" w:eastAsia="仿宋"/>
          <w:sz w:val="28"/>
          <w:szCs w:val="32"/>
        </w:rPr>
        <w:t>老干部局由办公室及综合服务科构成，下属涉老组织有关工委、老年协会、老促会、老体协、老年大学、夕阳红艺术团。</w:t>
      </w:r>
    </w:p>
    <w:p>
      <w:pPr>
        <w:widowControl/>
        <w:spacing w:line="580" w:lineRule="exact"/>
        <w:ind w:firstLine="640" w:firstLineChars="200"/>
        <w:rPr>
          <w:rFonts w:ascii="仿宋_GB2312" w:hAnsi="Calibri" w:eastAsia="仿宋_GB2312" w:cs="ArialUnicodeMS"/>
          <w:kern w:val="0"/>
          <w:sz w:val="32"/>
          <w:szCs w:val="32"/>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年度本部门决算汇编范围的独立核算单位（以下简称“单位”）共1</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宋体" w:hAnsi="宋体" w:cs="宋体"/>
                <w:color w:val="000000"/>
                <w:kern w:val="0"/>
                <w:sz w:val="24"/>
                <w:szCs w:val="24"/>
              </w:rPr>
              <w:t>中共保定市满城区委老干部局</w:t>
            </w:r>
            <w:r>
              <w:rPr>
                <w:rFonts w:ascii="仿宋_GB2312" w:hAnsi="Calibri" w:eastAsia="仿宋_GB2312" w:cs="ArialUnicodeMS"/>
                <w:kern w:val="0"/>
                <w:sz w:val="28"/>
                <w:szCs w:val="28"/>
              </w:rPr>
              <w:t>(</w:t>
            </w:r>
            <w:r>
              <w:rPr>
                <w:rFonts w:hint="eastAsia" w:ascii="仿宋_GB2312" w:hAnsi="Calibri" w:eastAsia="仿宋_GB2312" w:cs="ArialUnicodeMS"/>
                <w:kern w:val="0"/>
                <w:sz w:val="28"/>
                <w:szCs w:val="28"/>
              </w:rPr>
              <w:t>本级</w:t>
            </w:r>
            <w:r>
              <w:rPr>
                <w:rFonts w:ascii="仿宋_GB2312" w:hAnsi="Calibri" w:eastAsia="仿宋_GB2312" w:cs="ArialUnicodeMS"/>
                <w:kern w:val="0"/>
                <w:sz w:val="28"/>
                <w:szCs w:val="28"/>
              </w:rPr>
              <w:t>)</w:t>
            </w:r>
          </w:p>
        </w:tc>
        <w:tc>
          <w:tcPr>
            <w:tcW w:w="2445" w:type="dxa"/>
          </w:tcPr>
          <w:p>
            <w:pPr>
              <w:spacing w:line="560" w:lineRule="exact"/>
              <w:jc w:val="center"/>
              <w:rPr>
                <w:rFonts w:ascii="仿宋_GB2312" w:hAnsi="Calibri" w:eastAsia="仿宋_GB2312" w:cs="ArialUnicodeMS"/>
                <w:kern w:val="0"/>
                <w:sz w:val="28"/>
                <w:szCs w:val="28"/>
              </w:rPr>
            </w:pPr>
            <w:r>
              <w:rPr>
                <w:rFonts w:hint="eastAsia" w:ascii="宋体" w:hAnsi="宋体" w:cs="宋体"/>
                <w:color w:val="000000"/>
                <w:kern w:val="0"/>
                <w:sz w:val="24"/>
                <w:szCs w:val="24"/>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59264;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spacing w:line="560" w:lineRule="exact"/>
        <w:ind w:firstLine="640" w:firstLineChars="200"/>
        <w:jc w:val="left"/>
        <w:outlineLvl w:val="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本部门2019年度收入总计（含结转和结余）1242.68万元，其中：财政拨款收入1242.68万元。与2018年相比决算收支总计分别减少了181.63万元，</w:t>
      </w:r>
      <w:r>
        <w:rPr>
          <w:rFonts w:hint="eastAsia" w:ascii="仿宋_GB2312" w:hAnsi="Times New Roman" w:eastAsia="仿宋_GB2312" w:cs="DengXian-Regular"/>
          <w:sz w:val="32"/>
          <w:szCs w:val="32"/>
          <w:lang w:val="en-US" w:eastAsia="zh-CN"/>
        </w:rPr>
        <w:t>降低</w:t>
      </w:r>
      <w:r>
        <w:rPr>
          <w:rFonts w:hint="eastAsia" w:ascii="仿宋_GB2312" w:hAnsi="Times New Roman" w:eastAsia="仿宋_GB2312" w:cs="DengXian-Regular"/>
          <w:sz w:val="32"/>
          <w:szCs w:val="32"/>
        </w:rPr>
        <w:t>14.62%，主要原因是离休老干部因去世等原因自然减员减少了工资支出，且单位积极响应厉行节约的号召尽量缩减不必要的经费开支。</w:t>
      </w:r>
    </w:p>
    <w:p>
      <w:pPr>
        <w:spacing w:line="560" w:lineRule="exact"/>
        <w:ind w:firstLine="640" w:firstLineChars="200"/>
        <w:jc w:val="left"/>
        <w:outlineLvl w:val="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本年支出总计（含结转和结余）1242.68万元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与2018年相比决算收支总计分别减少了181.63万元，</w:t>
      </w:r>
      <w:r>
        <w:rPr>
          <w:rFonts w:hint="eastAsia" w:ascii="仿宋_GB2312" w:hAnsi="Times New Roman" w:eastAsia="仿宋_GB2312" w:cs="DengXian-Regular"/>
          <w:sz w:val="32"/>
          <w:szCs w:val="32"/>
          <w:lang w:val="en-US" w:eastAsia="zh-CN"/>
        </w:rPr>
        <w:t>降低</w:t>
      </w:r>
      <w:r>
        <w:rPr>
          <w:rFonts w:hint="eastAsia" w:ascii="仿宋_GB2312" w:hAnsi="Times New Roman" w:eastAsia="仿宋_GB2312" w:cs="DengXian-Regular"/>
          <w:sz w:val="32"/>
          <w:szCs w:val="32"/>
        </w:rPr>
        <w:t>14.62%，主要原因是离休老干部因去世等原因自然减员减少了工资支出，且单位积极响应厉行节约的号召尽量缩减不必要的经费开支。</w:t>
      </w:r>
    </w:p>
    <w:p>
      <w:pPr>
        <w:adjustRightInd w:val="0"/>
        <w:snapToGrid w:val="0"/>
        <w:spacing w:line="580" w:lineRule="exact"/>
        <w:ind w:firstLine="640" w:firstLineChars="20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jc w:val="left"/>
        <w:outlineLvl w:val="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本部门2019年度收入总计1242.68万元，其中：财政拨款收入1242.68万元，占总支出的100%</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jc w:val="left"/>
        <w:outlineLvl w:val="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年度本年支出合计1242.68万元，其中：基本支出756.61万元，占60.89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；项目支出486.07万元，占39.11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1260" w:firstLineChars="600"/>
        <w:rPr>
          <w:rFonts w:ascii="仿宋_GB2312" w:hAnsi="Times New Roman" w:eastAsia="仿宋_GB2312" w:cs="DengXian-Regular"/>
          <w:sz w:val="32"/>
          <w:szCs w:val="32"/>
        </w:rPr>
      </w:pPr>
      <w:r>
        <w:pict>
          <v:group id="_x0000_s1066" o:spid="_x0000_s1066" o:spt="203" style="position:absolute;left:0pt;margin-left:58.35pt;margin-top:-21.2pt;height:192.85pt;width:287.95pt;z-index:-251656192;mso-width-relative:page;mso-height-relative:page;" coordorigin="7032,190738" coordsize="4600,3345203">
            <o:lock v:ext="edit"/>
            <v:shape id="图片 3" o:spid="_x0000_s1067" o:spt="75" type="#_x0000_t75" style="position:absolute;left:7032;top:190738;height:2665;width:4600;" filled="f" o:preferrelative="t" stroked="f" coordsize="21600,21600">
              <v:path/>
              <v:fill on="f" focussize="0,0"/>
              <v:stroke on="f" joinstyle="miter"/>
              <v:imagedata r:id="rId19" cropleft="2131f" croptop="1490f" cropright="1218f" cropbottom="5217f" o:title=""/>
              <o:lock v:ext="edit" aspectratio="t"/>
            </v:shape>
            <v:shape id="_x0000_s1068" o:spid="_x0000_s1068" o:spt="202" type="#_x0000_t202" style="position:absolute;left:7289;top:193423;height:660;width:4169;"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w:r>
    </w:p>
    <w:p>
      <w:pPr>
        <w:keepNext/>
        <w:keepLines/>
        <w:snapToGrid w:val="0"/>
        <w:spacing w:line="580" w:lineRule="exact"/>
        <w:ind w:firstLine="643" w:firstLineChars="200"/>
        <w:outlineLvl w:val="1"/>
        <w:rPr>
          <w:rFonts w:ascii="黑体" w:hAnsi="Calibri" w:eastAsia="黑体"/>
          <w:b/>
          <w:bCs/>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spacing w:line="560" w:lineRule="exact"/>
        <w:ind w:firstLine="640" w:firstLineChars="200"/>
        <w:jc w:val="left"/>
        <w:outlineLvl w:val="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年度形成的财政拨款收支均为一般公共预算财政拨款，其中本年收入1242.68万元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年度减少了181.63万元，降低14.62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，主要是离休老干部因去世等原因自然减员减少了工资支出，且单位积极响应厉行节约的号召尽量缩减不必要的经费开支；本年支出1242.68万元，减少181.63万元，降低14.62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，主要是离休老干部因去世等原因自然减员减少了工资支出，且单位积极响应厉行节约的号召尽量缩减不必要的经费开支。</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年度一般公共预算财政拨款收入1242.68万元，完成年初预算的98.98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比年初预算减少12.79万元，决算数小于预算数主要原因是离休老干部因去世等原因自然减员减少了工资支出，且单位积极响应厉行节约的号召尽量缩减不必要的经费开支；本年支出1242.68万元，完成年初预算的98.98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比年初预算减少12.79万元，决算数小于预算数主要原因是离休老干部因去世等原因自然减员减少了工资支出，且单位积极响应厉行节约的号召尽量缩减不必要的经费开支。</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spacing w:line="560" w:lineRule="exact"/>
        <w:ind w:firstLine="640" w:firstLineChars="200"/>
        <w:jc w:val="left"/>
        <w:outlineLvl w:val="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年度财政拨款支出1242.68万元，主要用于以下方面：一般公共服务支出218.25万元，占17.56%；社会保障和就业支出1015.66万元，占81.73%；卫生健康支出3.62万元，占0.29%住房和保障支出4.41万元，占0.35%。</w:t>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756.61万元，其中：人员经费750.23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6.38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adjustRightInd w:val="0"/>
        <w:snapToGrid w:val="0"/>
        <w:spacing w:line="580" w:lineRule="exact"/>
        <w:ind w:firstLine="640" w:firstLineChars="20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年度“三公”经费支出共计2.01万元，完成预算的40.2</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较预算减少2.99万元，降低59.8</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，主要是厉行节约，压缩三公经费支出。较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年度减少1.06万元，降低26.55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，主要是厉行节约，压缩三公经费支出。具体情况如下：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年度无本单位组织的出国（境）团组。</w:t>
      </w:r>
      <w:r>
        <w:rPr>
          <w:rFonts w:hint="eastAsia" w:ascii="仿宋_GB2312" w:hAnsi="Times New Roman" w:eastAsia="仿宋_GB2312" w:cs="DengXian-Regular"/>
          <w:color w:val="000000"/>
          <w:sz w:val="32"/>
          <w:szCs w:val="32"/>
        </w:rPr>
        <w:t>未发生“</w:t>
      </w:r>
      <w:r>
        <w:rPr>
          <w:rFonts w:hint="eastAsia" w:ascii="仿宋_GB2312" w:hAnsi="Times New Roman" w:eastAsia="仿宋_GB2312" w:cs="DengXian-Regular"/>
          <w:sz w:val="32"/>
          <w:szCs w:val="32"/>
        </w:rPr>
        <w:t>因公出国（境）</w:t>
      </w:r>
      <w:r>
        <w:rPr>
          <w:rFonts w:hint="eastAsia" w:ascii="仿宋_GB2312" w:hAnsi="Times New Roman" w:eastAsia="仿宋_GB2312" w:cs="DengXian-Regular"/>
          <w:color w:val="000000"/>
          <w:sz w:val="32"/>
          <w:szCs w:val="32"/>
        </w:rPr>
        <w:t>”经费支出，与年初预算持平，与</w:t>
      </w:r>
      <w:r>
        <w:rPr>
          <w:rFonts w:ascii="仿宋_GB2312" w:hAnsi="Times New Roman" w:eastAsia="仿宋_GB2312" w:cs="DengXian-Regular"/>
          <w:color w:val="000000"/>
          <w:sz w:val="32"/>
          <w:szCs w:val="32"/>
        </w:rPr>
        <w:t>2018</w:t>
      </w:r>
      <w:r>
        <w:rPr>
          <w:rFonts w:hint="eastAsia" w:ascii="仿宋_GB2312" w:hAnsi="Times New Roman" w:eastAsia="仿宋_GB2312" w:cs="DengXian-Regular"/>
          <w:color w:val="000000"/>
          <w:sz w:val="32"/>
          <w:szCs w:val="32"/>
        </w:rPr>
        <w:t>年度决算支出持平</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主要是厉行节约，压缩三公经费支出，减少不必要开支。</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（二）公务用车购置及运行维护费支出2.01万元。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年度公务用车购置及运行维护费较预算减少2.99万元，降低59.8</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主要是厉行节约，压缩三公经费支出，减少不必要开支；较上年减少1.51万元，降低52.74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主要是厉行节约，压缩三公经费支出，减少不必要开支。</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w:t>
      </w:r>
      <w:r>
        <w:rPr>
          <w:rFonts w:hint="eastAsia" w:ascii="仿宋_GB2312" w:hAnsi="Times New Roman" w:eastAsia="仿宋_GB2312" w:cs="DengXian-Regular"/>
          <w:color w:val="000000"/>
          <w:sz w:val="32"/>
          <w:szCs w:val="32"/>
        </w:rPr>
        <w:t>未发生“公务用车购置”经费支出，与年初预算持平，与</w:t>
      </w:r>
      <w:r>
        <w:rPr>
          <w:rFonts w:ascii="仿宋_GB2312" w:hAnsi="Times New Roman" w:eastAsia="仿宋_GB2312" w:cs="DengXian-Regular"/>
          <w:color w:val="000000"/>
          <w:sz w:val="32"/>
          <w:szCs w:val="32"/>
        </w:rPr>
        <w:t>2018</w:t>
      </w:r>
      <w:r>
        <w:rPr>
          <w:rFonts w:hint="eastAsia" w:ascii="仿宋_GB2312" w:hAnsi="Times New Roman" w:eastAsia="仿宋_GB2312" w:cs="DengXian-Regular"/>
          <w:color w:val="000000"/>
          <w:sz w:val="32"/>
          <w:szCs w:val="32"/>
        </w:rPr>
        <w:t>年度决算支出持平</w:t>
      </w:r>
      <w:r>
        <w:rPr>
          <w:rFonts w:hint="eastAsia" w:ascii="仿宋_GB2312" w:hAnsi="Times New Roman" w:eastAsia="仿宋_GB2312" w:cs="DengXian-Regular"/>
          <w:sz w:val="32"/>
          <w:szCs w:val="32"/>
        </w:rPr>
        <w:t>，主要是无购车需求。</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年度单位公务用车保有量2辆。公车运行维护费支出较预算减少2.99万元，降低59.8</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主要是厉行节约，压缩三公经费支出，减少不必要开支；较上年减少1.51万元，降低52.74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，主要是厉行节约，压缩三公经费支出，减少不必要开支。</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color w:val="000000"/>
          <w:sz w:val="32"/>
          <w:szCs w:val="32"/>
        </w:rPr>
        <w:t>未发生“</w:t>
      </w:r>
      <w:r>
        <w:rPr>
          <w:rFonts w:hint="eastAsia" w:ascii="仿宋_GB2312" w:hAnsi="Times New Roman" w:eastAsia="仿宋_GB2312" w:cs="DengXian-Regular"/>
          <w:sz w:val="32"/>
          <w:szCs w:val="32"/>
        </w:rPr>
        <w:t>公务接待</w:t>
      </w:r>
      <w:r>
        <w:rPr>
          <w:rFonts w:hint="eastAsia" w:ascii="仿宋_GB2312" w:hAnsi="Times New Roman" w:eastAsia="仿宋_GB2312" w:cs="DengXian-Regular"/>
          <w:color w:val="000000"/>
          <w:sz w:val="32"/>
          <w:szCs w:val="32"/>
        </w:rPr>
        <w:t>”经费支出</w:t>
      </w:r>
      <w:r>
        <w:rPr>
          <w:rFonts w:hint="eastAsia" w:ascii="仿宋_GB2312" w:hAnsi="Times New Roman" w:eastAsia="仿宋_GB2312" w:cs="DengXian-Regular"/>
          <w:color w:val="000000"/>
          <w:sz w:val="32"/>
          <w:szCs w:val="32"/>
          <w:lang w:eastAsia="zh-CN"/>
        </w:rPr>
        <w:t>，</w:t>
      </w:r>
      <w:r>
        <w:rPr>
          <w:rFonts w:hint="eastAsia" w:ascii="仿宋_GB2312" w:hAnsi="Times New Roman" w:eastAsia="仿宋_GB2312" w:cs="DengXian-Regular"/>
          <w:color w:val="000000"/>
          <w:sz w:val="32"/>
          <w:szCs w:val="32"/>
          <w:lang w:val="en-US" w:eastAsia="zh-CN"/>
        </w:rPr>
        <w:t>0批次0人次</w:t>
      </w:r>
      <w:r>
        <w:rPr>
          <w:rFonts w:hint="eastAsia" w:ascii="仿宋_GB2312" w:hAnsi="Times New Roman" w:eastAsia="仿宋_GB2312" w:cs="DengXian-Regular"/>
          <w:color w:val="000000"/>
          <w:sz w:val="32"/>
          <w:szCs w:val="32"/>
        </w:rPr>
        <w:t>，与年初预算持平，与</w:t>
      </w:r>
      <w:r>
        <w:rPr>
          <w:rFonts w:ascii="仿宋_GB2312" w:hAnsi="Times New Roman" w:eastAsia="仿宋_GB2312" w:cs="DengXian-Regular"/>
          <w:color w:val="000000"/>
          <w:sz w:val="32"/>
          <w:szCs w:val="32"/>
        </w:rPr>
        <w:t>2018</w:t>
      </w:r>
      <w:r>
        <w:rPr>
          <w:rFonts w:hint="eastAsia" w:ascii="仿宋_GB2312" w:hAnsi="Times New Roman" w:eastAsia="仿宋_GB2312" w:cs="DengXian-Regular"/>
          <w:color w:val="000000"/>
          <w:sz w:val="32"/>
          <w:szCs w:val="32"/>
        </w:rPr>
        <w:t>年度决算支出相比</w:t>
      </w:r>
      <w:r>
        <w:rPr>
          <w:rFonts w:hint="eastAsia" w:ascii="仿宋_GB2312" w:hAnsi="Times New Roman" w:eastAsia="仿宋_GB2312" w:cs="DengXian-Regular"/>
          <w:sz w:val="32"/>
          <w:szCs w:val="32"/>
        </w:rPr>
        <w:t>较上年减少0.4</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，主要是厉行节约，压缩三公经费支出，减少不必要开支。</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2个，共涉及资金486.07万元，占一般公共预算项目支出总额的100%。我区根据预算部门和预算单位的实际情况和工作需要，确定各部门预算项目和预算额度，清晰描述预算项目开展服务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580" w:lineRule="exact"/>
        <w:ind w:firstLine="482" w:firstLineChars="15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ascii="仿宋_GB2312" w:hAnsi="仿宋_GB2312" w:eastAsia="仿宋_GB2312" w:cs="仿宋_GB2312"/>
          <w:sz w:val="32"/>
          <w:szCs w:val="32"/>
        </w:rPr>
        <w:t>2019年离休老干部医药费</w:t>
      </w:r>
      <w:r>
        <w:rPr>
          <w:rFonts w:hint="eastAsia" w:ascii="仿宋_GB2312" w:hAnsi="仿宋_GB2312" w:eastAsia="仿宋_GB2312" w:cs="仿宋_GB2312"/>
          <w:sz w:val="32"/>
          <w:szCs w:val="32"/>
        </w:rPr>
        <w:t>项目及离退休人员管理机构项目等2个项目绩效自评结果。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2019年离休老干部医药费</w:t>
      </w:r>
      <w:r>
        <w:rPr>
          <w:rFonts w:hint="eastAsia" w:ascii="仿宋_GB2312" w:hAnsi="仿宋_GB2312" w:eastAsia="仿宋_GB2312" w:cs="仿宋_GB2312"/>
          <w:sz w:val="32"/>
          <w:szCs w:val="32"/>
        </w:rPr>
        <w:t>项目自评综述：根据年初设定的绩效目标，</w:t>
      </w:r>
      <w:r>
        <w:rPr>
          <w:rFonts w:ascii="仿宋_GB2312" w:hAnsi="仿宋_GB2312" w:eastAsia="仿宋_GB2312" w:cs="仿宋_GB2312"/>
          <w:sz w:val="32"/>
          <w:szCs w:val="32"/>
        </w:rPr>
        <w:t>2019年离休老干部医药费</w:t>
      </w:r>
      <w:r>
        <w:rPr>
          <w:rFonts w:hint="eastAsia" w:ascii="仿宋_GB2312" w:hAnsi="仿宋_GB2312" w:eastAsia="仿宋_GB2312" w:cs="仿宋_GB2312"/>
          <w:sz w:val="32"/>
          <w:szCs w:val="32"/>
        </w:rPr>
        <w:t>项目绩效自评得分为100分。全年预算数为700万元，执行数为436.23万元，完成预算的62.32%。离休干部药费报销工作根据离休干部住院、用药实际情况报销，实际发生比预算发生额度要少。项目绩效目标完成情况：一是及时足额发放离休干部药费；二是离休干部及家属满意。暂未发现明显问题。</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离退休人员管理机构项目绩效自评综述：离退休人员管理机构项目自评综述：根据年初设定的绩效目标，离退休人员管理机构项目绩效自评得分为98分。全年预算数为49.84万元，执行数为49.84万元，完成预算的100%。项目绩效目标完成情况：一是建设、管理、使用好老年活动阵地，完善、更新老年教育设施，并指导全区阵地建设；二是离休干部及家属满意。暂未发现明显问题。</w:t>
      </w:r>
    </w:p>
    <w:p>
      <w:pPr>
        <w:keepNext/>
        <w:keepLines/>
        <w:numPr>
          <w:ilvl w:val="0"/>
          <w:numId w:val="2"/>
        </w:numPr>
        <w:snapToGrid w:val="0"/>
        <w:spacing w:line="580" w:lineRule="exact"/>
        <w:ind w:firstLine="64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keepNext/>
        <w:keepLines/>
        <w:snapToGrid w:val="0"/>
        <w:spacing w:line="580" w:lineRule="exact"/>
        <w:ind w:firstLine="640" w:firstLineChars="200"/>
        <w:jc w:val="left"/>
        <w:outlineLvl w:val="1"/>
        <w:rPr>
          <w:rFonts w:ascii="仿宋_GB2312" w:hAnsi="仿宋_GB2312" w:eastAsia="仿宋_GB2312" w:cs="仿宋_GB2312"/>
          <w:b/>
          <w:bCs/>
          <w:sz w:val="32"/>
          <w:szCs w:val="32"/>
        </w:rPr>
      </w:pPr>
      <w:r>
        <w:rPr>
          <w:rFonts w:hint="eastAsia" w:ascii="仿宋_GB2312" w:hAnsi="仿宋_GB2312" w:eastAsia="仿宋_GB2312" w:cs="仿宋_GB2312"/>
          <w:sz w:val="32"/>
          <w:szCs w:val="32"/>
        </w:rPr>
        <w:t>暂无财政评价项目绩效报告，无项目绩效评价结果与绩效评价表</w:t>
      </w:r>
      <w:r>
        <w:rPr>
          <w:rFonts w:hint="eastAsia" w:ascii="仿宋_GB2312" w:hAnsi="仿宋_GB2312" w:eastAsia="仿宋_GB2312" w:cs="仿宋_GB2312"/>
          <w:b/>
          <w:bCs/>
          <w:sz w:val="32"/>
          <w:szCs w:val="32"/>
        </w:rPr>
        <w:t>。</w:t>
      </w:r>
    </w:p>
    <w:p>
      <w:pPr>
        <w:adjustRightInd w:val="0"/>
        <w:snapToGrid w:val="0"/>
        <w:spacing w:line="580" w:lineRule="exact"/>
        <w:ind w:left="640"/>
        <w:rPr>
          <w:rFonts w:ascii="仿宋_GB2312" w:hAnsi="仿宋_GB2312" w:eastAsia="仿宋_GB2312" w:cs="仿宋_GB2312"/>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年度机关运行经费支出6.39万元，比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年度减少18.33万元，降低74.16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。主要原因是严格执行八项规定，减少开支。</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年度机关运行经费支出6.39万元，比年初预算数减少11.38万元，降低64.04</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hAnsi="Times New Roman" w:eastAsia="仿宋_GB2312" w:cs="DengXian-Regular"/>
          <w:sz w:val="32"/>
          <w:szCs w:val="32"/>
        </w:rPr>
        <w:t>严格执行八项规定，减少开支。</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hint="eastAsia"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spacing w:line="560" w:lineRule="exact"/>
        <w:ind w:firstLine="640" w:firstLineChars="200"/>
        <w:jc w:val="left"/>
        <w:outlineLvl w:val="0"/>
        <w:rPr>
          <w:rFonts w:ascii="仿宋" w:hAnsi="仿宋" w:eastAsia="仿宋"/>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日，本部门共有车辆2辆，其中离退休干部用车1辆，其他用车1辆。较去年无变化，主要是</w:t>
      </w:r>
      <w:r>
        <w:rPr>
          <w:rFonts w:hint="eastAsia" w:ascii="仿宋_GB2312" w:eastAsia="仿宋_GB2312" w:cs="DengXian-Regular"/>
          <w:sz w:val="32"/>
          <w:szCs w:val="32"/>
        </w:rPr>
        <w:t>由于认真贯彻落实中央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精神和厉行节约要求，从严控制经费开支</w:t>
      </w:r>
      <w:r>
        <w:rPr>
          <w:rFonts w:hint="eastAsia" w:ascii="仿宋_GB2312" w:hAnsi="Times New Roman" w:eastAsia="仿宋_GB2312" w:cs="DengXian-Regular"/>
          <w:sz w:val="32"/>
          <w:szCs w:val="32"/>
        </w:rPr>
        <w:t>。</w:t>
      </w:r>
      <w:r>
        <w:rPr>
          <w:rFonts w:hint="eastAsia" w:ascii="仿宋" w:hAnsi="仿宋" w:eastAsia="仿宋"/>
          <w:sz w:val="32"/>
          <w:szCs w:val="32"/>
        </w:rPr>
        <w:t>固定资产总金额27.73万元，2019年没有购置固定资产的预算。2019年固定资产变动情况：本年度未变动。</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eastAsia="仿宋_GB2312" w:cs="DengXian-Regular"/>
          <w:sz w:val="32"/>
          <w:szCs w:val="32"/>
        </w:rPr>
        <w:t>本部门</w:t>
      </w:r>
      <w:r>
        <w:rPr>
          <w:rFonts w:ascii="仿宋_GB2312" w:eastAsia="仿宋_GB2312" w:cs="DengXian-Regular"/>
          <w:sz w:val="32"/>
          <w:szCs w:val="32"/>
        </w:rPr>
        <w:t>20</w:t>
      </w:r>
      <w:r>
        <w:rPr>
          <w:rFonts w:hint="eastAsia" w:ascii="仿宋_GB2312" w:eastAsia="仿宋_GB2312" w:cs="DengXian-Regular"/>
          <w:sz w:val="32"/>
          <w:szCs w:val="32"/>
        </w:rPr>
        <w:t>19年度无收支及结转结余情况、无政府性基金预算财政拨款收支、无国有资本经营预算财政拨款支出，故政府性基金预算财政拨款收入支出决算表、国有资本经营预算财政拨款支出决算表以空表列示。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6"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Pr>
        <w:jc w:val="left"/>
        <w:sectPr>
          <w:headerReference r:id="rId17"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tbl>
      <w:tblPr>
        <w:tblStyle w:val="6"/>
        <w:tblpPr w:leftFromText="180" w:rightFromText="180" w:vertAnchor="text" w:horzAnchor="margin" w:tblpY="197"/>
        <w:tblOverlap w:val="never"/>
        <w:tblW w:w="9517" w:type="dxa"/>
        <w:tblInd w:w="0" w:type="dxa"/>
        <w:tblLayout w:type="fixed"/>
        <w:tblCellMar>
          <w:top w:w="0" w:type="dxa"/>
          <w:left w:w="0" w:type="dxa"/>
          <w:bottom w:w="0" w:type="dxa"/>
          <w:right w:w="0" w:type="dxa"/>
        </w:tblCellMar>
      </w:tblPr>
      <w:tblGrid>
        <w:gridCol w:w="3236"/>
        <w:gridCol w:w="607"/>
        <w:gridCol w:w="124"/>
        <w:gridCol w:w="691"/>
        <w:gridCol w:w="3474"/>
        <w:gridCol w:w="541"/>
        <w:gridCol w:w="844"/>
      </w:tblGrid>
      <w:tr>
        <w:tblPrEx>
          <w:tblCellMar>
            <w:top w:w="0" w:type="dxa"/>
            <w:left w:w="0" w:type="dxa"/>
            <w:bottom w:w="0" w:type="dxa"/>
            <w:right w:w="0" w:type="dxa"/>
          </w:tblCellMar>
        </w:tblPrEx>
        <w:trPr>
          <w:trHeight w:val="489" w:hRule="atLeast"/>
        </w:trPr>
        <w:tc>
          <w:tcPr>
            <w:tcW w:w="9517" w:type="dxa"/>
            <w:gridSpan w:val="7"/>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trPr>
        <w:tc>
          <w:tcPr>
            <w:tcW w:w="465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530"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1242.68</w:t>
            </w:r>
          </w:p>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218.25</w:t>
            </w:r>
          </w:p>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1015.66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3.62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5.15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1242.68</w:t>
            </w:r>
          </w:p>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1242.68</w:t>
            </w:r>
          </w:p>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1242.68</w:t>
            </w:r>
          </w:p>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1242.68</w:t>
            </w:r>
          </w:p>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9517" w:type="dxa"/>
            <w:gridSpan w:val="7"/>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p>
      <w:pPr>
        <w:jc w:val="left"/>
      </w:pPr>
    </w:p>
    <w:tbl>
      <w:tblPr>
        <w:tblStyle w:val="6"/>
        <w:tblW w:w="11005" w:type="dxa"/>
        <w:jc w:val="center"/>
        <w:tblLayout w:type="autofit"/>
        <w:tblCellMar>
          <w:top w:w="0" w:type="dxa"/>
          <w:left w:w="0" w:type="dxa"/>
          <w:bottom w:w="0" w:type="dxa"/>
          <w:right w:w="0" w:type="dxa"/>
        </w:tblCellMar>
      </w:tblPr>
      <w:tblGrid>
        <w:gridCol w:w="656"/>
        <w:gridCol w:w="37"/>
        <w:gridCol w:w="37"/>
        <w:gridCol w:w="5425"/>
        <w:gridCol w:w="1646"/>
        <w:gridCol w:w="1525"/>
        <w:gridCol w:w="272"/>
        <w:gridCol w:w="272"/>
        <w:gridCol w:w="437"/>
        <w:gridCol w:w="496"/>
        <w:gridCol w:w="497"/>
      </w:tblGrid>
      <w:tr>
        <w:tblPrEx>
          <w:tblCellMar>
            <w:top w:w="0" w:type="dxa"/>
            <w:left w:w="0" w:type="dxa"/>
            <w:bottom w:w="0" w:type="dxa"/>
            <w:right w:w="0" w:type="dxa"/>
          </w:tblCellMar>
        </w:tblPrEx>
        <w:trPr>
          <w:trHeight w:val="670" w:hRule="atLeast"/>
          <w:jc w:val="center"/>
        </w:trPr>
        <w:tc>
          <w:tcPr>
            <w:tcW w:w="11005"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21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21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597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58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46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2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2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43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49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49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759"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5218"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5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759"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18"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5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759"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18"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5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977"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宋体" w:asciiTheme="majorEastAsia" w:hAnsiTheme="majorEastAsia" w:eastAsiaTheme="majorEastAsia"/>
                <w:color w:val="000000"/>
                <w:sz w:val="20"/>
                <w:szCs w:val="20"/>
              </w:rPr>
            </w:pPr>
            <w:r>
              <w:rPr>
                <w:rFonts w:hint="eastAsia" w:cs="宋体" w:asciiTheme="majorEastAsia" w:hAnsiTheme="majorEastAsia" w:eastAsiaTheme="majorEastAsia"/>
                <w:color w:val="000000"/>
                <w:kern w:val="0"/>
                <w:sz w:val="20"/>
                <w:szCs w:val="20"/>
              </w:rPr>
              <w:t>栏次</w:t>
            </w:r>
          </w:p>
        </w:tc>
        <w:tc>
          <w:tcPr>
            <w:tcW w:w="158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4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2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2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43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4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4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5977"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宋体" w:asciiTheme="majorEastAsia" w:hAnsiTheme="majorEastAsia" w:eastAsiaTheme="majorEastAsia"/>
                <w:color w:val="000000"/>
                <w:sz w:val="20"/>
                <w:szCs w:val="20"/>
              </w:rPr>
            </w:pPr>
            <w:r>
              <w:rPr>
                <w:rFonts w:hint="eastAsia" w:cs="宋体" w:asciiTheme="majorEastAsia" w:hAnsiTheme="majorEastAsia" w:eastAsiaTheme="majorEastAsia"/>
                <w:color w:val="000000"/>
                <w:kern w:val="0"/>
                <w:sz w:val="20"/>
                <w:szCs w:val="20"/>
              </w:rPr>
              <w:t>合计</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1242.68</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1242.68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201</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一般公共服务支出</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218.25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20131</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党委办公厅（室）及相关机构事务</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218.25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2013101</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行政运行</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218.25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208</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社会保障和就业支出</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1015.66</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1015.66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20805</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行政事业单位离退休</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1015.66</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1015.66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2080501</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归口管理的行政单位离退休</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938.06</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938.06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2080503</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离退休人员管理机构</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49.84</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49.84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2080505</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机关事业单位基本养老保险缴费支出</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19.69</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19.69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2080506</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机关事业单位职业年金缴费支出</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8.07</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8.07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210</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卫生健康支出</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3.62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21011</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行政事业单位医疗</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3.62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2101101</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行政单位医疗</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3.62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221</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住房保障支出</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5.15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22102</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住房改革支出</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5.15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2210201</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住房公积金</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5.15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22102</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住房改革支出</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218.25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2210201</w:t>
            </w:r>
          </w:p>
        </w:tc>
        <w:tc>
          <w:tcPr>
            <w:tcW w:w="5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住房公积金</w:t>
            </w:r>
          </w:p>
        </w:tc>
        <w:tc>
          <w:tcPr>
            <w:tcW w:w="15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14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cs="Arial" w:asciiTheme="majorEastAsia" w:hAnsiTheme="majorEastAsia" w:eastAsiaTheme="majorEastAsia"/>
                <w:color w:val="000000"/>
                <w:sz w:val="20"/>
                <w:szCs w:val="20"/>
              </w:rPr>
              <w:t>218.25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893"/>
        <w:gridCol w:w="850"/>
        <w:gridCol w:w="1134"/>
        <w:gridCol w:w="965"/>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99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8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3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96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89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8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99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3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99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0"/>
                <w:szCs w:val="20"/>
              </w:rPr>
            </w:pPr>
            <w:r>
              <w:rPr>
                <w:rFonts w:hint="eastAsia" w:ascii="宋体" w:hAnsi="宋体" w:eastAsia="宋体" w:cs="宋体"/>
                <w:b/>
                <w:color w:val="000000"/>
                <w:sz w:val="20"/>
                <w:szCs w:val="20"/>
              </w:rPr>
              <w:t>1242.68</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0"/>
                <w:szCs w:val="20"/>
              </w:rPr>
            </w:pPr>
            <w:r>
              <w:rPr>
                <w:rFonts w:hint="eastAsia" w:ascii="宋体" w:hAnsi="宋体" w:eastAsia="宋体" w:cs="宋体"/>
                <w:b/>
                <w:color w:val="000000"/>
                <w:sz w:val="20"/>
                <w:szCs w:val="20"/>
              </w:rPr>
              <w:t>1242.68</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486.07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201</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一般公共服务支出</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20131</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党委办公厅（室）及相关机构事务</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2013101</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行政运行</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208</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社会保障和就业支出</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1015.66</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529.59</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486.07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20805</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行政事业单位离退休</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1015.66</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529.59</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486.07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2080501</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归口管理的行政单位离退休</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938.06</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501.83</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436.23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2080503</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离退休人员管理机构</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49.84</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49.84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2080505</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机关事业单位基本养老保险缴费支出</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19.69</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19.69</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2080506</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机关事业单位职业年金缴费支出</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8.07</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8.07</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210</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卫生健康支出</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21011</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行政事业单位医疗</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2101101</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行政单位医疗</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221</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住房保障支出</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22102</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住房改革支出</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2210201</w:t>
            </w:r>
          </w:p>
        </w:tc>
        <w:tc>
          <w:tcPr>
            <w:tcW w:w="1893"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 xml:space="preserve">  住房公积金</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10128" w:type="dxa"/>
        <w:jc w:val="center"/>
        <w:tblLayout w:type="fixed"/>
        <w:tblCellMar>
          <w:top w:w="0" w:type="dxa"/>
          <w:left w:w="0" w:type="dxa"/>
          <w:bottom w:w="0" w:type="dxa"/>
          <w:right w:w="0" w:type="dxa"/>
        </w:tblCellMar>
      </w:tblPr>
      <w:tblGrid>
        <w:gridCol w:w="2899"/>
        <w:gridCol w:w="567"/>
        <w:gridCol w:w="851"/>
        <w:gridCol w:w="2976"/>
        <w:gridCol w:w="504"/>
        <w:gridCol w:w="850"/>
        <w:gridCol w:w="851"/>
        <w:gridCol w:w="630"/>
      </w:tblGrid>
      <w:tr>
        <w:tblPrEx>
          <w:tblCellMar>
            <w:top w:w="0" w:type="dxa"/>
            <w:left w:w="0" w:type="dxa"/>
            <w:bottom w:w="0" w:type="dxa"/>
            <w:right w:w="0" w:type="dxa"/>
          </w:tblCellMar>
        </w:tblPrEx>
        <w:trPr>
          <w:trHeight w:val="406" w:hRule="atLeast"/>
          <w:jc w:val="center"/>
        </w:trPr>
        <w:tc>
          <w:tcPr>
            <w:tcW w:w="10128"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89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7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31"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899"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7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31"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31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811"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89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5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7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5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63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1103" w:hRule="atLeast"/>
          <w:jc w:val="center"/>
        </w:trPr>
        <w:tc>
          <w:tcPr>
            <w:tcW w:w="289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7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3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1242.68</w:t>
            </w: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218.25</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218.25</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1015.66</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1015.66</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3.62</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3.62</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1242.68</w:t>
            </w: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1242.68</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1242.68</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9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1242.68</w:t>
            </w:r>
          </w:p>
        </w:tc>
        <w:tc>
          <w:tcPr>
            <w:tcW w:w="29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1242.68</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1242.68</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0128"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10089" w:type="dxa"/>
        <w:jc w:val="center"/>
        <w:tblLayout w:type="autofit"/>
        <w:tblCellMar>
          <w:top w:w="0" w:type="dxa"/>
          <w:left w:w="0" w:type="dxa"/>
          <w:bottom w:w="0" w:type="dxa"/>
          <w:right w:w="0" w:type="dxa"/>
        </w:tblCellMar>
      </w:tblPr>
      <w:tblGrid>
        <w:gridCol w:w="854"/>
        <w:gridCol w:w="49"/>
        <w:gridCol w:w="49"/>
        <w:gridCol w:w="5110"/>
        <w:gridCol w:w="1464"/>
        <w:gridCol w:w="1282"/>
        <w:gridCol w:w="1281"/>
      </w:tblGrid>
      <w:tr>
        <w:tblPrEx>
          <w:tblCellMar>
            <w:top w:w="0" w:type="dxa"/>
            <w:left w:w="0" w:type="dxa"/>
            <w:bottom w:w="0" w:type="dxa"/>
            <w:right w:w="0" w:type="dxa"/>
          </w:tblCellMar>
        </w:tblPrEx>
        <w:trPr>
          <w:trHeight w:val="600" w:hRule="atLeast"/>
          <w:jc w:val="center"/>
        </w:trPr>
        <w:tc>
          <w:tcPr>
            <w:tcW w:w="10089"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74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99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35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9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9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99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5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9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9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5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9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9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1242.68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756.61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486.07</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20131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党委办公厅（室）及相关机构事务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2013101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218.25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1015.66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529.59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486.07</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1015.66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529.59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486.07</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 xml:space="preserve">  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938.06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501.83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436.23</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2080503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 xml:space="preserve">  离退休人员管理机构</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49.84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cs="Arial" w:asciiTheme="majorEastAsia" w:hAnsiTheme="majorEastAsia" w:eastAsiaTheme="majorEastAsia"/>
                <w:color w:val="000000"/>
                <w:sz w:val="20"/>
                <w:szCs w:val="20"/>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49.84</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19.69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19.69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 xml:space="preserve">  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8.07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8.07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3.62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ajorEastAsia" w:hAnsiTheme="majorEastAsia" w:eastAsiaTheme="majorEastAsia"/>
                <w:color w:val="000000"/>
                <w:sz w:val="20"/>
                <w:szCs w:val="20"/>
              </w:rPr>
            </w:pPr>
            <w:r>
              <w:rPr>
                <w:rFonts w:hint="eastAsia" w:cs="Arial" w:asciiTheme="majorEastAsia" w:hAnsiTheme="majorEastAsia" w:eastAsiaTheme="majorEastAsia"/>
                <w:color w:val="000000"/>
                <w:sz w:val="20"/>
                <w:szCs w:val="20"/>
              </w:rPr>
              <w:t>5.15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108.03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6.39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34.75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0.36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34.30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19.69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8.07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0.72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3.62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5.15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2.44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642.20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404.41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141.57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34.55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0.04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2.01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61.62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3.30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750.23</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6.39</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5.00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2.01</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2.01</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2.01</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3230"/>
        <w:gridCol w:w="36"/>
        <w:gridCol w:w="36"/>
        <w:gridCol w:w="910"/>
        <w:gridCol w:w="883"/>
        <w:gridCol w:w="883"/>
        <w:gridCol w:w="883"/>
        <w:gridCol w:w="883"/>
        <w:gridCol w:w="883"/>
        <w:gridCol w:w="883"/>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部门：中共保定市满城区委老干部局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88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88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264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88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3302"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8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8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8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330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330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tabs>
          <w:tab w:val="left" w:pos="1329"/>
        </w:tabs>
        <w:rPr>
          <w:rFonts w:ascii="宋体" w:hAnsi="宋体" w:eastAsia="宋体" w:cs="宋体"/>
        </w:rPr>
      </w:pPr>
      <w:r>
        <w:rPr>
          <w:rFonts w:hint="eastAsia" w:ascii="宋体" w:hAnsi="宋体" w:eastAsia="宋体" w:cs="宋体"/>
        </w:rPr>
        <w:t>本部门本年度无政府性基金预算财政拨款相关收支情况，按要求空表列示。</w:t>
      </w:r>
    </w:p>
    <w:p>
      <w:r>
        <w:br w:type="page"/>
      </w:r>
    </w:p>
    <w:tbl>
      <w:tblPr>
        <w:tblStyle w:val="6"/>
        <w:tblW w:w="9915" w:type="dxa"/>
        <w:jc w:val="center"/>
        <w:tblLayout w:type="autofit"/>
        <w:tblCellMar>
          <w:top w:w="0" w:type="dxa"/>
          <w:left w:w="0" w:type="dxa"/>
          <w:bottom w:w="0" w:type="dxa"/>
          <w:right w:w="0" w:type="dxa"/>
        </w:tblCellMar>
      </w:tblPr>
      <w:tblGrid>
        <w:gridCol w:w="1166"/>
        <w:gridCol w:w="67"/>
        <w:gridCol w:w="67"/>
        <w:gridCol w:w="4377"/>
        <w:gridCol w:w="870"/>
        <w:gridCol w:w="1684"/>
        <w:gridCol w:w="1684"/>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tabs>
          <w:tab w:val="left" w:pos="1329"/>
        </w:tabs>
        <w:rPr>
          <w:rFonts w:ascii="宋体" w:hAnsi="宋体" w:eastAsia="宋体" w:cs="宋体"/>
        </w:rPr>
      </w:pPr>
      <w:r>
        <w:rPr>
          <w:rFonts w:hint="eastAsia" w:ascii="宋体" w:hAnsi="宋体" w:eastAsia="宋体" w:cs="宋体"/>
        </w:rPr>
        <w:t>本部门本年度无国有资本经营预算财政拨款相关收支情况，按要求空表列示。</w:t>
      </w:r>
    </w:p>
    <w:p>
      <w:r>
        <w:br w:type="page"/>
      </w:r>
    </w:p>
    <w:p>
      <w:r>
        <w:pict>
          <v:rect id="_x0000_s1105" o:spid="_x0000_s1105" o:spt="1" style="position:absolute;left:0pt;margin-left:-70.5pt;margin-top:-85.25pt;height:841.15pt;width:595.1pt;z-index:251659264;v-text-anchor:middle;mso-width-relative:page;mso-height-relative:page;" fillcolor="#FFC000" filled="t" stroked="f" coordsize="21600,21600">
            <v:path/>
            <v:fill on="t" focussize="0,0"/>
            <v:stroke on="f" weight="1pt"/>
            <v:imagedata o:title=""/>
            <o:lock v:ext="edit"/>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思源黑体 HW Bold">
    <w:altName w:val="宋体"/>
    <w:panose1 w:val="00000000000000000000"/>
    <w:charset w:val="86"/>
    <w:family w:val="swiss"/>
    <w:pitch w:val="default"/>
    <w:sig w:usb0="00000000" w:usb1="00000000" w:usb2="0000001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5F222FFA"/>
    <w:multiLevelType w:val="singleLevel"/>
    <w:tmpl w:val="5F222FFA"/>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129DB"/>
    <w:rsid w:val="00016022"/>
    <w:rsid w:val="00026376"/>
    <w:rsid w:val="00037A19"/>
    <w:rsid w:val="0007063E"/>
    <w:rsid w:val="00071ADD"/>
    <w:rsid w:val="00073392"/>
    <w:rsid w:val="00073F4E"/>
    <w:rsid w:val="00074439"/>
    <w:rsid w:val="00086C89"/>
    <w:rsid w:val="000A39FB"/>
    <w:rsid w:val="000E59CD"/>
    <w:rsid w:val="00117746"/>
    <w:rsid w:val="001379AB"/>
    <w:rsid w:val="00153765"/>
    <w:rsid w:val="00163F95"/>
    <w:rsid w:val="00180A9A"/>
    <w:rsid w:val="001829C0"/>
    <w:rsid w:val="00184809"/>
    <w:rsid w:val="00192112"/>
    <w:rsid w:val="0019395C"/>
    <w:rsid w:val="001B0127"/>
    <w:rsid w:val="001B3685"/>
    <w:rsid w:val="001C12D5"/>
    <w:rsid w:val="001C69F7"/>
    <w:rsid w:val="001E45D3"/>
    <w:rsid w:val="00210F63"/>
    <w:rsid w:val="002149A3"/>
    <w:rsid w:val="00222BEB"/>
    <w:rsid w:val="002650EC"/>
    <w:rsid w:val="002A494D"/>
    <w:rsid w:val="002A6C46"/>
    <w:rsid w:val="002C19B5"/>
    <w:rsid w:val="002D32CB"/>
    <w:rsid w:val="002E5DAA"/>
    <w:rsid w:val="003604AE"/>
    <w:rsid w:val="00371224"/>
    <w:rsid w:val="003A4EE8"/>
    <w:rsid w:val="003B5856"/>
    <w:rsid w:val="004241CA"/>
    <w:rsid w:val="00442CC2"/>
    <w:rsid w:val="00446244"/>
    <w:rsid w:val="0045456A"/>
    <w:rsid w:val="004643FD"/>
    <w:rsid w:val="00473C20"/>
    <w:rsid w:val="004B3C8B"/>
    <w:rsid w:val="004D61CB"/>
    <w:rsid w:val="005011D6"/>
    <w:rsid w:val="00503F2E"/>
    <w:rsid w:val="00552226"/>
    <w:rsid w:val="00566120"/>
    <w:rsid w:val="00582E6D"/>
    <w:rsid w:val="005954D5"/>
    <w:rsid w:val="005A53FA"/>
    <w:rsid w:val="005D1293"/>
    <w:rsid w:val="005D7FA0"/>
    <w:rsid w:val="005E0E06"/>
    <w:rsid w:val="006263A2"/>
    <w:rsid w:val="00644D5F"/>
    <w:rsid w:val="006727AD"/>
    <w:rsid w:val="006806D7"/>
    <w:rsid w:val="00691425"/>
    <w:rsid w:val="006A4770"/>
    <w:rsid w:val="006A516E"/>
    <w:rsid w:val="006B0830"/>
    <w:rsid w:val="006C3814"/>
    <w:rsid w:val="00716E2B"/>
    <w:rsid w:val="0072015C"/>
    <w:rsid w:val="00770F18"/>
    <w:rsid w:val="00773B74"/>
    <w:rsid w:val="0078290C"/>
    <w:rsid w:val="007C06CA"/>
    <w:rsid w:val="007F135C"/>
    <w:rsid w:val="008122F2"/>
    <w:rsid w:val="008163FB"/>
    <w:rsid w:val="0082605B"/>
    <w:rsid w:val="00833C2A"/>
    <w:rsid w:val="0084796F"/>
    <w:rsid w:val="00855C36"/>
    <w:rsid w:val="00857DBE"/>
    <w:rsid w:val="0086085F"/>
    <w:rsid w:val="008701BC"/>
    <w:rsid w:val="00883D92"/>
    <w:rsid w:val="008A5362"/>
    <w:rsid w:val="008F21F1"/>
    <w:rsid w:val="008F221B"/>
    <w:rsid w:val="008F5A2D"/>
    <w:rsid w:val="0091649B"/>
    <w:rsid w:val="00921602"/>
    <w:rsid w:val="009467F2"/>
    <w:rsid w:val="00957EA1"/>
    <w:rsid w:val="009663F9"/>
    <w:rsid w:val="00966E5B"/>
    <w:rsid w:val="009B4EF0"/>
    <w:rsid w:val="009C2CF8"/>
    <w:rsid w:val="009D271F"/>
    <w:rsid w:val="00A14A52"/>
    <w:rsid w:val="00A4337A"/>
    <w:rsid w:val="00A60924"/>
    <w:rsid w:val="00A929C2"/>
    <w:rsid w:val="00A94614"/>
    <w:rsid w:val="00AD097F"/>
    <w:rsid w:val="00AD2C32"/>
    <w:rsid w:val="00AF5D4E"/>
    <w:rsid w:val="00B557EF"/>
    <w:rsid w:val="00B7550E"/>
    <w:rsid w:val="00B844F4"/>
    <w:rsid w:val="00B95085"/>
    <w:rsid w:val="00BA06A1"/>
    <w:rsid w:val="00BA1310"/>
    <w:rsid w:val="00BA770A"/>
    <w:rsid w:val="00BF4D15"/>
    <w:rsid w:val="00C054DE"/>
    <w:rsid w:val="00C679A9"/>
    <w:rsid w:val="00C7541C"/>
    <w:rsid w:val="00C95C03"/>
    <w:rsid w:val="00CC0FAA"/>
    <w:rsid w:val="00CD0736"/>
    <w:rsid w:val="00CD1FB4"/>
    <w:rsid w:val="00CF0117"/>
    <w:rsid w:val="00D1570F"/>
    <w:rsid w:val="00D2680E"/>
    <w:rsid w:val="00D32830"/>
    <w:rsid w:val="00D70AB5"/>
    <w:rsid w:val="00D86FB4"/>
    <w:rsid w:val="00DB7153"/>
    <w:rsid w:val="00DB7F05"/>
    <w:rsid w:val="00E028C3"/>
    <w:rsid w:val="00E109F5"/>
    <w:rsid w:val="00E14F77"/>
    <w:rsid w:val="00E3076B"/>
    <w:rsid w:val="00E36978"/>
    <w:rsid w:val="00E507D5"/>
    <w:rsid w:val="00E82A1E"/>
    <w:rsid w:val="00EA609B"/>
    <w:rsid w:val="00EC06F4"/>
    <w:rsid w:val="00ED6438"/>
    <w:rsid w:val="00EE4E36"/>
    <w:rsid w:val="00F665F4"/>
    <w:rsid w:val="00FB1D00"/>
    <w:rsid w:val="00FD225F"/>
    <w:rsid w:val="00FE7C66"/>
    <w:rsid w:val="1C7F1A63"/>
    <w:rsid w:val="2D9360F8"/>
    <w:rsid w:val="31C2036A"/>
    <w:rsid w:val="320D02A5"/>
    <w:rsid w:val="34874E9A"/>
    <w:rsid w:val="348E566F"/>
    <w:rsid w:val="3A226944"/>
    <w:rsid w:val="3AEE6A48"/>
    <w:rsid w:val="3C1620AA"/>
    <w:rsid w:val="3D8F080F"/>
    <w:rsid w:val="44CE1FA4"/>
    <w:rsid w:val="487F73ED"/>
    <w:rsid w:val="4A347EAE"/>
    <w:rsid w:val="52600405"/>
    <w:rsid w:val="529B4319"/>
    <w:rsid w:val="57773DD6"/>
    <w:rsid w:val="578B79AB"/>
    <w:rsid w:val="58FF6E7A"/>
    <w:rsid w:val="5CCD3FD5"/>
    <w:rsid w:val="5E210637"/>
    <w:rsid w:val="61FA5F9D"/>
    <w:rsid w:val="64CD6910"/>
    <w:rsid w:val="6789158D"/>
    <w:rsid w:val="67D81BA4"/>
    <w:rsid w:val="6AAF1C96"/>
    <w:rsid w:val="7299791B"/>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标题 1 Char"/>
    <w:basedOn w:val="8"/>
    <w:link w:val="2"/>
    <w:uiPriority w:val="9"/>
    <w:rPr>
      <w:rFonts w:ascii="等线" w:hAnsi="等线" w:eastAsia="等线"/>
      <w:b/>
      <w:bCs/>
      <w:kern w:val="44"/>
      <w:sz w:val="44"/>
      <w:szCs w:val="44"/>
    </w:rPr>
  </w:style>
  <w:style w:type="character" w:customStyle="1" w:styleId="10">
    <w:name w:val="正文文本 Char"/>
    <w:basedOn w:val="8"/>
    <w:link w:val="3"/>
    <w:semiHidden/>
    <w:qFormat/>
    <w:uiPriority w:val="99"/>
    <w:rPr>
      <w:rFonts w:ascii="等线" w:hAnsi="等线" w:eastAsia="等线"/>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33"/>
    <customShpInfo spid="_x0000_s1034"/>
    <customShpInfo spid="_x0000_s1036"/>
    <customShpInfo spid="_x0000_s1038"/>
    <customShpInfo spid="_x0000_s1039"/>
    <customShpInfo spid="_x0000_s1037"/>
    <customShpInfo spid="_x0000_s1041"/>
    <customShpInfo spid="_x0000_s1042"/>
    <customShpInfo spid="_x0000_s1040"/>
    <customShpInfo spid="_x0000_s1043"/>
    <customShpInfo spid="_x0000_s1035"/>
    <customShpInfo spid="_x0000_s1053"/>
    <customShpInfo spid="_x0000_s1061"/>
    <customShpInfo spid="_x0000_s1062"/>
    <customShpInfo spid="_x0000_s1067"/>
    <customShpInfo spid="_x0000_s1068"/>
    <customShpInfo spid="_x0000_s1066"/>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29</Pages>
  <Words>1867</Words>
  <Characters>10648</Characters>
  <Lines>88</Lines>
  <Paragraphs>24</Paragraphs>
  <TotalTime>2</TotalTime>
  <ScaleCrop>false</ScaleCrop>
  <LinksUpToDate>false</LinksUpToDate>
  <CharactersWithSpaces>12491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adizuo</cp:lastModifiedBy>
  <cp:lastPrinted>2020-07-30T02:37:00Z</cp:lastPrinted>
  <dcterms:modified xsi:type="dcterms:W3CDTF">2022-03-12T00:52:18Z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CD25A3167E3C49A6838DAB6AC338E465</vt:lpwstr>
  </property>
</Properties>
</file>