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黑体" w:hAnsi="黑体" w:eastAsia="黑体"/>
          <w:b/>
          <w:sz w:val="72"/>
          <w:szCs w:val="72"/>
        </w:rPr>
      </w:pPr>
      <w:bookmarkStart w:id="4" w:name="_GoBack"/>
      <w:bookmarkEnd w:id="4"/>
      <w:r>
        <w:pict>
          <v:shape id="图片 7" o:spid="_x0000_s1026" o:spt="75" alt="wc ga" type="#_x0000_t75" style="position:absolute;left:0pt;margin-left:-82.15pt;margin-top:-110.05pt;height:850.15pt;width:596.6pt;z-index:-251657216;mso-width-relative:page;mso-height-relative:page;" filled="f" o:preferrelative="t" stroked="f" coordsize="21600,21600">
            <v:path/>
            <v:fill on="f" focussize="0,0"/>
            <v:stroke on="f" joinstyle="miter"/>
            <v:imagedata r:id="rId6" o:title=""/>
            <o:lock v:ext="edit" aspectratio="t"/>
          </v:shape>
        </w:pict>
      </w:r>
    </w:p>
    <w:p>
      <w:pPr>
        <w:widowControl/>
        <w:jc w:val="center"/>
        <w:rPr>
          <w:rFonts w:ascii="黑体" w:hAnsi="宋体" w:eastAsia="黑体"/>
          <w:color w:val="002060"/>
          <w:sz w:val="72"/>
          <w:szCs w:val="72"/>
        </w:rPr>
      </w:pPr>
      <w:r>
        <w:pict>
          <v:shape id="文本框 8" o:spid="_x0000_s1027" o:spt="202" type="#_x0000_t202" style="position:absolute;left:0pt;margin-left:-83.1pt;margin-top:43.25pt;height:166.25pt;width:596.2pt;z-index:251660288;mso-width-relative:page;mso-height-relative:page;" filled="f" stroked="f" coordsize="21600,21600">
            <v:path/>
            <v:fill on="f" focussize="0,0"/>
            <v:stroke on="f" weight="0.5pt" joinstyle="miter"/>
            <v:imagedata o:title=""/>
            <o:lock v:ext="edit"/>
            <v:textbox>
              <w:txbxContent>
                <w:p>
                  <w:pPr>
                    <w:widowControl/>
                    <w:spacing w:line="1200" w:lineRule="exact"/>
                    <w:jc w:val="center"/>
                    <w:rPr>
                      <w:color w:val="FDEFBE"/>
                      <w:sz w:val="96"/>
                      <w:szCs w:val="96"/>
                    </w:rPr>
                  </w:pPr>
                  <w:r>
                    <w:rPr>
                      <w:rFonts w:hint="eastAsia" w:ascii="黑体" w:hAnsi="宋体" w:eastAsia="黑体"/>
                      <w:color w:val="FDEFBE"/>
                      <w:sz w:val="96"/>
                      <w:szCs w:val="96"/>
                      <w:lang w:eastAsia="zh-CN"/>
                    </w:rPr>
                    <w:t>保定市满城区统计局</w:t>
                  </w:r>
                  <w:r>
                    <w:rPr>
                      <w:rFonts w:hint="eastAsia" w:ascii="黑体" w:hAnsi="宋体" w:eastAsia="黑体"/>
                      <w:color w:val="FDEFBE"/>
                      <w:sz w:val="96"/>
                      <w:szCs w:val="96"/>
                      <w:lang w:val="en-US" w:eastAsia="zh-CN"/>
                    </w:rPr>
                    <w:t xml:space="preserve">   </w:t>
                  </w:r>
                  <w:r>
                    <w:rPr>
                      <w:rFonts w:ascii="黑体" w:hAnsi="宋体" w:eastAsia="黑体"/>
                      <w:color w:val="FDEFBE"/>
                      <w:sz w:val="96"/>
                      <w:szCs w:val="96"/>
                    </w:rPr>
                    <w:t>2018</w:t>
                  </w:r>
                  <w:r>
                    <w:rPr>
                      <w:rFonts w:hint="eastAsia" w:ascii="黑体" w:hAnsi="宋体" w:eastAsia="黑体"/>
                      <w:color w:val="FDEFBE"/>
                      <w:sz w:val="96"/>
                      <w:szCs w:val="96"/>
                    </w:rPr>
                    <w:t>年度部门决算</w:t>
                  </w:r>
                </w:p>
                <w:p>
                  <w:pPr>
                    <w:rPr>
                      <w:color w:val="FDEFBE"/>
                      <w:sz w:val="96"/>
                      <w:szCs w:val="96"/>
                    </w:rPr>
                  </w:pPr>
                </w:p>
              </w:txbxContent>
            </v:textbox>
          </v:shape>
        </w:pict>
      </w: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ind w:firstLine="2871" w:firstLineChars="650"/>
        <w:rPr>
          <w:rFonts w:ascii="楷体" w:hAnsi="楷体" w:eastAsia="楷体" w:cs="楷体"/>
          <w:b/>
          <w:sz w:val="44"/>
          <w:szCs w:val="44"/>
        </w:rPr>
        <w:sectPr>
          <w:pgSz w:w="11906" w:h="16838"/>
          <w:pgMar w:top="2098" w:right="1474" w:bottom="1985" w:left="1588" w:header="851" w:footer="992" w:gutter="0"/>
          <w:cols w:space="425" w:num="1"/>
          <w:docGrid w:type="lines" w:linePitch="312" w:charSpace="0"/>
        </w:sectPr>
      </w:pPr>
      <w:r>
        <w:rPr>
          <w:rFonts w:hint="eastAsia" w:ascii="楷体" w:hAnsi="楷体" w:eastAsia="楷体" w:cs="楷体"/>
          <w:b/>
          <w:sz w:val="44"/>
          <w:szCs w:val="44"/>
        </w:rPr>
        <w:t>二〇一九年</w:t>
      </w:r>
      <w:r>
        <w:rPr>
          <w:rFonts w:hint="eastAsia" w:ascii="楷体" w:hAnsi="楷体" w:eastAsia="楷体" w:cs="楷体"/>
          <w:b/>
          <w:sz w:val="44"/>
          <w:szCs w:val="44"/>
          <w:lang w:eastAsia="zh-CN"/>
        </w:rPr>
        <w:t>十一</w:t>
      </w:r>
      <w:r>
        <w:rPr>
          <w:rFonts w:hint="eastAsia" w:ascii="楷体" w:hAnsi="楷体" w:eastAsia="楷体" w:cs="楷体"/>
          <w:b/>
          <w:sz w:val="44"/>
          <w:szCs w:val="44"/>
        </w:rPr>
        <w:t>月</w:t>
      </w:r>
    </w:p>
    <w:p>
      <w:pPr>
        <w:widowControl/>
        <w:spacing w:after="0" w:line="600" w:lineRule="exact"/>
        <w:ind w:firstLine="640" w:firstLineChars="200"/>
        <w:jc w:val="left"/>
        <w:rPr>
          <w:rFonts w:ascii="楷体" w:hAnsi="楷体" w:eastAsia="楷体" w:cs="楷体"/>
          <w:sz w:val="32"/>
          <w:szCs w:val="32"/>
          <w:highlight w:val="yellow"/>
        </w:rPr>
      </w:pPr>
    </w:p>
    <w:p>
      <w:pPr>
        <w:spacing w:beforeLines="200" w:after="0" w:line="1000" w:lineRule="exact"/>
        <w:jc w:val="center"/>
        <w:rPr>
          <w:rFonts w:ascii="黑体" w:eastAsia="黑体"/>
          <w:sz w:val="48"/>
          <w:szCs w:val="48"/>
        </w:rPr>
      </w:pPr>
      <w:r>
        <w:pict>
          <v:group id="组合 179" o:spid="_x0000_s1028" o:spt="203" style="position:absolute;left:0pt;margin-left:-80.8pt;margin-top:39.95pt;height:46.7pt;width:250.05pt;mso-position-vertical-relative:page;z-index:251673600;mso-width-relative:page;mso-height-relative:page;" coordorigin="4551,52615" coordsize="8546,1398" o:allowoverlap="f">
            <o:lock v:ext="edit"/>
            <v:rect id="矩形 13" o:spid="_x0000_s1029" o:spt="1" style="position:absolute;left:4551;top:52615;height:1175;width:8546;v-text-anchor:middle;" fillcolor="#96DA9D" filled="t" stroked="f" coordsize="21600,21600">
              <v:path/>
              <v:fill on="t" focussize="0,0"/>
              <v:stroke on="f" weight="2pt"/>
              <v:imagedata o:title=""/>
              <o:lock v:ext="edit"/>
            </v:rect>
            <v:rect id="矩形 14" o:spid="_x0000_s1030"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6"/>
                        <w:szCs w:val="36"/>
                      </w:rPr>
                    </w:pPr>
                    <w:r>
                      <w:rPr>
                        <w:rFonts w:ascii="楷体" w:hAnsi="楷体" w:eastAsia="楷体" w:cs="楷体"/>
                        <w:b/>
                        <w:bCs/>
                        <w:color w:val="FDEFBE"/>
                        <w:kern w:val="0"/>
                        <w:sz w:val="36"/>
                        <w:szCs w:val="36"/>
                      </w:rPr>
                      <w:t>2018</w:t>
                    </w:r>
                    <w:r>
                      <w:rPr>
                        <w:rFonts w:hint="eastAsia" w:ascii="楷体" w:hAnsi="楷体" w:eastAsia="楷体" w:cs="楷体"/>
                        <w:b/>
                        <w:bCs/>
                        <w:color w:val="FDEFBE"/>
                        <w:kern w:val="0"/>
                        <w:sz w:val="36"/>
                        <w:szCs w:val="36"/>
                      </w:rPr>
                      <w:t>年度部门决算</w:t>
                    </w:r>
                    <w:r>
                      <w:rPr>
                        <w:rFonts w:hint="eastAsia" w:ascii="MS Gothic" w:hAnsi="MS Gothic" w:eastAsia="MS Gothic" w:cs="MS Gothic"/>
                        <w:b/>
                        <w:bCs/>
                        <w:color w:val="FDEFBE"/>
                        <w:kern w:val="0"/>
                        <w:sz w:val="36"/>
                        <w:szCs w:val="36"/>
                      </w:rPr>
                      <w:t>☞</w:t>
                    </w:r>
                    <w:r>
                      <w:rPr>
                        <w:rFonts w:hint="eastAsia" w:ascii="楷体" w:hAnsi="楷体" w:eastAsia="楷体" w:cs="楷体"/>
                        <w:b/>
                        <w:bCs/>
                        <w:color w:val="FDEFBE"/>
                        <w:kern w:val="0"/>
                        <w:sz w:val="36"/>
                        <w:szCs w:val="36"/>
                      </w:rPr>
                      <w:t>目</w:t>
                    </w:r>
                    <w:r>
                      <w:rPr>
                        <w:rFonts w:ascii="楷体" w:hAnsi="楷体" w:eastAsia="楷体" w:cs="楷体"/>
                        <w:b/>
                        <w:bCs/>
                        <w:color w:val="FDEFBE"/>
                        <w:kern w:val="0"/>
                        <w:sz w:val="36"/>
                        <w:szCs w:val="36"/>
                      </w:rPr>
                      <w:t xml:space="preserve"> </w:t>
                    </w:r>
                    <w:r>
                      <w:rPr>
                        <w:rFonts w:hint="eastAsia" w:ascii="楷体" w:hAnsi="楷体" w:eastAsia="楷体" w:cs="楷体"/>
                        <w:b/>
                        <w:bCs/>
                        <w:color w:val="FDEFBE"/>
                        <w:kern w:val="0"/>
                        <w:sz w:val="36"/>
                        <w:szCs w:val="36"/>
                      </w:rPr>
                      <w:t>录</w:t>
                    </w:r>
                  </w:p>
                  <w:p>
                    <w:pPr>
                      <w:jc w:val="center"/>
                    </w:pPr>
                  </w:p>
                </w:txbxContent>
              </v:textbox>
            </v:rect>
            <w10:anchorlock/>
          </v:group>
        </w:pict>
      </w:r>
      <w:r>
        <w:rPr>
          <w:rFonts w:hint="eastAsia" w:ascii="黑体" w:eastAsia="黑体"/>
          <w:sz w:val="48"/>
          <w:szCs w:val="48"/>
        </w:rPr>
        <w:t>目</w:t>
      </w:r>
      <w:r>
        <w:rPr>
          <w:rFonts w:ascii="黑体" w:eastAsia="黑体"/>
          <w:sz w:val="48"/>
          <w:szCs w:val="48"/>
        </w:rPr>
        <w:t xml:space="preserve">    </w:t>
      </w:r>
      <w:r>
        <w:rPr>
          <w:rFonts w:hint="eastAsia" w:ascii="黑体" w:eastAsia="黑体"/>
          <w:sz w:val="48"/>
          <w:szCs w:val="48"/>
        </w:rPr>
        <w:t>录</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仿宋_GB2312"/>
          <w:sz w:val="24"/>
          <w:szCs w:val="32"/>
        </w:rPr>
      </w:pPr>
      <w:r>
        <w:rPr>
          <w:rFonts w:hint="eastAsia" w:eastAsia="黑体"/>
          <w:sz w:val="32"/>
          <w:szCs w:val="32"/>
        </w:rPr>
        <w:t>第一部分</w:t>
      </w:r>
      <w:r>
        <w:rPr>
          <w:rFonts w:eastAsia="黑体"/>
          <w:sz w:val="32"/>
          <w:szCs w:val="32"/>
        </w:rPr>
        <w:t xml:space="preserve">   </w:t>
      </w:r>
      <w:r>
        <w:rPr>
          <w:rFonts w:hint="eastAsia" w:eastAsia="黑体"/>
          <w:sz w:val="32"/>
          <w:szCs w:val="32"/>
        </w:rPr>
        <w:t>部门概况</w:t>
      </w:r>
      <w:r>
        <w:rPr>
          <w:rFonts w:eastAsia="仿宋_GB2312"/>
          <w:sz w:val="28"/>
          <w:szCs w:val="36"/>
        </w:rPr>
        <w:t xml:space="preserve">  </w:t>
      </w:r>
      <w:r>
        <w:rPr>
          <w:rFonts w:eastAsia="仿宋_GB2312"/>
          <w:sz w:val="24"/>
          <w:szCs w:val="32"/>
        </w:rPr>
        <w:t xml:space="preserve"> </w:t>
      </w:r>
    </w:p>
    <w:p>
      <w:pPr>
        <w:widowControl/>
        <w:spacing w:line="580" w:lineRule="exact"/>
        <w:ind w:firstLine="1273" w:firstLineChars="398"/>
        <w:rPr>
          <w:rFonts w:eastAsia="仿宋_GB2312"/>
          <w:sz w:val="32"/>
          <w:szCs w:val="32"/>
        </w:rPr>
      </w:pPr>
      <w:r>
        <w:rPr>
          <w:rFonts w:hint="eastAsia" w:eastAsia="仿宋_GB2312"/>
          <w:sz w:val="32"/>
          <w:szCs w:val="32"/>
        </w:rPr>
        <w:t>一、部门职责</w:t>
      </w:r>
    </w:p>
    <w:p>
      <w:pPr>
        <w:widowControl/>
        <w:spacing w:line="580" w:lineRule="exact"/>
        <w:ind w:firstLine="1273" w:firstLineChars="398"/>
        <w:rPr>
          <w:rFonts w:eastAsia="仿宋_GB2312"/>
          <w:sz w:val="32"/>
          <w:szCs w:val="32"/>
        </w:rPr>
      </w:pPr>
      <w:r>
        <w:rPr>
          <w:rFonts w:hint="eastAsia" w:eastAsia="仿宋_GB2312"/>
          <w:sz w:val="32"/>
          <w:szCs w:val="32"/>
        </w:rPr>
        <w:t>二、机构设置</w:t>
      </w:r>
    </w:p>
    <w:p>
      <w:pPr>
        <w:widowControl/>
        <w:spacing w:line="580" w:lineRule="exact"/>
        <w:ind w:firstLine="640" w:firstLineChars="200"/>
        <w:rPr>
          <w:rFonts w:eastAsia="仿宋_GB2312"/>
          <w:sz w:val="20"/>
          <w:szCs w:val="32"/>
        </w:rPr>
      </w:pPr>
      <w:r>
        <w:rPr>
          <w:rFonts w:hint="eastAsia" w:eastAsia="黑体"/>
          <w:sz w:val="32"/>
          <w:szCs w:val="32"/>
        </w:rPr>
        <w:t>第二部分</w:t>
      </w:r>
      <w:r>
        <w:rPr>
          <w:rFonts w:eastAsia="黑体"/>
          <w:sz w:val="32"/>
          <w:szCs w:val="32"/>
        </w:rPr>
        <w:t xml:space="preserve">   2018</w:t>
      </w:r>
      <w:r>
        <w:rPr>
          <w:rFonts w:hint="eastAsia" w:eastAsia="黑体"/>
          <w:sz w:val="32"/>
          <w:szCs w:val="32"/>
        </w:rPr>
        <w:t>年度部门决算报表</w:t>
      </w:r>
    </w:p>
    <w:p>
      <w:pPr>
        <w:widowControl/>
        <w:spacing w:line="580" w:lineRule="exact"/>
        <w:ind w:left="640" w:firstLine="640" w:firstLineChars="200"/>
        <w:rPr>
          <w:rFonts w:eastAsia="仿宋_GB2312"/>
          <w:sz w:val="32"/>
          <w:szCs w:val="32"/>
        </w:rPr>
      </w:pPr>
      <w:r>
        <w:rPr>
          <w:rFonts w:hint="eastAsia" w:eastAsia="仿宋_GB2312"/>
          <w:sz w:val="32"/>
          <w:szCs w:val="32"/>
        </w:rPr>
        <w:t>一、收入支出决算总表</w:t>
      </w:r>
    </w:p>
    <w:p>
      <w:pPr>
        <w:widowControl/>
        <w:spacing w:line="580" w:lineRule="exact"/>
        <w:ind w:left="640" w:firstLine="640" w:firstLineChars="200"/>
        <w:rPr>
          <w:rFonts w:eastAsia="仿宋_GB2312"/>
          <w:sz w:val="32"/>
          <w:szCs w:val="32"/>
        </w:rPr>
      </w:pPr>
      <w:r>
        <w:rPr>
          <w:rFonts w:hint="eastAsia" w:eastAsia="仿宋_GB2312"/>
          <w:sz w:val="32"/>
          <w:szCs w:val="32"/>
        </w:rPr>
        <w:t>二、收入决算表</w:t>
      </w:r>
    </w:p>
    <w:p>
      <w:pPr>
        <w:widowControl/>
        <w:spacing w:line="580" w:lineRule="exact"/>
        <w:ind w:left="640" w:firstLine="640" w:firstLineChars="200"/>
        <w:rPr>
          <w:rFonts w:eastAsia="仿宋_GB2312"/>
          <w:sz w:val="32"/>
          <w:szCs w:val="32"/>
        </w:rPr>
      </w:pPr>
      <w:r>
        <w:rPr>
          <w:rFonts w:hint="eastAsia" w:eastAsia="仿宋_GB2312"/>
          <w:sz w:val="32"/>
          <w:szCs w:val="32"/>
        </w:rPr>
        <w:t>三、支出决算表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四、财政拨款收入支出决算总表</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六、一般公共预算财政拨款基本支出决算表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七、一般公共预算财政拨款</w:t>
      </w:r>
      <w:r>
        <w:rPr>
          <w:rFonts w:eastAsia="仿宋_GB2312"/>
          <w:sz w:val="32"/>
          <w:szCs w:val="32"/>
        </w:rPr>
        <w:t>“</w:t>
      </w:r>
      <w:r>
        <w:rPr>
          <w:rFonts w:hint="eastAsia" w:eastAsia="仿宋_GB2312"/>
          <w:sz w:val="32"/>
          <w:szCs w:val="32"/>
        </w:rPr>
        <w:t>三公</w:t>
      </w:r>
      <w:r>
        <w:rPr>
          <w:rFonts w:eastAsia="仿宋_GB2312"/>
          <w:sz w:val="32"/>
          <w:szCs w:val="32"/>
        </w:rPr>
        <w:t>”</w:t>
      </w:r>
      <w:r>
        <w:rPr>
          <w:rFonts w:hint="eastAsia" w:eastAsia="仿宋_GB2312"/>
          <w:sz w:val="32"/>
          <w:szCs w:val="32"/>
        </w:rPr>
        <w:t>经费支出决算表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八、政府性基金预算财政拨款收入支出决算表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九、国有资本经营预算财政拨款支出决算表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十、政府采购情况表</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r>
        <w:rPr>
          <w:rFonts w:hint="eastAsia" w:eastAsia="黑体"/>
          <w:sz w:val="32"/>
          <w:szCs w:val="32"/>
        </w:rPr>
        <w:t>第三部分</w:t>
      </w:r>
      <w:r>
        <w:rPr>
          <w:rFonts w:eastAsia="黑体"/>
          <w:sz w:val="32"/>
          <w:szCs w:val="32"/>
        </w:rPr>
        <w:t xml:space="preserve"> 2018</w:t>
      </w:r>
      <w:r>
        <w:rPr>
          <w:rFonts w:hint="eastAsia" w:eastAsia="黑体"/>
          <w:sz w:val="32"/>
          <w:szCs w:val="32"/>
        </w:rPr>
        <w:t>年部门决算情况说明</w:t>
      </w:r>
      <w:r>
        <w:pict>
          <v:group id="组合 176" o:spid="_x0000_s1031" o:spt="203" style="position:absolute;left:0pt;margin-left:-80.8pt;margin-top:38.95pt;height:46.7pt;width:222.8pt;mso-position-vertical-relative:page;z-index:251672576;mso-width-relative:page;mso-height-relative:page;" coordorigin="4551,52615" coordsize="8546,1398">
            <o:lock v:ext="edit"/>
            <v:rect id="矩形 13" o:spid="_x0000_s1032" o:spt="1" style="position:absolute;left:4551;top:52615;height:1175;width:8546;v-text-anchor:middle;" fillcolor="#96DA9D" filled="t" stroked="f" coordsize="21600,21600">
              <v:path/>
              <v:fill on="t" focussize="0,0"/>
              <v:stroke on="f" weight="2pt"/>
              <v:imagedata o:title=""/>
              <o:lock v:ext="edit"/>
            </v:rect>
            <v:rect id="矩形 14" o:spid="_x0000_s1033"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目</w:t>
                    </w:r>
                    <w:r>
                      <w:rPr>
                        <w:rFonts w:ascii="楷体" w:hAnsi="楷体" w:eastAsia="楷体" w:cs="楷体"/>
                        <w:b/>
                        <w:bCs/>
                        <w:color w:val="FDEFBE"/>
                        <w:kern w:val="0"/>
                        <w:sz w:val="32"/>
                        <w:szCs w:val="32"/>
                      </w:rPr>
                      <w:t xml:space="preserve"> </w:t>
                    </w:r>
                    <w:r>
                      <w:rPr>
                        <w:rFonts w:hint="eastAsia" w:ascii="楷体" w:hAnsi="楷体" w:eastAsia="楷体" w:cs="楷体"/>
                        <w:b/>
                        <w:bCs/>
                        <w:color w:val="FDEFBE"/>
                        <w:kern w:val="0"/>
                        <w:sz w:val="32"/>
                        <w:szCs w:val="32"/>
                      </w:rPr>
                      <w:t>录</w:t>
                    </w:r>
                  </w:p>
                  <w:p>
                    <w:pPr>
                      <w:jc w:val="center"/>
                    </w:pPr>
                  </w:p>
                </w:txbxContent>
              </v:textbox>
            </v:rect>
            <w10:anchorlock/>
          </v:group>
        </w:pict>
      </w:r>
    </w:p>
    <w:p>
      <w:pPr>
        <w:widowControl/>
        <w:spacing w:line="580" w:lineRule="exact"/>
        <w:ind w:left="640" w:firstLine="640" w:firstLineChars="200"/>
        <w:rPr>
          <w:rFonts w:eastAsia="仿宋_GB2312"/>
          <w:sz w:val="32"/>
          <w:szCs w:val="32"/>
        </w:rPr>
      </w:pPr>
      <w:r>
        <w:rPr>
          <w:rFonts w:hint="eastAsia" w:eastAsia="仿宋_GB2312"/>
          <w:sz w:val="32"/>
          <w:szCs w:val="32"/>
        </w:rPr>
        <w:t>一、收入支出决算总体情况说明</w:t>
      </w:r>
    </w:p>
    <w:p>
      <w:pPr>
        <w:widowControl/>
        <w:spacing w:line="580" w:lineRule="exact"/>
        <w:ind w:left="640" w:firstLine="640" w:firstLineChars="200"/>
        <w:rPr>
          <w:rFonts w:eastAsia="仿宋_GB2312"/>
          <w:sz w:val="32"/>
          <w:szCs w:val="32"/>
        </w:rPr>
      </w:pPr>
      <w:r>
        <w:rPr>
          <w:rFonts w:hint="eastAsia" w:eastAsia="仿宋_GB2312"/>
          <w:sz w:val="32"/>
          <w:szCs w:val="32"/>
        </w:rPr>
        <w:t>二、收入决算情况说明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三、支出决算情况说明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四、财政拨款收入支出决算情况说明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w:t>
      </w:r>
      <w:r>
        <w:rPr>
          <w:rFonts w:eastAsia="仿宋_GB2312"/>
          <w:sz w:val="32"/>
          <w:szCs w:val="32"/>
        </w:rPr>
        <w:t>“</w:t>
      </w:r>
      <w:r>
        <w:rPr>
          <w:rFonts w:hint="eastAsia" w:eastAsia="仿宋_GB2312"/>
          <w:sz w:val="32"/>
          <w:szCs w:val="32"/>
        </w:rPr>
        <w:t>三公</w:t>
      </w:r>
      <w:r>
        <w:rPr>
          <w:rFonts w:eastAsia="仿宋_GB2312"/>
          <w:sz w:val="32"/>
          <w:szCs w:val="32"/>
        </w:rPr>
        <w:t>”</w:t>
      </w:r>
      <w:r>
        <w:rPr>
          <w:rFonts w:hint="eastAsia" w:eastAsia="仿宋_GB2312"/>
          <w:sz w:val="32"/>
          <w:szCs w:val="32"/>
        </w:rPr>
        <w:t>经费支出决算情况说明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六、预算绩效情况说明</w:t>
      </w:r>
    </w:p>
    <w:p>
      <w:pPr>
        <w:widowControl/>
        <w:spacing w:line="580" w:lineRule="exact"/>
        <w:ind w:left="640" w:firstLine="640" w:firstLineChars="200"/>
        <w:rPr>
          <w:rFonts w:eastAsia="仿宋_GB2312"/>
          <w:sz w:val="32"/>
          <w:szCs w:val="32"/>
        </w:rPr>
      </w:pPr>
      <w:r>
        <w:rPr>
          <w:rFonts w:hint="eastAsia" w:eastAsia="仿宋_GB2312"/>
          <w:sz w:val="32"/>
          <w:szCs w:val="32"/>
        </w:rPr>
        <w:t>七、其他重要事项的说明</w:t>
      </w:r>
    </w:p>
    <w:p>
      <w:pPr>
        <w:widowControl/>
        <w:spacing w:line="580" w:lineRule="exact"/>
        <w:ind w:firstLine="640" w:firstLineChars="200"/>
        <w:rPr>
          <w:rFonts w:eastAsia="黑体"/>
          <w:sz w:val="32"/>
          <w:szCs w:val="32"/>
        </w:rPr>
      </w:pPr>
      <w:r>
        <w:rPr>
          <w:rFonts w:hint="eastAsia" w:eastAsia="黑体"/>
          <w:sz w:val="32"/>
          <w:szCs w:val="32"/>
        </w:rPr>
        <w:t>第四部分</w:t>
      </w:r>
      <w:r>
        <w:rPr>
          <w:rFonts w:eastAsia="黑体"/>
          <w:sz w:val="32"/>
          <w:szCs w:val="32"/>
        </w:rPr>
        <w:t xml:space="preserve">  </w:t>
      </w:r>
      <w:r>
        <w:rPr>
          <w:rFonts w:hint="eastAsia" w:eastAsia="黑体"/>
          <w:sz w:val="32"/>
          <w:szCs w:val="32"/>
        </w:rPr>
        <w:t>名词解释</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br w:type="page"/>
      </w:r>
    </w:p>
    <w:p>
      <w:r>
        <w:pict>
          <v:shape id="图片 12" o:spid="_x0000_s1034" o:spt="75" alt="2" type="#_x0000_t75" style="position:absolute;left:0pt;margin-left:-80.7pt;margin-top:-106.45pt;height:844.65pt;width:597.3pt;z-index:-251655168;mso-width-relative:page;mso-height-relative:page;" filled="f" o:preferrelative="t" stroked="f" coordsize="21600,21600">
            <v:path/>
            <v:fill on="f" focussize="0,0"/>
            <v:stroke on="f" joinstyle="miter"/>
            <v:imagedata r:id="rId7" o:title=""/>
            <o:lock v:ext="edit" aspectratio="t"/>
          </v:shape>
        </w:pict>
      </w:r>
      <w:r>
        <w:pict>
          <v:shape id="文本框 118" o:spid="_x0000_s1035" o:spt="202" type="#_x0000_t202" style="position:absolute;left:0pt;margin-left:-97.3pt;margin-top:259.1pt;height:81.7pt;width:613.65pt;z-index:251670528;mso-width-relative:page;mso-height-relative:page;" filled="f" stroked="f" coordsize="21600,21600">
            <v:path/>
            <v:fill on="f" focussize="0,0"/>
            <v:stroke on="f" weight="0.5pt" joinstyle="miter"/>
            <v:imagedata o:title=""/>
            <o:lock v:ext="edit"/>
            <v:textbox>
              <w:txbxContent>
                <w:p>
                  <w:pPr>
                    <w:widowControl/>
                    <w:jc w:val="center"/>
                    <w:rPr>
                      <w:color w:val="FDEFBE"/>
                      <w:sz w:val="96"/>
                      <w:szCs w:val="96"/>
                    </w:rPr>
                  </w:pPr>
                  <w:r>
                    <w:rPr>
                      <w:rFonts w:hint="eastAsia" w:ascii="黑体" w:hAnsi="宋体" w:eastAsia="黑体"/>
                      <w:color w:val="FDEFBE"/>
                      <w:sz w:val="96"/>
                      <w:szCs w:val="96"/>
                    </w:rPr>
                    <w:t>第一部分</w:t>
                  </w:r>
                  <w:r>
                    <w:rPr>
                      <w:rFonts w:ascii="黑体" w:hAnsi="宋体" w:eastAsia="黑体"/>
                      <w:color w:val="FDEFBE"/>
                      <w:sz w:val="96"/>
                      <w:szCs w:val="96"/>
                    </w:rPr>
                    <w:t xml:space="preserve">  </w:t>
                  </w:r>
                  <w:r>
                    <w:rPr>
                      <w:rFonts w:hint="eastAsia" w:ascii="黑体" w:hAnsi="宋体" w:eastAsia="黑体"/>
                      <w:color w:val="FDEFBE"/>
                      <w:sz w:val="96"/>
                      <w:szCs w:val="96"/>
                    </w:rPr>
                    <w:t>部门概况</w:t>
                  </w:r>
                </w:p>
              </w:txbxContent>
            </v:textbox>
          </v:shape>
        </w:pict>
      </w:r>
    </w:p>
    <w:p/>
    <w:p/>
    <w:p/>
    <w:p/>
    <w:p/>
    <w:p/>
    <w:p/>
    <w:p/>
    <w:p/>
    <w:p/>
    <w:p/>
    <w:p/>
    <w:p/>
    <w:p/>
    <w:p/>
    <w:p>
      <w:pPr>
        <w:pStyle w:val="2"/>
        <w:spacing w:before="0" w:after="0" w:line="600" w:lineRule="exact"/>
        <w:jc w:val="left"/>
        <w:rPr>
          <w:rFonts w:ascii="黑体" w:hAnsi="Cambria" w:eastAsia="黑体" w:cs="黑体"/>
          <w:b w:val="0"/>
          <w:bCs w:val="0"/>
          <w:kern w:val="0"/>
          <w:sz w:val="32"/>
          <w:szCs w:val="32"/>
        </w:rPr>
      </w:pPr>
      <w:r>
        <w:pict>
          <v:group id="组合 15" o:spid="_x0000_s1036" o:spt="203" style="position:absolute;left:0pt;margin-left:-80.8pt;margin-top:39.5pt;height:46.7pt;width:245.25pt;mso-position-vertical-relative:page;z-index:251662336;mso-width-relative:page;mso-height-relative:page;" coordorigin="4551,52615" coordsize="8546,1398">
            <o:lock v:ext="edit"/>
            <v:rect id="_x0000_s1037" o:spid="_x0000_s1037" o:spt="1" style="position:absolute;left:4551;top:52615;height:1175;width:8546;v-text-anchor:middle;" fillcolor="#96DA9D" filled="t" stroked="f" coordsize="21600,21600">
              <v:path/>
              <v:fill on="t" focussize="0,0"/>
              <v:stroke on="f" weight="2pt"/>
              <v:imagedata o:title=""/>
              <o:lock v:ext="edit"/>
            </v:rect>
            <v:rect id="_x0000_s1038" o:spid="_x0000_s1038"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部门概况</w:t>
                    </w:r>
                  </w:p>
                  <w:p>
                    <w:pPr>
                      <w:jc w:val="center"/>
                    </w:pPr>
                  </w:p>
                </w:txbxContent>
              </v:textbox>
            </v:rect>
            <w10:anchorlock/>
          </v:group>
        </w:pict>
      </w:r>
      <w:r>
        <w:rPr>
          <w:rFonts w:hint="eastAsia" w:ascii="黑体" w:hAnsi="Cambria" w:eastAsia="黑体" w:cs="黑体"/>
          <w:b w:val="0"/>
          <w:bCs w:val="0"/>
          <w:kern w:val="0"/>
          <w:sz w:val="32"/>
          <w:szCs w:val="32"/>
        </w:rPr>
        <w:t>一、部门职责</w:t>
      </w:r>
    </w:p>
    <w:p>
      <w:pPr>
        <w:spacing w:after="0" w:line="560" w:lineRule="exact"/>
        <w:ind w:firstLine="640" w:firstLineChars="200"/>
        <w:rPr>
          <w:rFonts w:hint="eastAsia" w:ascii="仿宋_GB2312" w:hAnsi="Cambria" w:eastAsia="仿宋_GB2312" w:cs="ArialUnicodeMS"/>
          <w:kern w:val="0"/>
          <w:sz w:val="32"/>
          <w:szCs w:val="32"/>
        </w:rPr>
      </w:pPr>
      <w:r>
        <w:rPr>
          <w:rFonts w:hint="eastAsia" w:ascii="仿宋_GB2312" w:hAnsi="Cambria" w:eastAsia="仿宋_GB2312" w:cs="ArialUnicodeMS"/>
          <w:kern w:val="0"/>
          <w:sz w:val="32"/>
          <w:szCs w:val="32"/>
        </w:rPr>
        <w:t>区统计局是政府的组成部门，是区政府主管统计工作的综合经济部门，其主要职责是：</w:t>
      </w:r>
    </w:p>
    <w:p>
      <w:pPr>
        <w:spacing w:after="0" w:line="560" w:lineRule="exact"/>
        <w:ind w:firstLine="640" w:firstLineChars="200"/>
        <w:rPr>
          <w:rFonts w:hint="eastAsia" w:ascii="仿宋_GB2312" w:hAnsi="Cambria" w:eastAsia="仿宋_GB2312" w:cs="ArialUnicodeMS"/>
          <w:kern w:val="0"/>
          <w:sz w:val="32"/>
          <w:szCs w:val="32"/>
        </w:rPr>
      </w:pPr>
      <w:r>
        <w:rPr>
          <w:rFonts w:hint="eastAsia" w:ascii="仿宋_GB2312" w:hAnsi="Cambria" w:eastAsia="仿宋_GB2312" w:cs="ArialUnicodeMS"/>
          <w:kern w:val="0"/>
          <w:sz w:val="32"/>
          <w:szCs w:val="32"/>
        </w:rPr>
        <w:t>1.承担组织领导和协调管理全区统计工作，确保统计数据真实、准确、及时的责任。</w:t>
      </w:r>
    </w:p>
    <w:p>
      <w:pPr>
        <w:spacing w:after="0" w:line="560" w:lineRule="exact"/>
        <w:ind w:firstLine="640" w:firstLineChars="200"/>
        <w:rPr>
          <w:rFonts w:hint="eastAsia" w:ascii="仿宋_GB2312" w:hAnsi="Cambria" w:eastAsia="仿宋_GB2312" w:cs="ArialUnicodeMS"/>
          <w:kern w:val="0"/>
          <w:sz w:val="32"/>
          <w:szCs w:val="32"/>
        </w:rPr>
      </w:pPr>
      <w:r>
        <w:rPr>
          <w:rFonts w:hint="eastAsia" w:ascii="仿宋_GB2312" w:hAnsi="Cambria" w:eastAsia="仿宋_GB2312" w:cs="ArialUnicodeMS"/>
          <w:kern w:val="0"/>
          <w:sz w:val="32"/>
          <w:szCs w:val="32"/>
        </w:rPr>
        <w:t>2.认真贯彻执行各项统计调查制度；监督检查统计法律、法规实施情况，指导全区统计工作。</w:t>
      </w:r>
    </w:p>
    <w:p>
      <w:pPr>
        <w:spacing w:after="0" w:line="560" w:lineRule="exact"/>
        <w:rPr>
          <w:rFonts w:hint="eastAsia" w:ascii="仿宋_GB2312" w:hAnsi="Cambria" w:eastAsia="仿宋_GB2312" w:cs="ArialUnicodeMS"/>
          <w:kern w:val="0"/>
          <w:sz w:val="32"/>
          <w:szCs w:val="32"/>
        </w:rPr>
      </w:pPr>
      <w:r>
        <w:rPr>
          <w:rFonts w:hint="eastAsia" w:ascii="仿宋_GB2312" w:hAnsi="Cambria" w:eastAsia="仿宋_GB2312" w:cs="ArialUnicodeMS"/>
          <w:kern w:val="0"/>
          <w:sz w:val="32"/>
          <w:szCs w:val="32"/>
        </w:rPr>
        <w:t xml:space="preserve"> </w:t>
      </w:r>
      <w:r>
        <w:rPr>
          <w:rFonts w:hint="eastAsia" w:ascii="仿宋_GB2312" w:hAnsi="Cambria" w:eastAsia="仿宋_GB2312" w:cs="ArialUnicodeMS"/>
          <w:kern w:val="0"/>
          <w:sz w:val="32"/>
          <w:szCs w:val="32"/>
          <w:lang w:val="en-US" w:eastAsia="zh-CN"/>
        </w:rPr>
        <w:t xml:space="preserve">  </w:t>
      </w:r>
      <w:r>
        <w:rPr>
          <w:rFonts w:hint="eastAsia" w:ascii="仿宋_GB2312" w:hAnsi="Cambria" w:eastAsia="仿宋_GB2312" w:cs="ArialUnicodeMS"/>
          <w:kern w:val="0"/>
          <w:sz w:val="32"/>
          <w:szCs w:val="32"/>
        </w:rPr>
        <w:t>3.组织完成国家和省、市部署的国情国力普查及重要调查任务，研究提出重大区情区力和抽样调查计划并组织实施，汇总、整理和提供有关区情区力方面的统计数据。</w:t>
      </w:r>
    </w:p>
    <w:p>
      <w:pPr>
        <w:spacing w:after="0" w:line="560" w:lineRule="exact"/>
        <w:rPr>
          <w:rFonts w:hint="eastAsia" w:ascii="仿宋_GB2312" w:hAnsi="Cambria" w:eastAsia="仿宋_GB2312" w:cs="ArialUnicodeMS"/>
          <w:kern w:val="0"/>
          <w:sz w:val="32"/>
          <w:szCs w:val="32"/>
        </w:rPr>
      </w:pPr>
      <w:r>
        <w:rPr>
          <w:rFonts w:hint="eastAsia" w:ascii="仿宋_GB2312" w:hAnsi="Cambria" w:eastAsia="仿宋_GB2312" w:cs="ArialUnicodeMS"/>
          <w:kern w:val="0"/>
          <w:sz w:val="32"/>
          <w:szCs w:val="32"/>
        </w:rPr>
        <w:t xml:space="preserve"> </w:t>
      </w:r>
      <w:r>
        <w:rPr>
          <w:rFonts w:hint="eastAsia" w:ascii="仿宋_GB2312" w:hAnsi="Cambria" w:eastAsia="仿宋_GB2312" w:cs="ArialUnicodeMS"/>
          <w:kern w:val="0"/>
          <w:sz w:val="32"/>
          <w:szCs w:val="32"/>
          <w:lang w:val="en-US" w:eastAsia="zh-CN"/>
        </w:rPr>
        <w:t xml:space="preserve">  </w:t>
      </w:r>
      <w:r>
        <w:rPr>
          <w:rFonts w:hint="eastAsia" w:ascii="仿宋_GB2312" w:hAnsi="Cambria" w:eastAsia="仿宋_GB2312" w:cs="ArialUnicodeMS"/>
          <w:kern w:val="0"/>
          <w:sz w:val="32"/>
          <w:szCs w:val="32"/>
        </w:rPr>
        <w:t>4.组织实施农林牧渔业、农业产值、农产品产量、农业产业化、工业、能源、社会、人口、工资、科技、消费、价格、城镇劳动力、城镇就业、建筑业、固定资产投资、房地产开发、高新技术产业、批发和零售业、住宿和餐饮业、运输邮电业、其他服务业、服务业个体户、对外经济和旅游、民营经济、成品油流通、城市社会经济基本情况、社会经济基本情况、乡村社会经济、资源环境、服务业财务、规模以下工业抽样、企业（集</w:t>
      </w:r>
      <w:bookmarkStart w:id="0" w:name="_Hlt223863490"/>
      <w:r>
        <w:rPr>
          <w:rFonts w:hint="eastAsia" w:ascii="仿宋_GB2312" w:hAnsi="Cambria" w:eastAsia="仿宋_GB2312" w:cs="ArialUnicodeMS"/>
          <w:kern w:val="0"/>
          <w:sz w:val="32"/>
          <w:szCs w:val="32"/>
        </w:rPr>
        <w:t>团</w:t>
      </w:r>
      <w:bookmarkEnd w:id="0"/>
      <w:r>
        <w:rPr>
          <w:rFonts w:hint="eastAsia" w:ascii="仿宋_GB2312" w:hAnsi="Cambria" w:eastAsia="仿宋_GB2312" w:cs="ArialUnicodeMS"/>
          <w:kern w:val="0"/>
          <w:sz w:val="32"/>
          <w:szCs w:val="32"/>
        </w:rPr>
        <w:t>）、城镇</w:t>
      </w:r>
      <w:bookmarkStart w:id="1" w:name="_Hlt223863034"/>
      <w:r>
        <w:rPr>
          <w:rFonts w:hint="eastAsia" w:ascii="仿宋_GB2312" w:hAnsi="Cambria" w:eastAsia="仿宋_GB2312" w:cs="ArialUnicodeMS"/>
          <w:kern w:val="0"/>
          <w:sz w:val="32"/>
          <w:szCs w:val="32"/>
        </w:rPr>
        <w:t>和农村</w:t>
      </w:r>
      <w:bookmarkStart w:id="2" w:name="_Hlt223863449"/>
      <w:r>
        <w:rPr>
          <w:rFonts w:hint="eastAsia" w:ascii="仿宋_GB2312" w:hAnsi="Cambria" w:eastAsia="仿宋_GB2312" w:cs="ArialUnicodeMS"/>
          <w:kern w:val="0"/>
          <w:sz w:val="32"/>
          <w:szCs w:val="32"/>
        </w:rPr>
        <w:t>住</w:t>
      </w:r>
      <w:bookmarkEnd w:id="2"/>
      <w:bookmarkStart w:id="3" w:name="_Hlt223863447"/>
      <w:r>
        <w:rPr>
          <w:rFonts w:hint="eastAsia" w:ascii="仿宋_GB2312" w:hAnsi="Cambria" w:eastAsia="仿宋_GB2312" w:cs="ArialUnicodeMS"/>
          <w:kern w:val="0"/>
          <w:sz w:val="32"/>
          <w:szCs w:val="32"/>
        </w:rPr>
        <w:t>户</w:t>
      </w:r>
      <w:bookmarkEnd w:id="1"/>
      <w:bookmarkEnd w:id="3"/>
      <w:r>
        <w:rPr>
          <w:rFonts w:hint="eastAsia" w:ascii="仿宋_GB2312" w:hAnsi="Cambria" w:eastAsia="仿宋_GB2312" w:cs="ArialUnicodeMS"/>
          <w:kern w:val="0"/>
          <w:sz w:val="32"/>
          <w:szCs w:val="32"/>
        </w:rPr>
        <w:t>、经济社会重点问题等统计调查，收集、汇总、整理和提供统计数据。</w:t>
      </w:r>
    </w:p>
    <w:p>
      <w:pPr>
        <w:spacing w:after="0" w:line="560" w:lineRule="exact"/>
        <w:ind w:firstLine="640" w:firstLineChars="200"/>
        <w:rPr>
          <w:rFonts w:hint="eastAsia" w:ascii="仿宋_GB2312" w:hAnsi="Cambria" w:eastAsia="仿宋_GB2312" w:cs="ArialUnicodeMS"/>
          <w:kern w:val="0"/>
          <w:sz w:val="32"/>
          <w:szCs w:val="32"/>
        </w:rPr>
      </w:pPr>
      <w:r>
        <w:rPr>
          <w:rFonts w:hint="eastAsia" w:ascii="仿宋_GB2312" w:hAnsi="Cambria" w:eastAsia="仿宋_GB2312" w:cs="ArialUnicodeMS"/>
          <w:kern w:val="0"/>
          <w:sz w:val="32"/>
          <w:szCs w:val="32"/>
        </w:rPr>
        <w:t>5.组织实施社会发展水平、区域经济发展、节能降耗、城镇化发展、妇女儿童、资源循环利用、企业景气等统计监测，收集、整理和提供统计数据。</w:t>
      </w:r>
    </w:p>
    <w:p>
      <w:pPr>
        <w:spacing w:after="0" w:line="560" w:lineRule="exact"/>
        <w:ind w:firstLine="640" w:firstLineChars="200"/>
        <w:rPr>
          <w:rFonts w:hint="eastAsia" w:ascii="仿宋_GB2312" w:hAnsi="Cambria" w:eastAsia="仿宋_GB2312" w:cs="ArialUnicodeMS"/>
          <w:kern w:val="0"/>
          <w:sz w:val="32"/>
          <w:szCs w:val="32"/>
        </w:rPr>
      </w:pPr>
      <w:r>
        <w:rPr>
          <w:rFonts w:hint="eastAsia" w:ascii="仿宋_GB2312" w:hAnsi="Cambria" w:eastAsia="仿宋_GB2312" w:cs="ArialUnicodeMS"/>
          <w:kern w:val="0"/>
          <w:sz w:val="32"/>
          <w:szCs w:val="32"/>
        </w:rPr>
        <w:t>6.综合整理和提供财政、金融、出口、文化教育、卫生、社会保障、公用事业、房屋、对外贸易及引进内资等基本统计数据，定期发布全</w:t>
      </w:r>
      <w:r>
        <w:rPr>
          <w:rFonts w:hint="eastAsia" w:ascii="仿宋_GB2312" w:hAnsi="Cambria" w:eastAsia="仿宋_GB2312" w:cs="ArialUnicodeMS"/>
          <w:kern w:val="0"/>
          <w:sz w:val="32"/>
          <w:szCs w:val="32"/>
          <w:lang w:eastAsia="zh-CN"/>
        </w:rPr>
        <w:t>区</w:t>
      </w:r>
      <w:r>
        <w:rPr>
          <w:rFonts w:hint="eastAsia" w:ascii="仿宋_GB2312" w:hAnsi="Cambria" w:eastAsia="仿宋_GB2312" w:cs="ArialUnicodeMS"/>
          <w:kern w:val="0"/>
          <w:sz w:val="32"/>
          <w:szCs w:val="32"/>
        </w:rPr>
        <w:t>国民经济和社会发展情况的统计信息。</w:t>
      </w:r>
    </w:p>
    <w:p>
      <w:pPr>
        <w:spacing w:after="0" w:line="560" w:lineRule="exact"/>
        <w:ind w:firstLine="640" w:firstLineChars="200"/>
        <w:rPr>
          <w:rFonts w:hint="eastAsia" w:ascii="仿宋_GB2312" w:hAnsi="Cambria" w:eastAsia="仿宋_GB2312" w:cs="ArialUnicodeMS"/>
          <w:kern w:val="0"/>
          <w:sz w:val="32"/>
          <w:szCs w:val="32"/>
        </w:rPr>
      </w:pPr>
      <w:r>
        <w:rPr>
          <w:rFonts w:hint="eastAsia" w:ascii="仿宋_GB2312" w:hAnsi="Cambria" w:eastAsia="仿宋_GB2312" w:cs="ArialUnicodeMS"/>
          <w:kern w:val="0"/>
          <w:sz w:val="32"/>
          <w:szCs w:val="32"/>
        </w:rPr>
        <w:t>7.对国民经济、社会发展、科技进步等情况进行统计分析、统计预测和统计监督，向区委、区政府及有关部门提供统计信息和咨询建议。</w:t>
      </w:r>
    </w:p>
    <w:p>
      <w:pPr>
        <w:spacing w:after="0" w:line="560" w:lineRule="exact"/>
        <w:ind w:firstLine="640" w:firstLineChars="200"/>
        <w:rPr>
          <w:rFonts w:hint="eastAsia" w:ascii="仿宋_GB2312" w:hAnsi="Cambria" w:eastAsia="仿宋_GB2312" w:cs="ArialUnicodeMS"/>
          <w:kern w:val="0"/>
          <w:sz w:val="32"/>
          <w:szCs w:val="32"/>
        </w:rPr>
      </w:pPr>
      <w:r>
        <w:rPr>
          <w:rFonts w:hint="eastAsia" w:ascii="仿宋_GB2312" w:hAnsi="Cambria" w:eastAsia="仿宋_GB2312" w:cs="ArialUnicodeMS"/>
          <w:kern w:val="0"/>
          <w:sz w:val="32"/>
          <w:szCs w:val="32"/>
        </w:rPr>
        <w:t>8.依法承办、备案各部门统计调查项目、调查计划、调查方案；组织管理全区统计登记工作；指导专业统计基础工作、统计基层业务和规范化建设；组织建立统计信息管理制度，建立健全统计数据质量审核、监控和评估制度，开展对重要统计数据的审核、监控和评估。</w:t>
      </w:r>
    </w:p>
    <w:p>
      <w:pPr>
        <w:spacing w:after="0" w:line="560" w:lineRule="exact"/>
        <w:ind w:firstLine="640" w:firstLineChars="200"/>
        <w:rPr>
          <w:rFonts w:hint="eastAsia" w:ascii="仿宋_GB2312" w:hAnsi="Cambria" w:eastAsia="仿宋_GB2312" w:cs="ArialUnicodeMS"/>
          <w:kern w:val="0"/>
          <w:sz w:val="32"/>
          <w:szCs w:val="32"/>
        </w:rPr>
      </w:pPr>
      <w:r>
        <w:rPr>
          <w:rFonts w:hint="eastAsia" w:ascii="仿宋_GB2312" w:hAnsi="Cambria" w:eastAsia="仿宋_GB2312" w:cs="ArialUnicodeMS"/>
          <w:kern w:val="0"/>
          <w:sz w:val="32"/>
          <w:szCs w:val="32"/>
        </w:rPr>
        <w:t>9.贯彻执行国家、省、市统计信息库和网络的基本标准和运行规则；管理全区统计信息自动化系统和统计数据库体系；管理全区统计数据库网络；指导全区统计信息化系统建设。</w:t>
      </w:r>
    </w:p>
    <w:p>
      <w:pPr>
        <w:spacing w:after="0" w:line="560" w:lineRule="exact"/>
        <w:ind w:firstLine="640" w:firstLineChars="200"/>
        <w:rPr>
          <w:rFonts w:hint="eastAsia" w:ascii="仿宋_GB2312" w:hAnsi="Cambria" w:eastAsia="仿宋_GB2312" w:cs="ArialUnicodeMS"/>
          <w:kern w:val="0"/>
          <w:sz w:val="32"/>
          <w:szCs w:val="32"/>
        </w:rPr>
      </w:pPr>
      <w:r>
        <w:rPr>
          <w:rFonts w:hint="eastAsia" w:ascii="仿宋_GB2312" w:hAnsi="Cambria" w:eastAsia="仿宋_GB2312" w:cs="ArialUnicodeMS"/>
          <w:kern w:val="0"/>
          <w:sz w:val="32"/>
          <w:szCs w:val="32"/>
        </w:rPr>
        <w:t>10.指导全区统计专业技术队伍建设，配合、协助省、市统计局组织管理统计从业资格认定和持证上岗工作。</w:t>
      </w:r>
    </w:p>
    <w:p>
      <w:pPr>
        <w:spacing w:after="0" w:line="560" w:lineRule="exact"/>
        <w:ind w:firstLine="640" w:firstLineChars="200"/>
        <w:rPr>
          <w:rFonts w:hint="eastAsia" w:ascii="仿宋_GB2312" w:hAnsi="Cambria" w:eastAsia="仿宋_GB2312" w:cs="ArialUnicodeMS"/>
          <w:kern w:val="0"/>
          <w:sz w:val="32"/>
          <w:szCs w:val="32"/>
        </w:rPr>
      </w:pPr>
      <w:r>
        <w:rPr>
          <w:rFonts w:hint="eastAsia" w:ascii="仿宋_GB2312" w:hAnsi="Cambria" w:eastAsia="仿宋_GB2312" w:cs="ArialUnicodeMS"/>
          <w:kern w:val="0"/>
          <w:sz w:val="32"/>
          <w:szCs w:val="32"/>
        </w:rPr>
        <w:t>11.承办区政府交办的其他事项。</w:t>
      </w:r>
    </w:p>
    <w:p>
      <w:pPr>
        <w:pStyle w:val="2"/>
        <w:spacing w:before="0" w:after="0" w:line="600" w:lineRule="exact"/>
        <w:jc w:val="left"/>
        <w:rPr>
          <w:rFonts w:ascii="黑体" w:hAnsi="Cambria" w:eastAsia="黑体" w:cs="黑体"/>
          <w:b w:val="0"/>
          <w:bCs w:val="0"/>
          <w:kern w:val="0"/>
          <w:sz w:val="32"/>
          <w:szCs w:val="32"/>
        </w:rPr>
      </w:pPr>
      <w:r>
        <w:rPr>
          <w:rFonts w:hint="eastAsia" w:ascii="黑体" w:hAnsi="Cambria" w:eastAsia="黑体" w:cs="黑体"/>
          <w:b w:val="0"/>
          <w:bCs w:val="0"/>
          <w:kern w:val="0"/>
          <w:sz w:val="32"/>
          <w:szCs w:val="32"/>
        </w:rPr>
        <w:t>二、机构设置</w:t>
      </w:r>
    </w:p>
    <w:p>
      <w:pPr>
        <w:spacing w:after="0" w:line="560" w:lineRule="exact"/>
        <w:rPr>
          <w:rFonts w:ascii="仿宋_GB2312" w:hAnsi="Cambria" w:eastAsia="仿宋_GB2312" w:cs="ArialUnicodeMS"/>
          <w:kern w:val="0"/>
          <w:sz w:val="32"/>
          <w:szCs w:val="32"/>
        </w:rPr>
      </w:pPr>
      <w:r>
        <w:rPr>
          <w:rFonts w:hint="eastAsia" w:ascii="仿宋_GB2312" w:hAnsi="Cambria" w:eastAsia="仿宋_GB2312" w:cs="ArialUnicodeMS"/>
          <w:kern w:val="0"/>
          <w:sz w:val="32"/>
          <w:szCs w:val="32"/>
        </w:rPr>
        <w:t>从决算编报单位构成看，纳入</w:t>
      </w:r>
      <w:r>
        <w:rPr>
          <w:rFonts w:ascii="仿宋_GB2312" w:hAnsi="Cambria" w:eastAsia="仿宋_GB2312" w:cs="ArialUnicodeMS"/>
          <w:kern w:val="0"/>
          <w:sz w:val="32"/>
          <w:szCs w:val="32"/>
        </w:rPr>
        <w:t xml:space="preserve">2018 </w:t>
      </w:r>
      <w:r>
        <w:rPr>
          <w:rFonts w:hint="eastAsia" w:ascii="仿宋_GB2312" w:hAnsi="Cambria" w:eastAsia="仿宋_GB2312" w:cs="ArialUnicodeMS"/>
          <w:kern w:val="0"/>
          <w:sz w:val="32"/>
          <w:szCs w:val="32"/>
        </w:rPr>
        <w:t>年度本部门决算汇编范围的独立核算单位（以下简称“单位”）共</w:t>
      </w:r>
      <w:r>
        <w:rPr>
          <w:rFonts w:ascii="仿宋_GB2312" w:hAnsi="Cambria" w:eastAsia="仿宋_GB2312" w:cs="ArialUnicodeMS"/>
          <w:kern w:val="0"/>
          <w:sz w:val="32"/>
          <w:szCs w:val="32"/>
        </w:rPr>
        <w:t xml:space="preserve"> </w:t>
      </w:r>
      <w:r>
        <w:rPr>
          <w:rFonts w:hint="eastAsia" w:ascii="仿宋_GB2312" w:hAnsi="Cambria" w:eastAsia="仿宋_GB2312" w:cs="ArialUnicodeMS"/>
          <w:kern w:val="0"/>
          <w:sz w:val="32"/>
          <w:szCs w:val="32"/>
          <w:lang w:val="en-US" w:eastAsia="zh-CN"/>
        </w:rPr>
        <w:t>1</w:t>
      </w:r>
      <w:r>
        <w:rPr>
          <w:rFonts w:hint="eastAsia" w:ascii="仿宋_GB2312" w:hAnsi="Cambria" w:eastAsia="仿宋_GB2312" w:cs="ArialUnicodeMS"/>
          <w:kern w:val="0"/>
          <w:sz w:val="32"/>
          <w:szCs w:val="32"/>
        </w:rPr>
        <w:t>个，具体情况如下：</w:t>
      </w:r>
    </w:p>
    <w:tbl>
      <w:tblPr>
        <w:tblStyle w:val="13"/>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序号</w:t>
            </w:r>
          </w:p>
        </w:tc>
        <w:tc>
          <w:tcPr>
            <w:tcW w:w="3485"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单位名称</w:t>
            </w:r>
          </w:p>
        </w:tc>
        <w:tc>
          <w:tcPr>
            <w:tcW w:w="2445"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单位基本性质</w:t>
            </w:r>
          </w:p>
        </w:tc>
        <w:tc>
          <w:tcPr>
            <w:tcW w:w="2665"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hAnsi="Cambria" w:eastAsia="仿宋_GB2312" w:cs="ArialUnicodeMS"/>
                <w:kern w:val="0"/>
                <w:sz w:val="28"/>
                <w:szCs w:val="28"/>
              </w:rPr>
            </w:pPr>
            <w:r>
              <w:rPr>
                <w:rFonts w:ascii="仿宋_GB2312" w:hAnsi="Cambria" w:eastAsia="仿宋_GB2312" w:cs="ArialUnicodeMS"/>
                <w:kern w:val="0"/>
                <w:sz w:val="28"/>
                <w:szCs w:val="28"/>
              </w:rPr>
              <w:t>1</w:t>
            </w:r>
          </w:p>
        </w:tc>
        <w:tc>
          <w:tcPr>
            <w:tcW w:w="3485" w:type="dxa"/>
            <w:vAlign w:val="top"/>
          </w:tcPr>
          <w:p>
            <w:pPr>
              <w:spacing w:line="560" w:lineRule="exact"/>
              <w:rPr>
                <w:rFonts w:ascii="仿宋_GB2312" w:hAnsi="Cambria" w:eastAsia="仿宋_GB2312" w:cs="ArialUnicodeMS"/>
                <w:kern w:val="0"/>
                <w:sz w:val="28"/>
                <w:szCs w:val="28"/>
              </w:rPr>
            </w:pPr>
            <w:r>
              <w:rPr>
                <w:rFonts w:hint="eastAsia" w:ascii="仿宋_GB2312" w:hAnsi="Calibri" w:eastAsia="仿宋_GB2312" w:cs="ArialUnicodeMS"/>
                <w:kern w:val="0"/>
                <w:sz w:val="28"/>
                <w:szCs w:val="28"/>
                <w:lang w:eastAsia="zh-CN"/>
              </w:rPr>
              <w:t>保定市满城区统计局</w:t>
            </w:r>
          </w:p>
        </w:tc>
        <w:tc>
          <w:tcPr>
            <w:tcW w:w="2445" w:type="dxa"/>
            <w:vAlign w:val="top"/>
          </w:tcPr>
          <w:p>
            <w:pPr>
              <w:spacing w:line="560" w:lineRule="exact"/>
              <w:jc w:val="center"/>
              <w:rPr>
                <w:rFonts w:ascii="仿宋_GB2312" w:hAnsi="Cambria" w:eastAsia="仿宋_GB2312" w:cs="ArialUnicodeMS"/>
                <w:kern w:val="0"/>
                <w:sz w:val="28"/>
                <w:szCs w:val="28"/>
              </w:rPr>
            </w:pPr>
            <w:r>
              <w:rPr>
                <w:rFonts w:hint="eastAsia" w:ascii="仿宋_GB2312" w:hAnsi="Calibri" w:eastAsia="仿宋_GB2312" w:cs="ArialUnicodeMS"/>
                <w:kern w:val="0"/>
                <w:sz w:val="28"/>
                <w:szCs w:val="28"/>
                <w:lang w:eastAsia="zh-CN"/>
              </w:rPr>
              <w:t>行政单位</w:t>
            </w:r>
          </w:p>
        </w:tc>
        <w:tc>
          <w:tcPr>
            <w:tcW w:w="2665" w:type="dxa"/>
            <w:vAlign w:val="top"/>
          </w:tcPr>
          <w:p>
            <w:pPr>
              <w:spacing w:line="560" w:lineRule="exact"/>
              <w:jc w:val="center"/>
              <w:rPr>
                <w:rFonts w:ascii="仿宋_GB2312" w:hAnsi="Cambria" w:eastAsia="仿宋_GB2312" w:cs="ArialUnicodeMS"/>
                <w:kern w:val="0"/>
                <w:sz w:val="28"/>
                <w:szCs w:val="28"/>
              </w:rPr>
            </w:pPr>
            <w:r>
              <w:rPr>
                <w:rFonts w:hint="eastAsia" w:ascii="仿宋_GB2312" w:hAnsi="Calibri" w:eastAsia="仿宋_GB2312" w:cs="ArialUnicodeMS"/>
                <w:kern w:val="0"/>
                <w:sz w:val="28"/>
                <w:szCs w:val="28"/>
                <w:lang w:eastAsia="zh-CN"/>
              </w:rPr>
              <w:t>财政拨款</w:t>
            </w:r>
          </w:p>
        </w:tc>
      </w:tr>
    </w:tbl>
    <w:p>
      <w:pPr>
        <w:spacing w:after="0" w:line="560" w:lineRule="exact"/>
        <w:rPr>
          <w:rFonts w:ascii="仿宋_GB2312" w:hAnsi="Cambria" w:eastAsia="仿宋_GB2312" w:cs="ArialUnicodeMS"/>
          <w:kern w:val="0"/>
          <w:sz w:val="32"/>
          <w:szCs w:val="32"/>
        </w:rPr>
      </w:pPr>
    </w:p>
    <w:p>
      <w:pPr>
        <w:widowControl/>
        <w:spacing w:line="560" w:lineRule="exact"/>
        <w:jc w:val="center"/>
        <w:rPr>
          <w:rFonts w:ascii="黑体" w:hAnsi="Cambria" w:eastAsia="黑体" w:cs="MS-UIGothic,Bold"/>
          <w:bCs/>
          <w:kern w:val="0"/>
          <w:sz w:val="52"/>
          <w:szCs w:val="52"/>
        </w:rPr>
      </w:pPr>
    </w:p>
    <w:p>
      <w:pPr>
        <w:widowControl/>
        <w:spacing w:line="560" w:lineRule="exact"/>
        <w:jc w:val="center"/>
        <w:rPr>
          <w:rFonts w:ascii="黑体" w:hAnsi="Cambria" w:eastAsia="黑体" w:cs="MS-UIGothic,Bold"/>
          <w:bCs/>
          <w:kern w:val="0"/>
          <w:sz w:val="52"/>
          <w:szCs w:val="52"/>
        </w:rPr>
      </w:pPr>
    </w:p>
    <w:p>
      <w:pPr>
        <w:widowControl/>
        <w:spacing w:line="560" w:lineRule="exact"/>
        <w:jc w:val="center"/>
        <w:rPr>
          <w:rFonts w:ascii="黑体" w:hAnsi="Cambria" w:eastAsia="黑体" w:cs="MS-UIGothic,Bold"/>
          <w:bCs/>
          <w:kern w:val="0"/>
          <w:sz w:val="52"/>
          <w:szCs w:val="52"/>
        </w:rPr>
        <w:sectPr>
          <w:pgSz w:w="11906" w:h="16838"/>
          <w:pgMar w:top="2098" w:right="1474" w:bottom="1984" w:left="1588" w:header="851" w:footer="992" w:gutter="0"/>
          <w:cols w:space="0" w:num="1"/>
          <w:docGrid w:type="lines" w:linePitch="312" w:charSpace="0"/>
        </w:sectPr>
      </w:pPr>
    </w:p>
    <w:p>
      <w:pPr>
        <w:widowControl/>
        <w:spacing w:line="560" w:lineRule="exact"/>
        <w:jc w:val="center"/>
        <w:rPr>
          <w:rFonts w:ascii="黑体" w:hAnsi="Cambria" w:eastAsia="黑体" w:cs="MS-UIGothic,Bold"/>
          <w:bCs/>
          <w:kern w:val="0"/>
          <w:sz w:val="52"/>
          <w:szCs w:val="52"/>
        </w:rPr>
      </w:pPr>
      <w:r>
        <w:pict>
          <v:shape id="图片 16" o:spid="_x0000_s1039" o:spt="75" alt="2" type="#_x0000_t75" style="position:absolute;left:0pt;margin-left:-80.6pt;margin-top:-104.5pt;height:840.95pt;width:596.15pt;z-index:-251652096;mso-width-relative:page;mso-height-relative:page;" filled="f" o:preferrelative="t" stroked="f" coordsize="21600,21600">
            <v:path/>
            <v:fill on="f" focussize="0,0"/>
            <v:stroke on="f" joinstyle="miter"/>
            <v:imagedata r:id="rId7" o:title=""/>
            <o:lock v:ext="edit" aspectratio="t"/>
          </v:shape>
        </w:pict>
      </w:r>
    </w:p>
    <w:p>
      <w:pPr>
        <w:widowControl/>
        <w:spacing w:line="560" w:lineRule="exact"/>
        <w:jc w:val="center"/>
        <w:rPr>
          <w:rFonts w:ascii="黑体" w:hAnsi="Cambria" w:eastAsia="黑体" w:cs="MS-UIGothic,Bold"/>
          <w:bCs/>
          <w:kern w:val="0"/>
          <w:sz w:val="52"/>
          <w:szCs w:val="52"/>
        </w:rPr>
      </w:pPr>
    </w:p>
    <w:p>
      <w:pPr>
        <w:rPr>
          <w:rFonts w:ascii="宋体" w:cs="ArialUnicodeMS"/>
          <w:color w:val="000000"/>
          <w:kern w:val="0"/>
        </w:rPr>
      </w:pPr>
    </w:p>
    <w:p>
      <w:pPr>
        <w:rPr>
          <w:rFonts w:ascii="宋体" w:cs="ArialUnicodeMS"/>
          <w:color w:val="000000"/>
          <w:kern w:val="0"/>
        </w:rPr>
        <w:sectPr>
          <w:pgSz w:w="11906" w:h="16838"/>
          <w:pgMar w:top="2098" w:right="1474" w:bottom="1984" w:left="1588" w:header="851" w:footer="992" w:gutter="0"/>
          <w:cols w:space="0" w:num="1"/>
          <w:docGrid w:type="lines" w:linePitch="312" w:charSpace="0"/>
        </w:sectPr>
      </w:pPr>
      <w:r>
        <w:pict>
          <v:shape id="文本框 17" o:spid="_x0000_s1040" o:spt="202" type="#_x0000_t202" style="position:absolute;left:0pt;margin-left:-74.2pt;margin-top:120.3pt;height:159.1pt;width:596.2pt;z-index:251663360;mso-width-relative:page;mso-height-relative:page;" filled="f" stroked="f" coordsize="21600,21600">
            <v:path/>
            <v:fill on="f" focussize="0,0"/>
            <v:stroke on="f" weight="0.5pt" joinstyle="miter"/>
            <v:imagedata o:title=""/>
            <o:lock v:ext="edit"/>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第二部分</w:t>
                  </w:r>
                </w:p>
                <w:p>
                  <w:pPr>
                    <w:widowControl/>
                    <w:spacing w:line="1200" w:lineRule="exact"/>
                    <w:jc w:val="center"/>
                    <w:rPr>
                      <w:color w:val="FDEFBE"/>
                      <w:sz w:val="96"/>
                      <w:szCs w:val="96"/>
                    </w:rPr>
                  </w:pPr>
                  <w:r>
                    <w:rPr>
                      <w:rFonts w:ascii="黑体" w:hAnsi="宋体" w:eastAsia="黑体"/>
                      <w:color w:val="FDEFBE"/>
                      <w:sz w:val="96"/>
                      <w:szCs w:val="96"/>
                    </w:rPr>
                    <w:t>2018</w:t>
                  </w:r>
                  <w:r>
                    <w:rPr>
                      <w:rFonts w:hint="eastAsia" w:ascii="黑体" w:hAnsi="宋体" w:eastAsia="黑体"/>
                      <w:color w:val="FDEFBE"/>
                      <w:sz w:val="96"/>
                      <w:szCs w:val="96"/>
                    </w:rPr>
                    <w:t>年度部门决算报表</w:t>
                  </w:r>
                </w:p>
              </w:txbxContent>
            </v:textbox>
          </v:shape>
        </w:pict>
      </w:r>
    </w:p>
    <w:tbl>
      <w:tblPr>
        <w:tblStyle w:val="13"/>
        <w:tblW w:w="9300" w:type="dxa"/>
        <w:jc w:val="center"/>
        <w:tblLayout w:type="fixed"/>
        <w:tblCellMar>
          <w:top w:w="0" w:type="dxa"/>
          <w:left w:w="0" w:type="dxa"/>
          <w:bottom w:w="0" w:type="dxa"/>
          <w:right w:w="0" w:type="dxa"/>
        </w:tblCellMar>
      </w:tblPr>
      <w:tblGrid>
        <w:gridCol w:w="2700"/>
        <w:gridCol w:w="567"/>
        <w:gridCol w:w="1336"/>
        <w:gridCol w:w="2700"/>
        <w:gridCol w:w="567"/>
        <w:gridCol w:w="1430"/>
      </w:tblGrid>
      <w:tr>
        <w:tblPrEx>
          <w:tblCellMar>
            <w:top w:w="0" w:type="dxa"/>
            <w:left w:w="0" w:type="dxa"/>
            <w:bottom w:w="0" w:type="dxa"/>
            <w:right w:w="0" w:type="dxa"/>
          </w:tblCellMar>
        </w:tblPrEx>
        <w:trPr>
          <w:trHeight w:val="567" w:hRule="atLeast"/>
          <w:jc w:val="center"/>
        </w:trPr>
        <w:tc>
          <w:tcPr>
            <w:tcW w:w="9300" w:type="dxa"/>
            <w:gridSpan w:val="6"/>
            <w:tcBorders>
              <w:top w:val="nil"/>
              <w:left w:val="nil"/>
              <w:bottom w:val="nil"/>
              <w:right w:val="nil"/>
            </w:tcBorders>
            <w:tcMar>
              <w:top w:w="15" w:type="dxa"/>
              <w:left w:w="15" w:type="dxa"/>
              <w:right w:w="15" w:type="dxa"/>
            </w:tcMar>
            <w:vAlign w:val="center"/>
          </w:tcPr>
          <w:p>
            <w:pPr>
              <w:widowControl/>
              <w:spacing w:after="0" w:line="440" w:lineRule="exact"/>
              <w:jc w:val="center"/>
              <w:textAlignment w:val="center"/>
              <w:rPr>
                <w:rFonts w:ascii="黑体" w:hAnsi="宋体" w:eastAsia="黑体" w:cs="黑体"/>
                <w:color w:val="000000"/>
                <w:sz w:val="40"/>
                <w:szCs w:val="40"/>
              </w:rPr>
            </w:pPr>
            <w:r>
              <w:pict>
                <v:group id="组合 10" o:spid="_x0000_s1041" o:spt="203" style="position:absolute;left:0pt;margin-left:-70.25pt;margin-top:-81.85pt;height:41.2pt;width:243.2pt;mso-position-vertical-relative:page;z-index:251674624;mso-width-relative:page;mso-height-relative:page;" coordorigin="4551,52615" coordsize="8546,1398">
                  <o:lock v:ext="edit"/>
                  <v:rect id="矩形 13" o:spid="_x0000_s1042" o:spt="1" style="position:absolute;left:4551;top:52615;height:1175;width:8546;v-text-anchor:middle;" fillcolor="#96DA9D" filled="t" stroked="f" coordsize="21600,21600">
                    <v:path/>
                    <v:fill on="t" focussize="0,0"/>
                    <v:stroke on="f" weight="2pt"/>
                    <v:imagedata o:title=""/>
                    <o:lock v:ext="edit"/>
                  </v:rect>
                  <v:rect id="矩形 14" o:spid="_x0000_s1043"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收入支出决算总表</w:t>
            </w:r>
          </w:p>
        </w:tc>
      </w:tr>
      <w:tr>
        <w:tblPrEx>
          <w:tblCellMar>
            <w:top w:w="0" w:type="dxa"/>
            <w:left w:w="0" w:type="dxa"/>
            <w:bottom w:w="0" w:type="dxa"/>
            <w:right w:w="0" w:type="dxa"/>
          </w:tblCellMar>
        </w:tblPrEx>
        <w:trPr>
          <w:trHeight w:val="321" w:hRule="atLeast"/>
          <w:jc w:val="center"/>
        </w:trPr>
        <w:tc>
          <w:tcPr>
            <w:tcW w:w="2700" w:type="dxa"/>
            <w:tcBorders>
              <w:top w:val="nil"/>
              <w:left w:val="nil"/>
              <w:bottom w:val="nil"/>
              <w:right w:val="nil"/>
            </w:tcBorders>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336" w:type="dxa"/>
            <w:tcBorders>
              <w:top w:val="nil"/>
              <w:left w:val="nil"/>
              <w:bottom w:val="nil"/>
              <w:right w:val="nil"/>
            </w:tcBorders>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2700" w:type="dxa"/>
            <w:tcBorders>
              <w:top w:val="nil"/>
              <w:left w:val="nil"/>
              <w:bottom w:val="nil"/>
              <w:right w:val="nil"/>
            </w:tcBorders>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430" w:type="dxa"/>
            <w:tcBorders>
              <w:top w:val="nil"/>
              <w:left w:val="nil"/>
              <w:bottom w:val="nil"/>
              <w:right w:val="nil"/>
            </w:tcBorders>
            <w:noWrap/>
            <w:tcMar>
              <w:top w:w="15" w:type="dxa"/>
              <w:left w:w="15" w:type="dxa"/>
              <w:right w:w="15" w:type="dxa"/>
            </w:tcMar>
            <w:vAlign w:val="center"/>
          </w:tcPr>
          <w:p>
            <w:pPr>
              <w:widowControl/>
              <w:spacing w:after="0" w:line="240" w:lineRule="exact"/>
              <w:jc w:val="right"/>
              <w:textAlignment w:val="center"/>
              <w:rPr>
                <w:rFonts w:ascii="宋体" w:cs="宋体"/>
                <w:color w:val="00000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01</w:t>
            </w:r>
            <w:r>
              <w:rPr>
                <w:rFonts w:hint="eastAsia" w:ascii="宋体" w:hAnsi="宋体" w:cs="宋体"/>
                <w:color w:val="000000"/>
                <w:kern w:val="0"/>
                <w:sz w:val="20"/>
                <w:szCs w:val="20"/>
              </w:rPr>
              <w:t>表</w:t>
            </w:r>
          </w:p>
        </w:tc>
      </w:tr>
      <w:tr>
        <w:tblPrEx>
          <w:tblCellMar>
            <w:top w:w="0" w:type="dxa"/>
            <w:left w:w="0" w:type="dxa"/>
            <w:bottom w:w="0" w:type="dxa"/>
            <w:right w:w="0" w:type="dxa"/>
          </w:tblCellMar>
        </w:tblPrEx>
        <w:trPr>
          <w:trHeight w:val="418" w:hRule="atLeast"/>
          <w:jc w:val="center"/>
        </w:trPr>
        <w:tc>
          <w:tcPr>
            <w:tcW w:w="2700" w:type="dxa"/>
            <w:tcBorders>
              <w:top w:val="nil"/>
              <w:left w:val="nil"/>
              <w:bottom w:val="nil"/>
              <w:right w:val="nil"/>
            </w:tcBorders>
            <w:tcMar>
              <w:top w:w="15" w:type="dxa"/>
              <w:left w:w="15" w:type="dxa"/>
              <w:right w:w="15" w:type="dxa"/>
            </w:tcMar>
            <w:vAlign w:val="center"/>
          </w:tcPr>
          <w:p>
            <w:pPr>
              <w:widowControl/>
              <w:spacing w:after="0" w:line="240" w:lineRule="exact"/>
              <w:jc w:val="left"/>
              <w:textAlignment w:val="center"/>
              <w:rPr>
                <w:rFonts w:ascii="宋体" w:cs="宋体"/>
                <w:color w:val="000000"/>
                <w:sz w:val="20"/>
                <w:szCs w:val="20"/>
              </w:rPr>
            </w:pPr>
            <w:r>
              <w:rPr>
                <w:rFonts w:hint="eastAsia" w:ascii="宋体" w:hAnsi="宋体" w:cs="宋体"/>
                <w:color w:val="000000"/>
                <w:kern w:val="0"/>
                <w:sz w:val="20"/>
                <w:szCs w:val="20"/>
              </w:rPr>
              <w:t>部门：</w:t>
            </w:r>
          </w:p>
        </w:tc>
        <w:tc>
          <w:tcPr>
            <w:tcW w:w="567" w:type="dxa"/>
            <w:tcBorders>
              <w:top w:val="nil"/>
              <w:left w:val="nil"/>
              <w:bottom w:val="nil"/>
              <w:right w:val="nil"/>
            </w:tcBorders>
            <w:tcMar>
              <w:top w:w="15" w:type="dxa"/>
              <w:left w:w="15" w:type="dxa"/>
              <w:right w:w="15" w:type="dxa"/>
            </w:tcMar>
            <w:vAlign w:val="center"/>
          </w:tcPr>
          <w:p>
            <w:pPr>
              <w:widowControl/>
              <w:spacing w:after="0" w:line="240" w:lineRule="exact"/>
              <w:rPr>
                <w:rFonts w:ascii="宋体" w:cs="宋体"/>
                <w:color w:val="000000"/>
                <w:sz w:val="20"/>
                <w:szCs w:val="20"/>
              </w:rPr>
            </w:pPr>
          </w:p>
        </w:tc>
        <w:tc>
          <w:tcPr>
            <w:tcW w:w="1336" w:type="dxa"/>
            <w:tcBorders>
              <w:top w:val="nil"/>
              <w:left w:val="nil"/>
              <w:bottom w:val="nil"/>
              <w:right w:val="nil"/>
            </w:tcBorders>
            <w:tcMar>
              <w:top w:w="15" w:type="dxa"/>
              <w:left w:w="15" w:type="dxa"/>
              <w:right w:w="15" w:type="dxa"/>
            </w:tcMar>
            <w:vAlign w:val="center"/>
          </w:tcPr>
          <w:p>
            <w:pPr>
              <w:widowControl/>
              <w:spacing w:after="0" w:line="240" w:lineRule="exact"/>
              <w:rPr>
                <w:rFonts w:ascii="宋体" w:cs="宋体"/>
                <w:color w:val="000000"/>
                <w:sz w:val="20"/>
                <w:szCs w:val="20"/>
              </w:rPr>
            </w:pPr>
          </w:p>
        </w:tc>
        <w:tc>
          <w:tcPr>
            <w:tcW w:w="2700" w:type="dxa"/>
            <w:tcBorders>
              <w:top w:val="nil"/>
              <w:left w:val="nil"/>
              <w:bottom w:val="nil"/>
              <w:right w:val="nil"/>
            </w:tcBorders>
            <w:tcMar>
              <w:top w:w="15" w:type="dxa"/>
              <w:left w:w="15" w:type="dxa"/>
              <w:right w:w="15" w:type="dxa"/>
            </w:tcMar>
            <w:vAlign w:val="center"/>
          </w:tcPr>
          <w:p>
            <w:pPr>
              <w:widowControl/>
              <w:spacing w:after="0" w:line="240" w:lineRule="exact"/>
              <w:rPr>
                <w:rFonts w:ascii="宋体" w:cs="宋体"/>
                <w:color w:val="000000"/>
                <w:sz w:val="20"/>
                <w:szCs w:val="20"/>
              </w:rPr>
            </w:pPr>
          </w:p>
        </w:tc>
        <w:tc>
          <w:tcPr>
            <w:tcW w:w="567" w:type="dxa"/>
            <w:tcBorders>
              <w:top w:val="nil"/>
              <w:left w:val="nil"/>
              <w:bottom w:val="nil"/>
              <w:right w:val="nil"/>
            </w:tcBorders>
            <w:tcMar>
              <w:top w:w="15" w:type="dxa"/>
              <w:left w:w="15" w:type="dxa"/>
              <w:right w:w="15" w:type="dxa"/>
            </w:tcMar>
            <w:vAlign w:val="center"/>
          </w:tcPr>
          <w:p>
            <w:pPr>
              <w:widowControl/>
              <w:spacing w:after="0" w:line="240" w:lineRule="exact"/>
              <w:rPr>
                <w:rFonts w:ascii="宋体" w:cs="宋体"/>
                <w:color w:val="000000"/>
                <w:sz w:val="20"/>
                <w:szCs w:val="20"/>
              </w:rPr>
            </w:pPr>
          </w:p>
        </w:tc>
        <w:tc>
          <w:tcPr>
            <w:tcW w:w="1430" w:type="dxa"/>
            <w:tcBorders>
              <w:top w:val="nil"/>
              <w:left w:val="nil"/>
              <w:bottom w:val="nil"/>
              <w:right w:val="nil"/>
            </w:tcBorders>
            <w:noWrap/>
            <w:tcMar>
              <w:top w:w="15" w:type="dxa"/>
              <w:left w:w="15" w:type="dxa"/>
              <w:right w:w="15" w:type="dxa"/>
            </w:tcMar>
            <w:vAlign w:val="center"/>
          </w:tcPr>
          <w:p>
            <w:pPr>
              <w:widowControl/>
              <w:spacing w:after="0" w:line="240" w:lineRule="exact"/>
              <w:jc w:val="right"/>
              <w:textAlignment w:val="center"/>
              <w:rPr>
                <w:rFonts w:asci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295" w:hRule="atLeast"/>
          <w:jc w:val="center"/>
        </w:trPr>
        <w:tc>
          <w:tcPr>
            <w:tcW w:w="4603"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收入</w:t>
            </w:r>
          </w:p>
        </w:tc>
        <w:tc>
          <w:tcPr>
            <w:tcW w:w="4697" w:type="dxa"/>
            <w:gridSpan w:val="3"/>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支出</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行次</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金额</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行次</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金额</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rPr>
                <w:rFonts w:ascii="宋体" w:cs="宋体"/>
                <w:color w:val="000000"/>
                <w:sz w:val="20"/>
                <w:szCs w:val="20"/>
              </w:rPr>
            </w:pP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rPr>
            </w:pPr>
            <w:r>
              <w:rPr>
                <w:rFonts w:ascii="宋体" w:hAnsi="宋体" w:cs="宋体"/>
                <w:color w:val="000000"/>
                <w:kern w:val="0"/>
                <w:sz w:val="20"/>
                <w:szCs w:val="20"/>
              </w:rPr>
              <w:t>1</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rPr>
                <w:rFonts w:ascii="宋体" w:cs="宋体"/>
                <w:color w:val="000000"/>
                <w:sz w:val="20"/>
                <w:szCs w:val="20"/>
              </w:rPr>
            </w:pP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rPr>
            </w:pPr>
            <w:r>
              <w:rPr>
                <w:rFonts w:ascii="宋体" w:hAnsi="宋体" w:cs="宋体"/>
                <w:color w:val="000000"/>
                <w:kern w:val="0"/>
                <w:sz w:val="20"/>
                <w:szCs w:val="20"/>
              </w:rPr>
              <w:t>2</w:t>
            </w:r>
          </w:p>
        </w:tc>
      </w:tr>
      <w:tr>
        <w:tblPrEx>
          <w:tblCellMar>
            <w:top w:w="0" w:type="dxa"/>
            <w:left w:w="0" w:type="dxa"/>
            <w:bottom w:w="0" w:type="dxa"/>
            <w:right w:w="0" w:type="dxa"/>
          </w:tblCellMar>
        </w:tblPrEx>
        <w:trPr>
          <w:trHeight w:val="36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一、财政拨款收入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hint="default" w:ascii="宋体" w:eastAsia="宋体" w:cs="宋体"/>
                <w:color w:val="000000"/>
                <w:sz w:val="20"/>
                <w:szCs w:val="20"/>
                <w:lang w:val="en-US" w:eastAsia="zh-CN"/>
              </w:rPr>
            </w:pPr>
            <w:r>
              <w:rPr>
                <w:rFonts w:hint="eastAsia" w:ascii="宋体" w:cs="宋体"/>
                <w:color w:val="000000"/>
                <w:sz w:val="20"/>
                <w:szCs w:val="20"/>
                <w:lang w:val="en-US" w:eastAsia="zh-CN"/>
              </w:rPr>
              <w:t>389.88</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一、一般公共服务支出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28</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hint="default" w:ascii="宋体" w:eastAsia="宋体" w:cs="宋体"/>
                <w:color w:val="000000"/>
                <w:sz w:val="20"/>
                <w:szCs w:val="20"/>
                <w:lang w:val="en-US" w:eastAsia="zh-CN"/>
              </w:rPr>
            </w:pPr>
            <w:r>
              <w:rPr>
                <w:rFonts w:hint="eastAsia" w:ascii="宋体" w:cs="宋体"/>
                <w:color w:val="000000"/>
                <w:sz w:val="20"/>
                <w:szCs w:val="20"/>
                <w:lang w:val="en-US" w:eastAsia="zh-CN"/>
              </w:rPr>
              <w:t>348.38</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二、上级补助收入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二、外交支出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29</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三、事业收入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三、国防支出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30</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四、经营收入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四、公共安全支出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31</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五、附属单位上缴收入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五、教育支出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32</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六、其他收入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6</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六、科学技术支出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33</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7</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七、文化体育与传媒支出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34</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8</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八、社会保障和就业支出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35</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hint="default" w:ascii="宋体" w:eastAsia="宋体" w:cs="宋体"/>
                <w:color w:val="000000"/>
                <w:sz w:val="20"/>
                <w:szCs w:val="20"/>
                <w:lang w:val="en-US" w:eastAsia="zh-CN"/>
              </w:rPr>
            </w:pPr>
            <w:r>
              <w:rPr>
                <w:rFonts w:hint="eastAsia" w:ascii="宋体" w:cs="宋体"/>
                <w:color w:val="000000"/>
                <w:sz w:val="20"/>
                <w:szCs w:val="20"/>
                <w:lang w:val="en-US" w:eastAsia="zh-CN"/>
              </w:rPr>
              <w:t>25.98</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9</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九、医疗卫生与计划生育支出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36</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10</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十、节能环保支出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37</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11</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十一、城乡社区支出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38</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12</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十二、农林水支出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39</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13</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十三、交通运输支出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40</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14</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十四、资源勘探信息等支出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41</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15</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十五、商业服务业等支出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42</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16</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十六、金融支出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43</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17</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十七、援助其他地区支出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44</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18</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十八、国土海洋气象等支出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45</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19</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十九、住房保障支出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46</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hint="default" w:ascii="宋体" w:eastAsia="宋体" w:cs="宋体"/>
                <w:color w:val="000000"/>
                <w:sz w:val="20"/>
                <w:szCs w:val="20"/>
                <w:lang w:val="en-US" w:eastAsia="zh-CN"/>
              </w:rPr>
            </w:pPr>
            <w:r>
              <w:rPr>
                <w:rFonts w:hint="eastAsia" w:ascii="宋体" w:cs="宋体"/>
                <w:color w:val="000000"/>
                <w:sz w:val="20"/>
                <w:szCs w:val="20"/>
                <w:lang w:val="en-US" w:eastAsia="zh-CN"/>
              </w:rPr>
              <w:t>15.52</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20</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二十、粮油物资储备支出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47</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21</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二十一、其他支出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48</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22</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二十二、债务还本支出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49</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23</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二十三、债务付息支出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50</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hint="eastAsia" w:ascii="宋体" w:hAnsi="宋体" w:cs="宋体"/>
                <w:color w:val="000000"/>
                <w:kern w:val="0"/>
                <w:sz w:val="20"/>
                <w:szCs w:val="20"/>
              </w:rPr>
              <w:t>本年收入合计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24</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hint="default" w:ascii="宋体" w:eastAsia="宋体" w:cs="宋体"/>
                <w:color w:val="000000"/>
                <w:sz w:val="18"/>
                <w:szCs w:val="18"/>
                <w:lang w:val="en-US" w:eastAsia="zh-CN"/>
              </w:rPr>
            </w:pPr>
            <w:r>
              <w:rPr>
                <w:rFonts w:hint="eastAsia" w:ascii="宋体" w:cs="宋体"/>
                <w:color w:val="000000"/>
                <w:sz w:val="18"/>
                <w:szCs w:val="18"/>
                <w:lang w:val="en-US" w:eastAsia="zh-CN"/>
              </w:rPr>
              <w:t>389.88</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hint="eastAsia" w:ascii="宋体" w:hAnsi="宋体" w:cs="宋体"/>
                <w:color w:val="000000"/>
                <w:kern w:val="0"/>
                <w:sz w:val="20"/>
                <w:szCs w:val="20"/>
              </w:rPr>
              <w:t>本年支出合计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51</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hint="default" w:ascii="宋体" w:eastAsia="宋体" w:cs="宋体"/>
                <w:color w:val="000000"/>
                <w:sz w:val="20"/>
                <w:szCs w:val="20"/>
                <w:lang w:val="en-US" w:eastAsia="zh-CN"/>
              </w:rPr>
            </w:pPr>
            <w:r>
              <w:rPr>
                <w:rFonts w:hint="eastAsia" w:ascii="宋体" w:cs="宋体"/>
                <w:color w:val="000000"/>
                <w:sz w:val="20"/>
                <w:szCs w:val="20"/>
                <w:lang w:val="en-US" w:eastAsia="zh-CN"/>
              </w:rPr>
              <w:t>389.88</w:t>
            </w:r>
          </w:p>
        </w:tc>
      </w:tr>
      <w:tr>
        <w:tblPrEx>
          <w:tblCellMar>
            <w:top w:w="0" w:type="dxa"/>
            <w:left w:w="0" w:type="dxa"/>
            <w:bottom w:w="0" w:type="dxa"/>
            <w:right w:w="0" w:type="dxa"/>
          </w:tblCellMar>
        </w:tblPrEx>
        <w:trPr>
          <w:trHeight w:val="38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用事业基金弥补收支差额</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25</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18"/>
                <w:szCs w:val="18"/>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结余分配</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52</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年初结转和结余</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26</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18"/>
                <w:szCs w:val="18"/>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年末结转和结余</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53</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27</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hint="default" w:ascii="宋体" w:eastAsia="宋体" w:cs="宋体"/>
                <w:color w:val="000000"/>
                <w:sz w:val="18"/>
                <w:szCs w:val="18"/>
                <w:lang w:val="en-US" w:eastAsia="zh-CN"/>
              </w:rPr>
            </w:pPr>
            <w:r>
              <w:rPr>
                <w:rFonts w:hint="eastAsia" w:ascii="宋体" w:cs="宋体"/>
                <w:color w:val="000000"/>
                <w:sz w:val="18"/>
                <w:szCs w:val="18"/>
                <w:lang w:val="en-US" w:eastAsia="zh-CN"/>
              </w:rPr>
              <w:t>389.88</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54</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hint="default" w:ascii="宋体" w:eastAsia="宋体" w:cs="宋体"/>
                <w:color w:val="000000"/>
                <w:sz w:val="20"/>
                <w:szCs w:val="20"/>
                <w:lang w:val="en-US" w:eastAsia="zh-CN"/>
              </w:rPr>
            </w:pPr>
            <w:r>
              <w:rPr>
                <w:rFonts w:hint="eastAsia" w:ascii="宋体" w:cs="宋体"/>
                <w:color w:val="000000"/>
                <w:sz w:val="20"/>
                <w:szCs w:val="20"/>
                <w:lang w:val="en-US" w:eastAsia="zh-CN"/>
              </w:rPr>
              <w:t>389.88</w:t>
            </w:r>
          </w:p>
        </w:tc>
      </w:tr>
      <w:tr>
        <w:tblPrEx>
          <w:tblCellMar>
            <w:top w:w="0" w:type="dxa"/>
            <w:left w:w="0" w:type="dxa"/>
            <w:bottom w:w="0" w:type="dxa"/>
            <w:right w:w="0" w:type="dxa"/>
          </w:tblCellMar>
        </w:tblPrEx>
        <w:trPr>
          <w:trHeight w:val="417" w:hRule="atLeast"/>
          <w:jc w:val="center"/>
        </w:trPr>
        <w:tc>
          <w:tcPr>
            <w:tcW w:w="9300" w:type="dxa"/>
            <w:gridSpan w:val="6"/>
            <w:tcBorders>
              <w:top w:val="nil"/>
              <w:left w:val="nil"/>
              <w:bottom w:val="nil"/>
              <w:right w:val="nil"/>
            </w:tcBorders>
            <w:tcMar>
              <w:top w:w="15" w:type="dxa"/>
              <w:left w:w="15" w:type="dxa"/>
              <w:right w:w="15" w:type="dxa"/>
            </w:tcMar>
            <w:vAlign w:val="center"/>
          </w:tcPr>
          <w:p>
            <w:pPr>
              <w:widowControl/>
              <w:spacing w:after="0" w:line="200" w:lineRule="exact"/>
              <w:jc w:val="left"/>
              <w:textAlignment w:val="center"/>
              <w:rPr>
                <w:rFonts w:ascii="宋体" w:cs="宋体"/>
                <w:color w:val="000000"/>
                <w:szCs w:val="21"/>
              </w:rPr>
            </w:pPr>
            <w:r>
              <w:rPr>
                <w:rFonts w:hint="eastAsia" w:ascii="宋体" w:hAnsi="宋体" w:cs="宋体"/>
                <w:color w:val="000000"/>
                <w:kern w:val="0"/>
                <w:szCs w:val="21"/>
              </w:rPr>
              <w:t>注：本表反映部门本年度的总收支和年末结转结余情况。</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3"/>
        <w:tblW w:w="8890" w:type="dxa"/>
        <w:jc w:val="center"/>
        <w:tblLayout w:type="fixed"/>
        <w:tblCellMar>
          <w:top w:w="0" w:type="dxa"/>
          <w:left w:w="0" w:type="dxa"/>
          <w:bottom w:w="0" w:type="dxa"/>
          <w:right w:w="0" w:type="dxa"/>
        </w:tblCellMar>
      </w:tblPr>
      <w:tblGrid>
        <w:gridCol w:w="335"/>
        <w:gridCol w:w="179"/>
        <w:gridCol w:w="520"/>
        <w:gridCol w:w="1796"/>
        <w:gridCol w:w="145"/>
        <w:gridCol w:w="170"/>
        <w:gridCol w:w="90"/>
        <w:gridCol w:w="378"/>
        <w:gridCol w:w="347"/>
        <w:gridCol w:w="90"/>
        <w:gridCol w:w="280"/>
        <w:gridCol w:w="446"/>
        <w:gridCol w:w="90"/>
        <w:gridCol w:w="247"/>
        <w:gridCol w:w="478"/>
        <w:gridCol w:w="90"/>
        <w:gridCol w:w="352"/>
        <w:gridCol w:w="373"/>
        <w:gridCol w:w="90"/>
        <w:gridCol w:w="458"/>
        <w:gridCol w:w="920"/>
        <w:gridCol w:w="926"/>
        <w:gridCol w:w="90"/>
      </w:tblGrid>
      <w:tr>
        <w:tblPrEx>
          <w:tblCellMar>
            <w:top w:w="0" w:type="dxa"/>
            <w:left w:w="0" w:type="dxa"/>
            <w:bottom w:w="0" w:type="dxa"/>
            <w:right w:w="0" w:type="dxa"/>
          </w:tblCellMar>
        </w:tblPrEx>
        <w:trPr>
          <w:gridAfter w:val="1"/>
          <w:wAfter w:w="90" w:type="dxa"/>
          <w:trHeight w:val="770" w:hRule="atLeast"/>
          <w:jc w:val="center"/>
        </w:trPr>
        <w:tc>
          <w:tcPr>
            <w:tcW w:w="8800" w:type="dxa"/>
            <w:gridSpan w:val="22"/>
            <w:tcBorders>
              <w:top w:val="nil"/>
              <w:left w:val="nil"/>
              <w:bottom w:val="nil"/>
              <w:right w:val="nil"/>
            </w:tcBorders>
            <w:noWrap/>
            <w:tcMar>
              <w:top w:w="15" w:type="dxa"/>
              <w:left w:w="15" w:type="dxa"/>
              <w:right w:w="15" w:type="dxa"/>
            </w:tcMar>
            <w:vAlign w:val="bottom"/>
          </w:tcPr>
          <w:p>
            <w:pPr>
              <w:widowControl/>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收入决</w:t>
            </w:r>
            <w:r>
              <w:pict>
                <v:group id="组合 34" o:spid="_x0000_s1044" o:spt="203" style="position:absolute;left:0pt;margin-left:-82.75pt;margin-top:-81.1pt;height:41.2pt;width:243.2pt;mso-position-vertical-relative:page;z-index:251675648;mso-width-relative:page;mso-height-relative:page;" coordorigin="4551,52615" coordsize="8546,1398">
                  <o:lock v:ext="edit"/>
                  <v:rect id="矩形 13" o:spid="_x0000_s1045" o:spt="1" style="position:absolute;left:4551;top:52615;height:1175;width:8546;v-text-anchor:middle;" fillcolor="#96DA9D" filled="t" stroked="f" coordsize="21600,21600">
                    <v:path/>
                    <v:fill on="t" focussize="0,0"/>
                    <v:stroke on="f" weight="2pt"/>
                    <v:imagedata o:title=""/>
                    <o:lock v:ext="edit"/>
                  </v:rect>
                  <v:rect id="矩形 14" o:spid="_x0000_s1046"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算表</w:t>
            </w:r>
          </w:p>
        </w:tc>
      </w:tr>
      <w:tr>
        <w:tblPrEx>
          <w:tblCellMar>
            <w:top w:w="0" w:type="dxa"/>
            <w:left w:w="0" w:type="dxa"/>
            <w:bottom w:w="0" w:type="dxa"/>
            <w:right w:w="0" w:type="dxa"/>
          </w:tblCellMar>
        </w:tblPrEx>
        <w:trPr>
          <w:trHeight w:val="362" w:hRule="atLeast"/>
          <w:jc w:val="center"/>
        </w:trPr>
        <w:tc>
          <w:tcPr>
            <w:tcW w:w="335"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79"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52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796"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45"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60"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3"/>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6" w:type="dxa"/>
            <w:gridSpan w:val="3"/>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3"/>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3"/>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394" w:type="dxa"/>
            <w:gridSpan w:val="4"/>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02</w:t>
            </w:r>
            <w:r>
              <w:rPr>
                <w:rFonts w:hint="eastAsia" w:ascii="宋体" w:hAnsi="宋体" w:cs="宋体"/>
                <w:color w:val="000000"/>
                <w:kern w:val="0"/>
                <w:szCs w:val="21"/>
              </w:rPr>
              <w:t>表</w:t>
            </w:r>
          </w:p>
        </w:tc>
      </w:tr>
      <w:tr>
        <w:tblPrEx>
          <w:tblCellMar>
            <w:top w:w="0" w:type="dxa"/>
            <w:left w:w="0" w:type="dxa"/>
            <w:bottom w:w="0" w:type="dxa"/>
            <w:right w:w="0" w:type="dxa"/>
          </w:tblCellMar>
        </w:tblPrEx>
        <w:trPr>
          <w:gridAfter w:val="1"/>
          <w:wAfter w:w="90" w:type="dxa"/>
          <w:trHeight w:val="362" w:hRule="atLeast"/>
          <w:jc w:val="center"/>
        </w:trPr>
        <w:tc>
          <w:tcPr>
            <w:tcW w:w="2830" w:type="dxa"/>
            <w:gridSpan w:val="4"/>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部门：</w:t>
            </w:r>
          </w:p>
        </w:tc>
        <w:tc>
          <w:tcPr>
            <w:tcW w:w="315"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3"/>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6" w:type="dxa"/>
            <w:gridSpan w:val="3"/>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3"/>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3"/>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394" w:type="dxa"/>
            <w:gridSpan w:val="4"/>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gridAfter w:val="1"/>
          <w:wAfter w:w="90" w:type="dxa"/>
          <w:trHeight w:val="325" w:hRule="atLeast"/>
          <w:jc w:val="center"/>
        </w:trPr>
        <w:tc>
          <w:tcPr>
            <w:tcW w:w="2830" w:type="dxa"/>
            <w:gridSpan w:val="4"/>
            <w:tcBorders>
              <w:top w:val="single" w:color="000000" w:sz="4" w:space="0"/>
              <w:left w:val="single" w:color="000000" w:sz="4" w:space="0"/>
              <w:bottom w:val="single" w:color="000000" w:sz="4" w:space="0"/>
              <w:right w:val="single" w:color="auto"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项目</w:t>
            </w:r>
          </w:p>
        </w:tc>
        <w:tc>
          <w:tcPr>
            <w:tcW w:w="783" w:type="dxa"/>
            <w:gridSpan w:val="4"/>
            <w:vMerge w:val="restart"/>
            <w:tcBorders>
              <w:top w:val="single" w:color="auto" w:sz="4" w:space="0"/>
              <w:left w:val="single" w:color="auto" w:sz="4" w:space="0"/>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本年收入合计</w:t>
            </w:r>
          </w:p>
        </w:tc>
        <w:tc>
          <w:tcPr>
            <w:tcW w:w="717" w:type="dxa"/>
            <w:gridSpan w:val="3"/>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财政拨款收入</w:t>
            </w:r>
          </w:p>
        </w:tc>
        <w:tc>
          <w:tcPr>
            <w:tcW w:w="783" w:type="dxa"/>
            <w:gridSpan w:val="3"/>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上级补助收入</w:t>
            </w:r>
          </w:p>
        </w:tc>
        <w:tc>
          <w:tcPr>
            <w:tcW w:w="920" w:type="dxa"/>
            <w:gridSpan w:val="3"/>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事业收入</w:t>
            </w:r>
          </w:p>
        </w:tc>
        <w:tc>
          <w:tcPr>
            <w:tcW w:w="921" w:type="dxa"/>
            <w:gridSpan w:val="3"/>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经营收入</w:t>
            </w:r>
          </w:p>
        </w:tc>
        <w:tc>
          <w:tcPr>
            <w:tcW w:w="920" w:type="dxa"/>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附属单位上缴收入</w:t>
            </w:r>
          </w:p>
        </w:tc>
        <w:tc>
          <w:tcPr>
            <w:tcW w:w="926" w:type="dxa"/>
            <w:vMerge w:val="restart"/>
            <w:tcBorders>
              <w:top w:val="single" w:color="auto" w:sz="4" w:space="0"/>
              <w:left w:val="nil"/>
              <w:bottom w:val="single" w:color="auto" w:sz="4" w:space="0"/>
              <w:right w:val="single" w:color="auto"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其他收入</w:t>
            </w:r>
          </w:p>
        </w:tc>
      </w:tr>
      <w:tr>
        <w:tblPrEx>
          <w:tblCellMar>
            <w:top w:w="0" w:type="dxa"/>
            <w:left w:w="0" w:type="dxa"/>
            <w:bottom w:w="0" w:type="dxa"/>
            <w:right w:w="0" w:type="dxa"/>
          </w:tblCellMar>
        </w:tblPrEx>
        <w:trPr>
          <w:gridAfter w:val="1"/>
          <w:wAfter w:w="90" w:type="dxa"/>
          <w:trHeight w:val="626" w:hRule="atLeast"/>
          <w:jc w:val="center"/>
        </w:trPr>
        <w:tc>
          <w:tcPr>
            <w:tcW w:w="1034"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功能分类科目编码</w:t>
            </w:r>
          </w:p>
        </w:tc>
        <w:tc>
          <w:tcPr>
            <w:tcW w:w="1796" w:type="dxa"/>
            <w:tcBorders>
              <w:top w:val="nil"/>
              <w:left w:val="nil"/>
              <w:bottom w:val="single" w:color="000000" w:sz="4" w:space="0"/>
              <w:right w:val="single" w:color="auto"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科目名称</w:t>
            </w:r>
          </w:p>
        </w:tc>
        <w:tc>
          <w:tcPr>
            <w:tcW w:w="783" w:type="dxa"/>
            <w:gridSpan w:val="4"/>
            <w:vMerge w:val="continue"/>
            <w:tcBorders>
              <w:top w:val="single" w:color="auto" w:sz="4" w:space="0"/>
              <w:left w:val="single" w:color="auto"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 w:val="20"/>
                <w:szCs w:val="20"/>
              </w:rPr>
            </w:pPr>
          </w:p>
        </w:tc>
        <w:tc>
          <w:tcPr>
            <w:tcW w:w="717" w:type="dxa"/>
            <w:gridSpan w:val="3"/>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783" w:type="dxa"/>
            <w:gridSpan w:val="3"/>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920" w:type="dxa"/>
            <w:gridSpan w:val="3"/>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921" w:type="dxa"/>
            <w:gridSpan w:val="3"/>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920" w:type="dxa"/>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926" w:type="dxa"/>
            <w:vMerge w:val="continue"/>
            <w:tcBorders>
              <w:top w:val="single" w:color="auto" w:sz="4" w:space="0"/>
              <w:left w:val="nil"/>
              <w:bottom w:val="single" w:color="000000" w:sz="4" w:space="0"/>
              <w:right w:val="single" w:color="auto"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r>
      <w:tr>
        <w:tblPrEx>
          <w:tblCellMar>
            <w:top w:w="0" w:type="dxa"/>
            <w:left w:w="0" w:type="dxa"/>
            <w:bottom w:w="0" w:type="dxa"/>
            <w:right w:w="0" w:type="dxa"/>
          </w:tblCellMar>
        </w:tblPrEx>
        <w:trPr>
          <w:gridAfter w:val="1"/>
          <w:wAfter w:w="90" w:type="dxa"/>
          <w:trHeight w:val="391" w:hRule="atLeast"/>
          <w:jc w:val="center"/>
        </w:trPr>
        <w:tc>
          <w:tcPr>
            <w:tcW w:w="2830"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栏次</w:t>
            </w:r>
          </w:p>
        </w:tc>
        <w:tc>
          <w:tcPr>
            <w:tcW w:w="783"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w:t>
            </w:r>
          </w:p>
        </w:tc>
        <w:tc>
          <w:tcPr>
            <w:tcW w:w="717"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w:t>
            </w:r>
          </w:p>
        </w:tc>
        <w:tc>
          <w:tcPr>
            <w:tcW w:w="783"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w:t>
            </w:r>
          </w:p>
        </w:tc>
        <w:tc>
          <w:tcPr>
            <w:tcW w:w="920"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w:t>
            </w:r>
          </w:p>
        </w:tc>
        <w:tc>
          <w:tcPr>
            <w:tcW w:w="921"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w:t>
            </w:r>
          </w:p>
        </w:tc>
        <w:tc>
          <w:tcPr>
            <w:tcW w:w="9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6</w:t>
            </w:r>
          </w:p>
        </w:tc>
        <w:tc>
          <w:tcPr>
            <w:tcW w:w="9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7</w:t>
            </w:r>
          </w:p>
        </w:tc>
      </w:tr>
      <w:tr>
        <w:tblPrEx>
          <w:tblCellMar>
            <w:top w:w="0" w:type="dxa"/>
            <w:left w:w="0" w:type="dxa"/>
            <w:bottom w:w="0" w:type="dxa"/>
            <w:right w:w="0" w:type="dxa"/>
          </w:tblCellMar>
        </w:tblPrEx>
        <w:trPr>
          <w:gridAfter w:val="1"/>
          <w:wAfter w:w="90" w:type="dxa"/>
          <w:trHeight w:val="90" w:hRule="atLeast"/>
          <w:jc w:val="center"/>
        </w:trPr>
        <w:tc>
          <w:tcPr>
            <w:tcW w:w="2830"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合计</w:t>
            </w:r>
          </w:p>
        </w:tc>
        <w:tc>
          <w:tcPr>
            <w:tcW w:w="783" w:type="dxa"/>
            <w:gridSpan w:val="4"/>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b/>
                <w:color w:val="000000"/>
                <w:sz w:val="18"/>
                <w:szCs w:val="18"/>
                <w:lang w:val="en-US" w:eastAsia="zh-CN"/>
              </w:rPr>
            </w:pPr>
            <w:r>
              <w:rPr>
                <w:rFonts w:hint="eastAsia" w:ascii="宋体" w:cs="宋体"/>
                <w:b/>
                <w:color w:val="000000"/>
                <w:sz w:val="18"/>
                <w:szCs w:val="18"/>
                <w:lang w:val="en-US" w:eastAsia="zh-CN"/>
              </w:rPr>
              <w:t>389.88</w:t>
            </w:r>
          </w:p>
        </w:tc>
        <w:tc>
          <w:tcPr>
            <w:tcW w:w="717" w:type="dxa"/>
            <w:gridSpan w:val="3"/>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b/>
                <w:color w:val="000000"/>
                <w:kern w:val="2"/>
                <w:sz w:val="18"/>
                <w:szCs w:val="18"/>
                <w:lang w:val="en-US" w:eastAsia="zh-CN" w:bidi="ar-SA"/>
              </w:rPr>
            </w:pPr>
            <w:r>
              <w:rPr>
                <w:rFonts w:hint="eastAsia" w:ascii="宋体" w:cs="宋体"/>
                <w:b/>
                <w:color w:val="000000"/>
                <w:sz w:val="18"/>
                <w:szCs w:val="18"/>
                <w:lang w:val="en-US" w:eastAsia="zh-CN"/>
              </w:rPr>
              <w:t>389.88</w:t>
            </w:r>
          </w:p>
        </w:tc>
        <w:tc>
          <w:tcPr>
            <w:tcW w:w="783" w:type="dxa"/>
            <w:gridSpan w:val="3"/>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c>
          <w:tcPr>
            <w:tcW w:w="920" w:type="dxa"/>
            <w:gridSpan w:val="3"/>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c>
          <w:tcPr>
            <w:tcW w:w="921" w:type="dxa"/>
            <w:gridSpan w:val="3"/>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c>
          <w:tcPr>
            <w:tcW w:w="920"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c>
          <w:tcPr>
            <w:tcW w:w="926"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r>
      <w:tr>
        <w:tblPrEx>
          <w:tblCellMar>
            <w:top w:w="0" w:type="dxa"/>
            <w:left w:w="0" w:type="dxa"/>
            <w:bottom w:w="0" w:type="dxa"/>
            <w:right w:w="0" w:type="dxa"/>
          </w:tblCellMar>
        </w:tblPrEx>
        <w:trPr>
          <w:gridAfter w:val="1"/>
          <w:wAfter w:w="90" w:type="dxa"/>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201</w:t>
            </w:r>
          </w:p>
        </w:tc>
        <w:tc>
          <w:tcPr>
            <w:tcW w:w="179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eastAsia="宋体" w:cs="宋体"/>
                <w:color w:val="000000"/>
                <w:szCs w:val="21"/>
                <w:lang w:val="en-US" w:eastAsia="zh-CN"/>
              </w:rPr>
            </w:pPr>
            <w:r>
              <w:rPr>
                <w:rFonts w:hint="eastAsia" w:ascii="宋体" w:cs="宋体"/>
                <w:color w:val="000000"/>
                <w:szCs w:val="21"/>
                <w:lang w:val="en-US" w:eastAsia="zh-CN"/>
              </w:rPr>
              <w:t xml:space="preserve"> 一般公共服务支出</w:t>
            </w:r>
          </w:p>
        </w:tc>
        <w:tc>
          <w:tcPr>
            <w:tcW w:w="783"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348.38</w:t>
            </w:r>
          </w:p>
        </w:tc>
        <w:tc>
          <w:tcPr>
            <w:tcW w:w="717"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348.38</w:t>
            </w:r>
          </w:p>
        </w:tc>
        <w:tc>
          <w:tcPr>
            <w:tcW w:w="783"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90" w:type="dxa"/>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20105</w:t>
            </w:r>
          </w:p>
        </w:tc>
        <w:tc>
          <w:tcPr>
            <w:tcW w:w="179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eastAsia="宋体" w:cs="宋体"/>
                <w:color w:val="000000"/>
                <w:szCs w:val="21"/>
                <w:lang w:eastAsia="zh-CN"/>
              </w:rPr>
            </w:pPr>
            <w:r>
              <w:rPr>
                <w:rFonts w:hint="eastAsia" w:ascii="宋体" w:cs="宋体"/>
                <w:color w:val="000000"/>
                <w:szCs w:val="21"/>
                <w:lang w:eastAsia="zh-CN"/>
              </w:rPr>
              <w:t>统计信息事务</w:t>
            </w:r>
          </w:p>
        </w:tc>
        <w:tc>
          <w:tcPr>
            <w:tcW w:w="783"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348.38</w:t>
            </w:r>
          </w:p>
        </w:tc>
        <w:tc>
          <w:tcPr>
            <w:tcW w:w="717"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348.38</w:t>
            </w:r>
          </w:p>
        </w:tc>
        <w:tc>
          <w:tcPr>
            <w:tcW w:w="783"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90" w:type="dxa"/>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2010501</w:t>
            </w:r>
          </w:p>
        </w:tc>
        <w:tc>
          <w:tcPr>
            <w:tcW w:w="179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default" w:ascii="宋体" w:eastAsia="宋体" w:cs="宋体"/>
                <w:color w:val="000000"/>
                <w:szCs w:val="21"/>
                <w:lang w:val="en-US" w:eastAsia="zh-CN"/>
              </w:rPr>
            </w:pPr>
            <w:r>
              <w:rPr>
                <w:rFonts w:hint="eastAsia" w:ascii="宋体" w:cs="宋体"/>
                <w:color w:val="000000"/>
                <w:szCs w:val="21"/>
                <w:lang w:val="en-US" w:eastAsia="zh-CN"/>
              </w:rPr>
              <w:t xml:space="preserve">  行政运行</w:t>
            </w:r>
          </w:p>
        </w:tc>
        <w:tc>
          <w:tcPr>
            <w:tcW w:w="783"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214.95</w:t>
            </w:r>
          </w:p>
        </w:tc>
        <w:tc>
          <w:tcPr>
            <w:tcW w:w="717"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214.95</w:t>
            </w:r>
          </w:p>
        </w:tc>
        <w:tc>
          <w:tcPr>
            <w:tcW w:w="783"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90" w:type="dxa"/>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2010502</w:t>
            </w:r>
          </w:p>
        </w:tc>
        <w:tc>
          <w:tcPr>
            <w:tcW w:w="179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一般行政管理事务</w:t>
            </w:r>
          </w:p>
        </w:tc>
        <w:tc>
          <w:tcPr>
            <w:tcW w:w="783"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11.4</w:t>
            </w:r>
          </w:p>
        </w:tc>
        <w:tc>
          <w:tcPr>
            <w:tcW w:w="717"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11.4</w:t>
            </w:r>
          </w:p>
        </w:tc>
        <w:tc>
          <w:tcPr>
            <w:tcW w:w="783"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90" w:type="dxa"/>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2010505</w:t>
            </w:r>
          </w:p>
        </w:tc>
        <w:tc>
          <w:tcPr>
            <w:tcW w:w="179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ind w:firstLine="210" w:firstLineChars="100"/>
              <w:jc w:val="left"/>
              <w:rPr>
                <w:rFonts w:ascii="宋体" w:cs="宋体"/>
                <w:color w:val="000000"/>
                <w:szCs w:val="21"/>
              </w:rPr>
            </w:pPr>
            <w:r>
              <w:rPr>
                <w:rFonts w:hint="eastAsia" w:ascii="宋体" w:cs="宋体"/>
                <w:color w:val="000000"/>
                <w:szCs w:val="21"/>
              </w:rPr>
              <w:t>专项统计业务</w:t>
            </w:r>
          </w:p>
        </w:tc>
        <w:tc>
          <w:tcPr>
            <w:tcW w:w="783"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29.74</w:t>
            </w:r>
          </w:p>
        </w:tc>
        <w:tc>
          <w:tcPr>
            <w:tcW w:w="717"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29.74</w:t>
            </w:r>
          </w:p>
        </w:tc>
        <w:tc>
          <w:tcPr>
            <w:tcW w:w="783"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90" w:type="dxa"/>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2010506</w:t>
            </w:r>
          </w:p>
        </w:tc>
        <w:tc>
          <w:tcPr>
            <w:tcW w:w="179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ind w:firstLine="210" w:firstLineChars="100"/>
              <w:jc w:val="left"/>
              <w:rPr>
                <w:rFonts w:ascii="宋体" w:cs="宋体"/>
                <w:color w:val="000000"/>
                <w:szCs w:val="21"/>
              </w:rPr>
            </w:pPr>
            <w:r>
              <w:rPr>
                <w:rFonts w:hint="eastAsia" w:ascii="宋体" w:cs="宋体"/>
                <w:color w:val="000000"/>
                <w:szCs w:val="21"/>
              </w:rPr>
              <w:t>统计管理</w:t>
            </w:r>
          </w:p>
        </w:tc>
        <w:tc>
          <w:tcPr>
            <w:tcW w:w="783"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6.59</w:t>
            </w:r>
          </w:p>
        </w:tc>
        <w:tc>
          <w:tcPr>
            <w:tcW w:w="717"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6.59</w:t>
            </w:r>
          </w:p>
        </w:tc>
        <w:tc>
          <w:tcPr>
            <w:tcW w:w="783"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90" w:type="dxa"/>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2010507</w:t>
            </w:r>
          </w:p>
        </w:tc>
        <w:tc>
          <w:tcPr>
            <w:tcW w:w="179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ind w:firstLine="210" w:firstLineChars="100"/>
              <w:jc w:val="left"/>
              <w:rPr>
                <w:rFonts w:ascii="宋体" w:cs="宋体"/>
                <w:color w:val="000000"/>
                <w:szCs w:val="21"/>
              </w:rPr>
            </w:pPr>
            <w:r>
              <w:rPr>
                <w:rFonts w:hint="eastAsia" w:ascii="宋体" w:cs="宋体"/>
                <w:color w:val="000000"/>
                <w:szCs w:val="21"/>
              </w:rPr>
              <w:t>专项普查活动</w:t>
            </w:r>
          </w:p>
        </w:tc>
        <w:tc>
          <w:tcPr>
            <w:tcW w:w="783"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49.90</w:t>
            </w:r>
          </w:p>
        </w:tc>
        <w:tc>
          <w:tcPr>
            <w:tcW w:w="717"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49.90</w:t>
            </w:r>
          </w:p>
        </w:tc>
        <w:tc>
          <w:tcPr>
            <w:tcW w:w="783"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90" w:type="dxa"/>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2010550</w:t>
            </w:r>
          </w:p>
        </w:tc>
        <w:tc>
          <w:tcPr>
            <w:tcW w:w="179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default" w:ascii="宋体" w:eastAsia="宋体" w:cs="宋体"/>
                <w:color w:val="000000"/>
                <w:szCs w:val="21"/>
                <w:lang w:val="en-US" w:eastAsia="zh-CN"/>
              </w:rPr>
            </w:pPr>
            <w:r>
              <w:rPr>
                <w:rFonts w:hint="eastAsia" w:ascii="宋体" w:cs="宋体"/>
                <w:color w:val="000000"/>
                <w:szCs w:val="21"/>
                <w:lang w:val="en-US" w:eastAsia="zh-CN"/>
              </w:rPr>
              <w:t xml:space="preserve">  事业运行</w:t>
            </w:r>
          </w:p>
        </w:tc>
        <w:tc>
          <w:tcPr>
            <w:tcW w:w="783"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35.80</w:t>
            </w:r>
          </w:p>
        </w:tc>
        <w:tc>
          <w:tcPr>
            <w:tcW w:w="717"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35.80</w:t>
            </w:r>
          </w:p>
        </w:tc>
        <w:tc>
          <w:tcPr>
            <w:tcW w:w="783"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90" w:type="dxa"/>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208</w:t>
            </w:r>
          </w:p>
        </w:tc>
        <w:tc>
          <w:tcPr>
            <w:tcW w:w="179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社会保障和就业支出</w:t>
            </w:r>
          </w:p>
        </w:tc>
        <w:tc>
          <w:tcPr>
            <w:tcW w:w="783"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25.98</w:t>
            </w:r>
          </w:p>
        </w:tc>
        <w:tc>
          <w:tcPr>
            <w:tcW w:w="717"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25.98</w:t>
            </w:r>
          </w:p>
        </w:tc>
        <w:tc>
          <w:tcPr>
            <w:tcW w:w="783"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90" w:type="dxa"/>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20805</w:t>
            </w:r>
          </w:p>
        </w:tc>
        <w:tc>
          <w:tcPr>
            <w:tcW w:w="179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行政事业单位离退休</w:t>
            </w:r>
          </w:p>
        </w:tc>
        <w:tc>
          <w:tcPr>
            <w:tcW w:w="783"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25.98</w:t>
            </w:r>
          </w:p>
        </w:tc>
        <w:tc>
          <w:tcPr>
            <w:tcW w:w="717"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25.98</w:t>
            </w:r>
          </w:p>
        </w:tc>
        <w:tc>
          <w:tcPr>
            <w:tcW w:w="783"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90" w:type="dxa"/>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2080501</w:t>
            </w:r>
          </w:p>
        </w:tc>
        <w:tc>
          <w:tcPr>
            <w:tcW w:w="179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归口管理的行政单位离退休</w:t>
            </w:r>
          </w:p>
        </w:tc>
        <w:tc>
          <w:tcPr>
            <w:tcW w:w="783"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2.15</w:t>
            </w:r>
          </w:p>
        </w:tc>
        <w:tc>
          <w:tcPr>
            <w:tcW w:w="717"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2.15</w:t>
            </w:r>
          </w:p>
        </w:tc>
        <w:tc>
          <w:tcPr>
            <w:tcW w:w="783"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90" w:type="dxa"/>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2080505</w:t>
            </w:r>
          </w:p>
        </w:tc>
        <w:tc>
          <w:tcPr>
            <w:tcW w:w="179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机关事业单位基本养老保险缴费支出</w:t>
            </w:r>
          </w:p>
        </w:tc>
        <w:tc>
          <w:tcPr>
            <w:tcW w:w="783"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23.83</w:t>
            </w:r>
          </w:p>
        </w:tc>
        <w:tc>
          <w:tcPr>
            <w:tcW w:w="717"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23.83</w:t>
            </w:r>
          </w:p>
        </w:tc>
        <w:tc>
          <w:tcPr>
            <w:tcW w:w="783"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90" w:type="dxa"/>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221</w:t>
            </w:r>
          </w:p>
        </w:tc>
        <w:tc>
          <w:tcPr>
            <w:tcW w:w="179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住房保障支出</w:t>
            </w:r>
          </w:p>
        </w:tc>
        <w:tc>
          <w:tcPr>
            <w:tcW w:w="783"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15.52</w:t>
            </w:r>
          </w:p>
        </w:tc>
        <w:tc>
          <w:tcPr>
            <w:tcW w:w="717"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15.52</w:t>
            </w:r>
          </w:p>
        </w:tc>
        <w:tc>
          <w:tcPr>
            <w:tcW w:w="783"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90" w:type="dxa"/>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22102</w:t>
            </w:r>
          </w:p>
        </w:tc>
        <w:tc>
          <w:tcPr>
            <w:tcW w:w="179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住房改革支出</w:t>
            </w:r>
          </w:p>
        </w:tc>
        <w:tc>
          <w:tcPr>
            <w:tcW w:w="783"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15.52</w:t>
            </w:r>
          </w:p>
        </w:tc>
        <w:tc>
          <w:tcPr>
            <w:tcW w:w="717"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15.52</w:t>
            </w:r>
          </w:p>
        </w:tc>
        <w:tc>
          <w:tcPr>
            <w:tcW w:w="783"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90" w:type="dxa"/>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2210201</w:t>
            </w:r>
          </w:p>
        </w:tc>
        <w:tc>
          <w:tcPr>
            <w:tcW w:w="179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default" w:ascii="宋体" w:eastAsia="宋体" w:cs="宋体"/>
                <w:color w:val="000000"/>
                <w:szCs w:val="21"/>
                <w:lang w:val="en-US" w:eastAsia="zh-CN"/>
              </w:rPr>
            </w:pPr>
            <w:r>
              <w:rPr>
                <w:rFonts w:hint="eastAsia" w:ascii="宋体" w:cs="宋体"/>
                <w:color w:val="000000"/>
                <w:szCs w:val="21"/>
                <w:lang w:val="en-US" w:eastAsia="zh-CN"/>
              </w:rPr>
              <w:t xml:space="preserve">  住房公积金</w:t>
            </w:r>
          </w:p>
        </w:tc>
        <w:tc>
          <w:tcPr>
            <w:tcW w:w="783"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15.52</w:t>
            </w:r>
          </w:p>
        </w:tc>
        <w:tc>
          <w:tcPr>
            <w:tcW w:w="717"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15.52</w:t>
            </w:r>
          </w:p>
        </w:tc>
        <w:tc>
          <w:tcPr>
            <w:tcW w:w="783"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90" w:type="dxa"/>
          <w:trHeight w:val="481" w:hRule="atLeast"/>
          <w:jc w:val="center"/>
        </w:trPr>
        <w:tc>
          <w:tcPr>
            <w:tcW w:w="8800" w:type="dxa"/>
            <w:gridSpan w:val="22"/>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注：本表反映部门本年度取得的各项收入情况。</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3"/>
        <w:tblW w:w="9286" w:type="dxa"/>
        <w:tblInd w:w="0" w:type="dxa"/>
        <w:tblLayout w:type="fixed"/>
        <w:tblCellMar>
          <w:top w:w="0" w:type="dxa"/>
          <w:left w:w="0" w:type="dxa"/>
          <w:bottom w:w="0" w:type="dxa"/>
          <w:right w:w="0" w:type="dxa"/>
        </w:tblCellMar>
      </w:tblPr>
      <w:tblGrid>
        <w:gridCol w:w="290"/>
        <w:gridCol w:w="289"/>
        <w:gridCol w:w="803"/>
        <w:gridCol w:w="1764"/>
        <w:gridCol w:w="196"/>
        <w:gridCol w:w="90"/>
        <w:gridCol w:w="656"/>
        <w:gridCol w:w="176"/>
        <w:gridCol w:w="286"/>
        <w:gridCol w:w="338"/>
        <w:gridCol w:w="496"/>
        <w:gridCol w:w="286"/>
        <w:gridCol w:w="79"/>
        <w:gridCol w:w="753"/>
        <w:gridCol w:w="286"/>
        <w:gridCol w:w="45"/>
        <w:gridCol w:w="1075"/>
        <w:gridCol w:w="8"/>
        <w:gridCol w:w="1084"/>
        <w:gridCol w:w="286"/>
      </w:tblGrid>
      <w:tr>
        <w:tblPrEx>
          <w:tblCellMar>
            <w:top w:w="0" w:type="dxa"/>
            <w:left w:w="0" w:type="dxa"/>
            <w:bottom w:w="0" w:type="dxa"/>
            <w:right w:w="0" w:type="dxa"/>
          </w:tblCellMar>
        </w:tblPrEx>
        <w:trPr>
          <w:gridAfter w:val="1"/>
          <w:wAfter w:w="286" w:type="dxa"/>
          <w:trHeight w:val="798" w:hRule="atLeast"/>
        </w:trPr>
        <w:tc>
          <w:tcPr>
            <w:tcW w:w="9000" w:type="dxa"/>
            <w:gridSpan w:val="19"/>
            <w:tcBorders>
              <w:top w:val="nil"/>
              <w:left w:val="nil"/>
              <w:bottom w:val="nil"/>
              <w:right w:val="nil"/>
            </w:tcBorders>
            <w:noWrap/>
            <w:tcMar>
              <w:top w:w="15" w:type="dxa"/>
              <w:left w:w="15" w:type="dxa"/>
              <w:right w:w="15" w:type="dxa"/>
            </w:tcMar>
            <w:vAlign w:val="center"/>
          </w:tcPr>
          <w:p>
            <w:pPr>
              <w:widowControl/>
              <w:spacing w:after="0" w:line="240" w:lineRule="atLeast"/>
              <w:jc w:val="center"/>
              <w:rPr>
                <w:rFonts w:ascii="黑体" w:hAnsi="宋体" w:eastAsia="黑体" w:cs="黑体"/>
                <w:color w:val="000000"/>
                <w:sz w:val="40"/>
                <w:szCs w:val="40"/>
              </w:rPr>
            </w:pPr>
            <w:r>
              <w:rPr>
                <w:rFonts w:hint="eastAsia" w:ascii="黑体" w:hAnsi="宋体" w:eastAsia="黑体" w:cs="黑体"/>
                <w:color w:val="000000"/>
                <w:kern w:val="0"/>
                <w:sz w:val="40"/>
                <w:szCs w:val="40"/>
              </w:rPr>
              <w:t>支出决算</w:t>
            </w:r>
            <w:r>
              <w:pict>
                <v:group id="组合 38" o:spid="_x0000_s1047" o:spt="203" style="position:absolute;left:0pt;margin-left:-80.9pt;margin-top:-81.1pt;height:41.2pt;width:243.2pt;mso-position-vertical-relative:page;z-index:251676672;mso-width-relative:page;mso-height-relative:page;" coordorigin="4551,52615" coordsize="8546,1398">
                  <o:lock v:ext="edit"/>
                  <v:rect id="矩形 13" o:spid="_x0000_s1048" o:spt="1" style="position:absolute;left:4551;top:52615;height:1175;width:8546;v-text-anchor:middle;" fillcolor="#96DA9D" filled="t" stroked="f" coordsize="21600,21600">
                    <v:path/>
                    <v:fill on="t" focussize="0,0"/>
                    <v:stroke on="f" weight="2pt"/>
                    <v:imagedata o:title=""/>
                    <o:lock v:ext="edit"/>
                  </v:rect>
                  <v:rect id="矩形 14" o:spid="_x0000_s1049"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表</w:t>
            </w:r>
          </w:p>
        </w:tc>
      </w:tr>
      <w:tr>
        <w:tblPrEx>
          <w:tblCellMar>
            <w:top w:w="0" w:type="dxa"/>
            <w:left w:w="0" w:type="dxa"/>
            <w:bottom w:w="0" w:type="dxa"/>
            <w:right w:w="0" w:type="dxa"/>
          </w:tblCellMar>
        </w:tblPrEx>
        <w:trPr>
          <w:trHeight w:val="404" w:hRule="atLeast"/>
        </w:trPr>
        <w:tc>
          <w:tcPr>
            <w:tcW w:w="29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89"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03"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960"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9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3"/>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3"/>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3"/>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378" w:type="dxa"/>
            <w:gridSpan w:val="3"/>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03</w:t>
            </w:r>
            <w:r>
              <w:rPr>
                <w:rFonts w:hint="eastAsia" w:ascii="宋体" w:hAnsi="宋体" w:cs="宋体"/>
                <w:color w:val="000000"/>
                <w:kern w:val="0"/>
                <w:szCs w:val="21"/>
              </w:rPr>
              <w:t>表</w:t>
            </w:r>
          </w:p>
        </w:tc>
      </w:tr>
      <w:tr>
        <w:tblPrEx>
          <w:tblCellMar>
            <w:top w:w="0" w:type="dxa"/>
            <w:left w:w="0" w:type="dxa"/>
            <w:bottom w:w="0" w:type="dxa"/>
            <w:right w:w="0" w:type="dxa"/>
          </w:tblCellMar>
        </w:tblPrEx>
        <w:trPr>
          <w:gridAfter w:val="1"/>
          <w:wAfter w:w="286" w:type="dxa"/>
          <w:trHeight w:val="380" w:hRule="atLeast"/>
        </w:trPr>
        <w:tc>
          <w:tcPr>
            <w:tcW w:w="3146" w:type="dxa"/>
            <w:gridSpan w:val="4"/>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部门：</w:t>
            </w:r>
          </w:p>
        </w:tc>
        <w:tc>
          <w:tcPr>
            <w:tcW w:w="1118" w:type="dxa"/>
            <w:gridSpan w:val="4"/>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3"/>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3"/>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498" w:type="dxa"/>
            <w:gridSpan w:val="5"/>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gridAfter w:val="1"/>
          <w:wAfter w:w="286" w:type="dxa"/>
          <w:trHeight w:val="837" w:hRule="atLeast"/>
        </w:trPr>
        <w:tc>
          <w:tcPr>
            <w:tcW w:w="3342" w:type="dxa"/>
            <w:gridSpan w:val="5"/>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项目</w:t>
            </w:r>
          </w:p>
        </w:tc>
        <w:tc>
          <w:tcPr>
            <w:tcW w:w="746" w:type="dxa"/>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本年支出合计</w:t>
            </w:r>
          </w:p>
        </w:tc>
        <w:tc>
          <w:tcPr>
            <w:tcW w:w="800" w:type="dxa"/>
            <w:gridSpan w:val="3"/>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基本支出</w:t>
            </w:r>
          </w:p>
        </w:tc>
        <w:tc>
          <w:tcPr>
            <w:tcW w:w="861" w:type="dxa"/>
            <w:gridSpan w:val="3"/>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项目支出</w:t>
            </w:r>
          </w:p>
        </w:tc>
        <w:tc>
          <w:tcPr>
            <w:tcW w:w="1084" w:type="dxa"/>
            <w:gridSpan w:val="3"/>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上缴上级支出</w:t>
            </w:r>
          </w:p>
        </w:tc>
        <w:tc>
          <w:tcPr>
            <w:tcW w:w="1083" w:type="dxa"/>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经营支出</w:t>
            </w:r>
          </w:p>
        </w:tc>
        <w:tc>
          <w:tcPr>
            <w:tcW w:w="1084" w:type="dxa"/>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对附属单位补助支出</w:t>
            </w:r>
          </w:p>
        </w:tc>
      </w:tr>
      <w:tr>
        <w:tblPrEx>
          <w:tblCellMar>
            <w:top w:w="0" w:type="dxa"/>
            <w:left w:w="0" w:type="dxa"/>
            <w:bottom w:w="0" w:type="dxa"/>
            <w:right w:w="0" w:type="dxa"/>
          </w:tblCellMar>
        </w:tblPrEx>
        <w:trPr>
          <w:gridAfter w:val="1"/>
          <w:wAfter w:w="286" w:type="dxa"/>
          <w:trHeight w:val="782" w:hRule="atLeast"/>
        </w:trPr>
        <w:tc>
          <w:tcPr>
            <w:tcW w:w="1382"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功能分类科目编码</w:t>
            </w:r>
          </w:p>
        </w:tc>
        <w:tc>
          <w:tcPr>
            <w:tcW w:w="196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科目名称</w:t>
            </w:r>
          </w:p>
        </w:tc>
        <w:tc>
          <w:tcPr>
            <w:tcW w:w="746" w:type="dxa"/>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800" w:type="dxa"/>
            <w:gridSpan w:val="3"/>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861" w:type="dxa"/>
            <w:gridSpan w:val="3"/>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084" w:type="dxa"/>
            <w:gridSpan w:val="3"/>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083" w:type="dxa"/>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084" w:type="dxa"/>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r>
      <w:tr>
        <w:tblPrEx>
          <w:tblCellMar>
            <w:top w:w="0" w:type="dxa"/>
            <w:left w:w="0" w:type="dxa"/>
            <w:bottom w:w="0" w:type="dxa"/>
            <w:right w:w="0" w:type="dxa"/>
          </w:tblCellMar>
        </w:tblPrEx>
        <w:trPr>
          <w:gridAfter w:val="1"/>
          <w:wAfter w:w="286" w:type="dxa"/>
          <w:trHeight w:val="395" w:hRule="atLeast"/>
        </w:trPr>
        <w:tc>
          <w:tcPr>
            <w:tcW w:w="3342" w:type="dxa"/>
            <w:gridSpan w:val="5"/>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栏次</w:t>
            </w:r>
          </w:p>
        </w:tc>
        <w:tc>
          <w:tcPr>
            <w:tcW w:w="74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1</w:t>
            </w:r>
          </w:p>
        </w:tc>
        <w:tc>
          <w:tcPr>
            <w:tcW w:w="800"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2</w:t>
            </w:r>
          </w:p>
        </w:tc>
        <w:tc>
          <w:tcPr>
            <w:tcW w:w="861"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3</w:t>
            </w:r>
          </w:p>
        </w:tc>
        <w:tc>
          <w:tcPr>
            <w:tcW w:w="1084"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4</w:t>
            </w: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5</w:t>
            </w:r>
          </w:p>
        </w:tc>
        <w:tc>
          <w:tcPr>
            <w:tcW w:w="108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gridAfter w:val="1"/>
          <w:wAfter w:w="286" w:type="dxa"/>
          <w:trHeight w:val="440" w:hRule="atLeast"/>
        </w:trPr>
        <w:tc>
          <w:tcPr>
            <w:tcW w:w="3342" w:type="dxa"/>
            <w:gridSpan w:val="5"/>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合计</w:t>
            </w:r>
          </w:p>
        </w:tc>
        <w:tc>
          <w:tcPr>
            <w:tcW w:w="74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b/>
                <w:color w:val="000000"/>
                <w:kern w:val="2"/>
                <w:sz w:val="18"/>
                <w:szCs w:val="18"/>
                <w:lang w:val="en-US" w:eastAsia="zh-CN" w:bidi="ar-SA"/>
              </w:rPr>
            </w:pPr>
            <w:r>
              <w:rPr>
                <w:rFonts w:hint="eastAsia" w:ascii="宋体" w:cs="宋体"/>
                <w:b/>
                <w:color w:val="000000"/>
                <w:sz w:val="18"/>
                <w:szCs w:val="18"/>
                <w:lang w:val="en-US" w:eastAsia="zh-CN"/>
              </w:rPr>
              <w:t>389.88</w:t>
            </w:r>
          </w:p>
        </w:tc>
        <w:tc>
          <w:tcPr>
            <w:tcW w:w="80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b/>
                <w:color w:val="000000"/>
                <w:kern w:val="2"/>
                <w:sz w:val="18"/>
                <w:szCs w:val="18"/>
                <w:lang w:val="en-US" w:eastAsia="zh-CN" w:bidi="ar-SA"/>
              </w:rPr>
            </w:pPr>
            <w:r>
              <w:rPr>
                <w:rFonts w:hint="eastAsia" w:ascii="宋体" w:cs="宋体"/>
                <w:b/>
                <w:color w:val="000000"/>
                <w:sz w:val="18"/>
                <w:szCs w:val="18"/>
                <w:lang w:val="en-US" w:eastAsia="zh-CN"/>
              </w:rPr>
              <w:t>389.88</w:t>
            </w:r>
          </w:p>
        </w:tc>
        <w:tc>
          <w:tcPr>
            <w:tcW w:w="861"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p>
        </w:tc>
        <w:tc>
          <w:tcPr>
            <w:tcW w:w="1084"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p>
        </w:tc>
      </w:tr>
      <w:tr>
        <w:tblPrEx>
          <w:tblCellMar>
            <w:top w:w="0" w:type="dxa"/>
            <w:left w:w="0" w:type="dxa"/>
            <w:bottom w:w="0" w:type="dxa"/>
            <w:right w:w="0" w:type="dxa"/>
          </w:tblCellMar>
        </w:tblPrEx>
        <w:trPr>
          <w:gridAfter w:val="1"/>
          <w:wAfter w:w="286" w:type="dxa"/>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201</w:t>
            </w:r>
          </w:p>
        </w:tc>
        <w:tc>
          <w:tcPr>
            <w:tcW w:w="196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 xml:space="preserve"> 一般公共服务支出</w:t>
            </w:r>
          </w:p>
        </w:tc>
        <w:tc>
          <w:tcPr>
            <w:tcW w:w="74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348.38</w:t>
            </w:r>
          </w:p>
        </w:tc>
        <w:tc>
          <w:tcPr>
            <w:tcW w:w="80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348.38</w:t>
            </w:r>
          </w:p>
        </w:tc>
        <w:tc>
          <w:tcPr>
            <w:tcW w:w="861"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286" w:type="dxa"/>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20105</w:t>
            </w:r>
          </w:p>
        </w:tc>
        <w:tc>
          <w:tcPr>
            <w:tcW w:w="196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hAnsi="Times New Roman" w:eastAsia="宋体" w:cs="宋体"/>
                <w:color w:val="000000"/>
                <w:kern w:val="2"/>
                <w:sz w:val="21"/>
                <w:szCs w:val="21"/>
                <w:lang w:val="en-US" w:eastAsia="zh-CN" w:bidi="ar-SA"/>
              </w:rPr>
            </w:pPr>
            <w:r>
              <w:rPr>
                <w:rFonts w:hint="eastAsia" w:ascii="宋体" w:cs="宋体"/>
                <w:color w:val="000000"/>
                <w:szCs w:val="21"/>
                <w:lang w:eastAsia="zh-CN"/>
              </w:rPr>
              <w:t>统计信息事务</w:t>
            </w:r>
          </w:p>
        </w:tc>
        <w:tc>
          <w:tcPr>
            <w:tcW w:w="74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348.38</w:t>
            </w:r>
          </w:p>
        </w:tc>
        <w:tc>
          <w:tcPr>
            <w:tcW w:w="80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348.38</w:t>
            </w:r>
          </w:p>
        </w:tc>
        <w:tc>
          <w:tcPr>
            <w:tcW w:w="861"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286" w:type="dxa"/>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2010501</w:t>
            </w:r>
          </w:p>
        </w:tc>
        <w:tc>
          <w:tcPr>
            <w:tcW w:w="196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 xml:space="preserve">  行政运行</w:t>
            </w:r>
          </w:p>
        </w:tc>
        <w:tc>
          <w:tcPr>
            <w:tcW w:w="74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214.95</w:t>
            </w:r>
          </w:p>
        </w:tc>
        <w:tc>
          <w:tcPr>
            <w:tcW w:w="80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214.95</w:t>
            </w:r>
          </w:p>
        </w:tc>
        <w:tc>
          <w:tcPr>
            <w:tcW w:w="861"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286" w:type="dxa"/>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2010502</w:t>
            </w:r>
          </w:p>
        </w:tc>
        <w:tc>
          <w:tcPr>
            <w:tcW w:w="196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hAnsi="Times New Roman" w:eastAsia="宋体" w:cs="宋体"/>
                <w:color w:val="000000"/>
                <w:kern w:val="2"/>
                <w:sz w:val="21"/>
                <w:szCs w:val="21"/>
                <w:lang w:val="en-US" w:eastAsia="zh-CN" w:bidi="ar-SA"/>
              </w:rPr>
            </w:pPr>
            <w:r>
              <w:rPr>
                <w:rFonts w:hint="eastAsia" w:ascii="宋体" w:cs="宋体"/>
                <w:color w:val="000000"/>
                <w:szCs w:val="21"/>
              </w:rPr>
              <w:t>一般行政管理事务</w:t>
            </w:r>
          </w:p>
        </w:tc>
        <w:tc>
          <w:tcPr>
            <w:tcW w:w="74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11.40</w:t>
            </w:r>
          </w:p>
        </w:tc>
        <w:tc>
          <w:tcPr>
            <w:tcW w:w="80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11.40</w:t>
            </w:r>
          </w:p>
        </w:tc>
        <w:tc>
          <w:tcPr>
            <w:tcW w:w="861"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286" w:type="dxa"/>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2010505</w:t>
            </w:r>
          </w:p>
        </w:tc>
        <w:tc>
          <w:tcPr>
            <w:tcW w:w="196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ind w:firstLine="210" w:firstLineChars="100"/>
              <w:jc w:val="left"/>
              <w:rPr>
                <w:rFonts w:ascii="宋体" w:hAnsi="Times New Roman" w:eastAsia="宋体" w:cs="宋体"/>
                <w:color w:val="000000"/>
                <w:kern w:val="2"/>
                <w:sz w:val="21"/>
                <w:szCs w:val="21"/>
                <w:lang w:val="en-US" w:eastAsia="zh-CN" w:bidi="ar-SA"/>
              </w:rPr>
            </w:pPr>
            <w:r>
              <w:rPr>
                <w:rFonts w:hint="eastAsia" w:ascii="宋体" w:cs="宋体"/>
                <w:color w:val="000000"/>
                <w:szCs w:val="21"/>
              </w:rPr>
              <w:t>专项统计业务</w:t>
            </w:r>
          </w:p>
        </w:tc>
        <w:tc>
          <w:tcPr>
            <w:tcW w:w="74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29.74</w:t>
            </w:r>
          </w:p>
        </w:tc>
        <w:tc>
          <w:tcPr>
            <w:tcW w:w="80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29.74</w:t>
            </w:r>
          </w:p>
        </w:tc>
        <w:tc>
          <w:tcPr>
            <w:tcW w:w="861"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286" w:type="dxa"/>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2010506</w:t>
            </w:r>
          </w:p>
        </w:tc>
        <w:tc>
          <w:tcPr>
            <w:tcW w:w="196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ind w:firstLine="210" w:firstLineChars="100"/>
              <w:jc w:val="left"/>
              <w:rPr>
                <w:rFonts w:ascii="宋体" w:hAnsi="Times New Roman" w:eastAsia="宋体" w:cs="宋体"/>
                <w:color w:val="000000"/>
                <w:kern w:val="2"/>
                <w:sz w:val="21"/>
                <w:szCs w:val="21"/>
                <w:lang w:val="en-US" w:eastAsia="zh-CN" w:bidi="ar-SA"/>
              </w:rPr>
            </w:pPr>
            <w:r>
              <w:rPr>
                <w:rFonts w:hint="eastAsia" w:ascii="宋体" w:cs="宋体"/>
                <w:color w:val="000000"/>
                <w:szCs w:val="21"/>
              </w:rPr>
              <w:t>统计管理</w:t>
            </w:r>
          </w:p>
        </w:tc>
        <w:tc>
          <w:tcPr>
            <w:tcW w:w="74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6.59</w:t>
            </w:r>
          </w:p>
        </w:tc>
        <w:tc>
          <w:tcPr>
            <w:tcW w:w="80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6.59</w:t>
            </w:r>
          </w:p>
        </w:tc>
        <w:tc>
          <w:tcPr>
            <w:tcW w:w="861"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286" w:type="dxa"/>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2010507</w:t>
            </w:r>
          </w:p>
        </w:tc>
        <w:tc>
          <w:tcPr>
            <w:tcW w:w="196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ind w:firstLine="210" w:firstLineChars="100"/>
              <w:jc w:val="left"/>
              <w:rPr>
                <w:rFonts w:ascii="宋体" w:hAnsi="Times New Roman" w:eastAsia="宋体" w:cs="宋体"/>
                <w:color w:val="000000"/>
                <w:kern w:val="2"/>
                <w:sz w:val="21"/>
                <w:szCs w:val="21"/>
                <w:lang w:val="en-US" w:eastAsia="zh-CN" w:bidi="ar-SA"/>
              </w:rPr>
            </w:pPr>
            <w:r>
              <w:rPr>
                <w:rFonts w:hint="eastAsia" w:ascii="宋体" w:cs="宋体"/>
                <w:color w:val="000000"/>
                <w:szCs w:val="21"/>
              </w:rPr>
              <w:t>专项普查活动</w:t>
            </w:r>
          </w:p>
        </w:tc>
        <w:tc>
          <w:tcPr>
            <w:tcW w:w="74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49.90</w:t>
            </w:r>
          </w:p>
        </w:tc>
        <w:tc>
          <w:tcPr>
            <w:tcW w:w="80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49.90</w:t>
            </w:r>
          </w:p>
        </w:tc>
        <w:tc>
          <w:tcPr>
            <w:tcW w:w="861"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286" w:type="dxa"/>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2010550</w:t>
            </w:r>
          </w:p>
        </w:tc>
        <w:tc>
          <w:tcPr>
            <w:tcW w:w="196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 xml:space="preserve">  事业运行</w:t>
            </w:r>
          </w:p>
        </w:tc>
        <w:tc>
          <w:tcPr>
            <w:tcW w:w="74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35.80</w:t>
            </w:r>
          </w:p>
        </w:tc>
        <w:tc>
          <w:tcPr>
            <w:tcW w:w="80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35.80</w:t>
            </w:r>
          </w:p>
        </w:tc>
        <w:tc>
          <w:tcPr>
            <w:tcW w:w="861"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286" w:type="dxa"/>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208</w:t>
            </w:r>
          </w:p>
        </w:tc>
        <w:tc>
          <w:tcPr>
            <w:tcW w:w="196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hAnsi="Times New Roman" w:eastAsia="宋体" w:cs="宋体"/>
                <w:color w:val="000000"/>
                <w:kern w:val="2"/>
                <w:sz w:val="21"/>
                <w:szCs w:val="21"/>
                <w:lang w:val="en-US" w:eastAsia="zh-CN" w:bidi="ar-SA"/>
              </w:rPr>
            </w:pPr>
            <w:r>
              <w:rPr>
                <w:rFonts w:hint="eastAsia" w:ascii="宋体" w:cs="宋体"/>
                <w:color w:val="000000"/>
                <w:szCs w:val="21"/>
              </w:rPr>
              <w:t>社会保障和就业支出</w:t>
            </w:r>
          </w:p>
        </w:tc>
        <w:tc>
          <w:tcPr>
            <w:tcW w:w="74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25.98</w:t>
            </w:r>
          </w:p>
        </w:tc>
        <w:tc>
          <w:tcPr>
            <w:tcW w:w="80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25.98</w:t>
            </w:r>
          </w:p>
        </w:tc>
        <w:tc>
          <w:tcPr>
            <w:tcW w:w="861"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286" w:type="dxa"/>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20805</w:t>
            </w:r>
          </w:p>
        </w:tc>
        <w:tc>
          <w:tcPr>
            <w:tcW w:w="196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hAnsi="Times New Roman" w:eastAsia="宋体" w:cs="宋体"/>
                <w:color w:val="000000"/>
                <w:kern w:val="2"/>
                <w:sz w:val="21"/>
                <w:szCs w:val="21"/>
                <w:lang w:val="en-US" w:eastAsia="zh-CN" w:bidi="ar-SA"/>
              </w:rPr>
            </w:pPr>
            <w:r>
              <w:rPr>
                <w:rFonts w:hint="eastAsia" w:ascii="宋体" w:cs="宋体"/>
                <w:color w:val="000000"/>
                <w:szCs w:val="21"/>
              </w:rPr>
              <w:t>行政事业单位离退休</w:t>
            </w:r>
          </w:p>
        </w:tc>
        <w:tc>
          <w:tcPr>
            <w:tcW w:w="74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25.98</w:t>
            </w:r>
          </w:p>
        </w:tc>
        <w:tc>
          <w:tcPr>
            <w:tcW w:w="80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25.98</w:t>
            </w:r>
          </w:p>
        </w:tc>
        <w:tc>
          <w:tcPr>
            <w:tcW w:w="861"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286" w:type="dxa"/>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2080501</w:t>
            </w:r>
          </w:p>
        </w:tc>
        <w:tc>
          <w:tcPr>
            <w:tcW w:w="196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hAnsi="Times New Roman" w:eastAsia="宋体" w:cs="宋体"/>
                <w:color w:val="000000"/>
                <w:kern w:val="2"/>
                <w:sz w:val="21"/>
                <w:szCs w:val="21"/>
                <w:lang w:val="en-US" w:eastAsia="zh-CN" w:bidi="ar-SA"/>
              </w:rPr>
            </w:pPr>
            <w:r>
              <w:rPr>
                <w:rFonts w:hint="eastAsia" w:ascii="宋体" w:cs="宋体"/>
                <w:color w:val="000000"/>
                <w:szCs w:val="21"/>
              </w:rPr>
              <w:t>归口管理的行政单位离退休</w:t>
            </w:r>
          </w:p>
        </w:tc>
        <w:tc>
          <w:tcPr>
            <w:tcW w:w="74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2.15</w:t>
            </w:r>
          </w:p>
        </w:tc>
        <w:tc>
          <w:tcPr>
            <w:tcW w:w="80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2.15</w:t>
            </w:r>
          </w:p>
        </w:tc>
        <w:tc>
          <w:tcPr>
            <w:tcW w:w="861"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286" w:type="dxa"/>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2080505</w:t>
            </w:r>
          </w:p>
        </w:tc>
        <w:tc>
          <w:tcPr>
            <w:tcW w:w="196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hAnsi="Times New Roman" w:eastAsia="宋体" w:cs="宋体"/>
                <w:color w:val="000000"/>
                <w:kern w:val="2"/>
                <w:sz w:val="21"/>
                <w:szCs w:val="21"/>
                <w:lang w:val="en-US" w:eastAsia="zh-CN" w:bidi="ar-SA"/>
              </w:rPr>
            </w:pPr>
            <w:r>
              <w:rPr>
                <w:rFonts w:hint="eastAsia" w:ascii="宋体" w:cs="宋体"/>
                <w:color w:val="000000"/>
                <w:szCs w:val="21"/>
              </w:rPr>
              <w:t>机关事业单位基本养老保险缴费支出</w:t>
            </w:r>
          </w:p>
        </w:tc>
        <w:tc>
          <w:tcPr>
            <w:tcW w:w="74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23.83</w:t>
            </w:r>
          </w:p>
        </w:tc>
        <w:tc>
          <w:tcPr>
            <w:tcW w:w="80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23.83</w:t>
            </w:r>
          </w:p>
        </w:tc>
        <w:tc>
          <w:tcPr>
            <w:tcW w:w="861"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286" w:type="dxa"/>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221</w:t>
            </w:r>
          </w:p>
        </w:tc>
        <w:tc>
          <w:tcPr>
            <w:tcW w:w="196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hAnsi="Times New Roman" w:eastAsia="宋体" w:cs="宋体"/>
                <w:color w:val="000000"/>
                <w:kern w:val="2"/>
                <w:sz w:val="21"/>
                <w:szCs w:val="21"/>
                <w:lang w:val="en-US" w:eastAsia="zh-CN" w:bidi="ar-SA"/>
              </w:rPr>
            </w:pPr>
            <w:r>
              <w:rPr>
                <w:rFonts w:hint="eastAsia" w:ascii="宋体" w:cs="宋体"/>
                <w:color w:val="000000"/>
                <w:szCs w:val="21"/>
              </w:rPr>
              <w:t>住房保障支出</w:t>
            </w:r>
          </w:p>
        </w:tc>
        <w:tc>
          <w:tcPr>
            <w:tcW w:w="74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15.52</w:t>
            </w:r>
          </w:p>
        </w:tc>
        <w:tc>
          <w:tcPr>
            <w:tcW w:w="80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15.52</w:t>
            </w:r>
          </w:p>
        </w:tc>
        <w:tc>
          <w:tcPr>
            <w:tcW w:w="861"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286" w:type="dxa"/>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22102</w:t>
            </w:r>
          </w:p>
        </w:tc>
        <w:tc>
          <w:tcPr>
            <w:tcW w:w="196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hAnsi="Times New Roman" w:eastAsia="宋体" w:cs="宋体"/>
                <w:color w:val="000000"/>
                <w:kern w:val="2"/>
                <w:sz w:val="21"/>
                <w:szCs w:val="21"/>
                <w:lang w:val="en-US" w:eastAsia="zh-CN" w:bidi="ar-SA"/>
              </w:rPr>
            </w:pPr>
            <w:r>
              <w:rPr>
                <w:rFonts w:hint="eastAsia" w:ascii="宋体" w:cs="宋体"/>
                <w:color w:val="000000"/>
                <w:szCs w:val="21"/>
              </w:rPr>
              <w:t>住房改革支出</w:t>
            </w:r>
          </w:p>
        </w:tc>
        <w:tc>
          <w:tcPr>
            <w:tcW w:w="74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15.52</w:t>
            </w:r>
          </w:p>
        </w:tc>
        <w:tc>
          <w:tcPr>
            <w:tcW w:w="80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15.52</w:t>
            </w:r>
          </w:p>
        </w:tc>
        <w:tc>
          <w:tcPr>
            <w:tcW w:w="861"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286" w:type="dxa"/>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2210201</w:t>
            </w:r>
          </w:p>
        </w:tc>
        <w:tc>
          <w:tcPr>
            <w:tcW w:w="196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 xml:space="preserve">  住房公积金</w:t>
            </w:r>
          </w:p>
        </w:tc>
        <w:tc>
          <w:tcPr>
            <w:tcW w:w="74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15.52</w:t>
            </w:r>
          </w:p>
        </w:tc>
        <w:tc>
          <w:tcPr>
            <w:tcW w:w="80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15.52</w:t>
            </w:r>
          </w:p>
        </w:tc>
        <w:tc>
          <w:tcPr>
            <w:tcW w:w="861"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286" w:type="dxa"/>
          <w:trHeight w:val="748" w:hRule="atLeast"/>
        </w:trPr>
        <w:tc>
          <w:tcPr>
            <w:tcW w:w="9000" w:type="dxa"/>
            <w:gridSpan w:val="19"/>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注：本表反映部门本年度各项支出情况。</w:t>
            </w:r>
          </w:p>
        </w:tc>
      </w:tr>
    </w:tbl>
    <w:p>
      <w:pPr>
        <w:widowControl/>
        <w:spacing w:after="0" w:line="560" w:lineRule="exact"/>
        <w:ind w:firstLine="562" w:firstLineChars="200"/>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3"/>
        <w:tblW w:w="8940" w:type="dxa"/>
        <w:tblInd w:w="0" w:type="dxa"/>
        <w:tblLayout w:type="fixed"/>
        <w:tblCellMar>
          <w:top w:w="0" w:type="dxa"/>
          <w:left w:w="0" w:type="dxa"/>
          <w:bottom w:w="0" w:type="dxa"/>
          <w:right w:w="0" w:type="dxa"/>
        </w:tblCellMar>
      </w:tblPr>
      <w:tblGrid>
        <w:gridCol w:w="1717"/>
        <w:gridCol w:w="745"/>
        <w:gridCol w:w="325"/>
        <w:gridCol w:w="850"/>
        <w:gridCol w:w="2124"/>
        <w:gridCol w:w="191"/>
        <w:gridCol w:w="360"/>
        <w:gridCol w:w="650"/>
        <w:gridCol w:w="226"/>
        <w:gridCol w:w="599"/>
        <w:gridCol w:w="277"/>
        <w:gridCol w:w="876"/>
      </w:tblGrid>
      <w:tr>
        <w:tblPrEx>
          <w:tblCellMar>
            <w:top w:w="0" w:type="dxa"/>
            <w:left w:w="0" w:type="dxa"/>
            <w:bottom w:w="0" w:type="dxa"/>
            <w:right w:w="0" w:type="dxa"/>
          </w:tblCellMar>
        </w:tblPrEx>
        <w:trPr>
          <w:trHeight w:val="152" w:hRule="atLeast"/>
        </w:trPr>
        <w:tc>
          <w:tcPr>
            <w:tcW w:w="8940" w:type="dxa"/>
            <w:gridSpan w:val="12"/>
            <w:tcBorders>
              <w:top w:val="nil"/>
              <w:left w:val="nil"/>
              <w:bottom w:val="nil"/>
              <w:right w:val="nil"/>
            </w:tcBorders>
            <w:noWrap/>
            <w:tcMar>
              <w:top w:w="15" w:type="dxa"/>
              <w:left w:w="15" w:type="dxa"/>
              <w:right w:w="15" w:type="dxa"/>
            </w:tcMar>
            <w:vAlign w:val="center"/>
          </w:tcPr>
          <w:p>
            <w:pPr>
              <w:widowControl/>
              <w:spacing w:after="0" w:line="240" w:lineRule="atLeast"/>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财政拨款收入支出决</w:t>
            </w:r>
            <w:r>
              <w:pict>
                <v:group id="组合 43" o:spid="_x0000_s1050" o:spt="203" style="position:absolute;left:0pt;margin-left:-80.9pt;margin-top:-81.1pt;height:41.2pt;width:243.2pt;mso-position-vertical-relative:page;z-index:251677696;mso-width-relative:page;mso-height-relative:page;" coordorigin="4551,52615" coordsize="8546,1398">
                  <o:lock v:ext="edit"/>
                  <v:rect id="矩形 13" o:spid="_x0000_s1051" o:spt="1" style="position:absolute;left:4551;top:52615;height:1175;width:8546;v-text-anchor:middle;" fillcolor="#96DA9D" filled="t" stroked="f" coordsize="21600,21600">
                    <v:path/>
                    <v:fill on="t" focussize="0,0"/>
                    <v:stroke on="f" weight="2pt"/>
                    <v:imagedata o:title=""/>
                    <o:lock v:ext="edit"/>
                  </v:rect>
                  <v:rect id="矩形 14" o:spid="_x0000_s1052"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算总表</w:t>
            </w:r>
          </w:p>
        </w:tc>
      </w:tr>
      <w:tr>
        <w:tblPrEx>
          <w:tblCellMar>
            <w:top w:w="0" w:type="dxa"/>
            <w:left w:w="0" w:type="dxa"/>
            <w:bottom w:w="0" w:type="dxa"/>
            <w:right w:w="0" w:type="dxa"/>
          </w:tblCellMar>
        </w:tblPrEx>
        <w:trPr>
          <w:trHeight w:val="90" w:hRule="atLeast"/>
        </w:trPr>
        <w:tc>
          <w:tcPr>
            <w:tcW w:w="171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745"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325"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2974"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551"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65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825"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153" w:type="dxa"/>
            <w:gridSpan w:val="2"/>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04</w:t>
            </w:r>
            <w:r>
              <w:rPr>
                <w:rFonts w:hint="eastAsia" w:ascii="宋体" w:hAnsi="宋体" w:cs="宋体"/>
                <w:color w:val="000000"/>
                <w:kern w:val="0"/>
                <w:sz w:val="20"/>
                <w:szCs w:val="20"/>
              </w:rPr>
              <w:t>表</w:t>
            </w:r>
          </w:p>
        </w:tc>
      </w:tr>
      <w:tr>
        <w:tblPrEx>
          <w:tblCellMar>
            <w:top w:w="0" w:type="dxa"/>
            <w:left w:w="0" w:type="dxa"/>
            <w:bottom w:w="0" w:type="dxa"/>
            <w:right w:w="0" w:type="dxa"/>
          </w:tblCellMar>
        </w:tblPrEx>
        <w:trPr>
          <w:trHeight w:val="152" w:hRule="atLeast"/>
        </w:trPr>
        <w:tc>
          <w:tcPr>
            <w:tcW w:w="6312" w:type="dxa"/>
            <w:gridSpan w:val="7"/>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20"/>
                <w:szCs w:val="20"/>
              </w:rPr>
            </w:pPr>
            <w:r>
              <w:rPr>
                <w:rFonts w:hint="eastAsia" w:ascii="宋体" w:hAnsi="宋体" w:cs="宋体"/>
                <w:color w:val="000000"/>
                <w:kern w:val="0"/>
                <w:sz w:val="20"/>
                <w:szCs w:val="20"/>
              </w:rPr>
              <w:t>部门：</w:t>
            </w:r>
          </w:p>
        </w:tc>
        <w:tc>
          <w:tcPr>
            <w:tcW w:w="65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978" w:type="dxa"/>
            <w:gridSpan w:val="4"/>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90" w:hRule="atLeast"/>
        </w:trPr>
        <w:tc>
          <w:tcPr>
            <w:tcW w:w="2787"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收</w:t>
            </w:r>
            <w:r>
              <w:rPr>
                <w:rFonts w:ascii="宋体" w:hAnsi="宋体" w:cs="宋体"/>
                <w:color w:val="000000"/>
                <w:kern w:val="0"/>
                <w:sz w:val="20"/>
                <w:szCs w:val="20"/>
              </w:rPr>
              <w:t xml:space="preserve">     </w:t>
            </w:r>
            <w:r>
              <w:rPr>
                <w:rFonts w:hint="eastAsia" w:ascii="宋体" w:hAnsi="宋体" w:cs="宋体"/>
                <w:color w:val="000000"/>
                <w:kern w:val="0"/>
                <w:sz w:val="20"/>
                <w:szCs w:val="20"/>
              </w:rPr>
              <w:t>入</w:t>
            </w:r>
          </w:p>
        </w:tc>
        <w:tc>
          <w:tcPr>
            <w:tcW w:w="6153" w:type="dxa"/>
            <w:gridSpan w:val="9"/>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支</w:t>
            </w:r>
            <w:r>
              <w:rPr>
                <w:rFonts w:ascii="宋体" w:hAnsi="宋体" w:cs="宋体"/>
                <w:color w:val="000000"/>
                <w:kern w:val="0"/>
                <w:sz w:val="20"/>
                <w:szCs w:val="20"/>
              </w:rPr>
              <w:t xml:space="preserve">     </w:t>
            </w:r>
            <w:r>
              <w:rPr>
                <w:rFonts w:hint="eastAsia" w:ascii="宋体" w:hAnsi="宋体" w:cs="宋体"/>
                <w:color w:val="000000"/>
                <w:kern w:val="0"/>
                <w:sz w:val="20"/>
                <w:szCs w:val="20"/>
              </w:rPr>
              <w:t>出</w:t>
            </w:r>
          </w:p>
        </w:tc>
      </w:tr>
      <w:tr>
        <w:tblPrEx>
          <w:tblCellMar>
            <w:top w:w="0" w:type="dxa"/>
            <w:left w:w="0" w:type="dxa"/>
            <w:bottom w:w="0" w:type="dxa"/>
            <w:right w:w="0" w:type="dxa"/>
          </w:tblCellMar>
        </w:tblPrEx>
        <w:trPr>
          <w:trHeight w:val="17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项目</w:t>
            </w:r>
          </w:p>
        </w:tc>
        <w:tc>
          <w:tcPr>
            <w:tcW w:w="32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行次</w:t>
            </w:r>
          </w:p>
        </w:tc>
        <w:tc>
          <w:tcPr>
            <w:tcW w:w="85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金额</w:t>
            </w:r>
          </w:p>
        </w:tc>
        <w:tc>
          <w:tcPr>
            <w:tcW w:w="231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项目</w:t>
            </w:r>
          </w:p>
        </w:tc>
        <w:tc>
          <w:tcPr>
            <w:tcW w:w="36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行次</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合计</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一般公共预算财政拨款</w:t>
            </w:r>
          </w:p>
        </w:tc>
        <w:tc>
          <w:tcPr>
            <w:tcW w:w="87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政府性基金预算财政拨款</w:t>
            </w: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栏次</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 w:val="18"/>
                <w:szCs w:val="18"/>
              </w:rPr>
            </w:pP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栏次</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w:t>
            </w: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一、一般公共预算财政拨款</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 w:val="18"/>
                <w:szCs w:val="18"/>
                <w:lang w:val="en-US" w:eastAsia="zh-CN"/>
              </w:rPr>
            </w:pPr>
            <w:r>
              <w:rPr>
                <w:rFonts w:hint="eastAsia" w:ascii="宋体" w:cs="宋体"/>
                <w:color w:val="000000"/>
                <w:sz w:val="18"/>
                <w:szCs w:val="18"/>
                <w:lang w:val="en-US" w:eastAsia="zh-CN"/>
              </w:rPr>
              <w:t>389.88</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一、一般公共服务支出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29</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 w:val="18"/>
                <w:szCs w:val="18"/>
                <w:lang w:val="en-US" w:eastAsia="zh-CN"/>
              </w:rPr>
            </w:pPr>
            <w:r>
              <w:rPr>
                <w:rFonts w:hint="eastAsia" w:ascii="宋体" w:cs="宋体"/>
                <w:color w:val="000000"/>
                <w:sz w:val="18"/>
                <w:szCs w:val="18"/>
                <w:lang w:val="en-US" w:eastAsia="zh-CN"/>
              </w:rPr>
              <w:t>348.38</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 w:val="18"/>
                <w:szCs w:val="18"/>
                <w:lang w:val="en-US" w:eastAsia="zh-CN"/>
              </w:rPr>
            </w:pPr>
            <w:r>
              <w:rPr>
                <w:rFonts w:hint="eastAsia" w:ascii="宋体" w:cs="宋体"/>
                <w:color w:val="000000"/>
                <w:sz w:val="18"/>
                <w:szCs w:val="18"/>
                <w:lang w:val="en-US" w:eastAsia="zh-CN"/>
              </w:rPr>
              <w:t>348.38</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二、政府性基金预算财政拨款</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二、外交支出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30</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三、国防支出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31</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四、公共安全支出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五、教育支出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33</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6</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六、科学技术支出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34</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7</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七、文化体育与传媒支出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35</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8</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八、社会保障和就业支出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36</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 w:val="18"/>
                <w:szCs w:val="18"/>
                <w:lang w:val="en-US" w:eastAsia="zh-CN"/>
              </w:rPr>
            </w:pPr>
            <w:r>
              <w:rPr>
                <w:rFonts w:hint="eastAsia" w:ascii="宋体" w:cs="宋体"/>
                <w:color w:val="000000"/>
                <w:sz w:val="18"/>
                <w:szCs w:val="18"/>
                <w:lang w:val="en-US" w:eastAsia="zh-CN"/>
              </w:rPr>
              <w:t>25.98</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 w:val="18"/>
                <w:szCs w:val="18"/>
                <w:lang w:val="en-US" w:eastAsia="zh-CN"/>
              </w:rPr>
            </w:pPr>
            <w:r>
              <w:rPr>
                <w:rFonts w:hint="eastAsia" w:ascii="宋体" w:cs="宋体"/>
                <w:color w:val="000000"/>
                <w:sz w:val="18"/>
                <w:szCs w:val="18"/>
                <w:lang w:val="en-US" w:eastAsia="zh-CN"/>
              </w:rPr>
              <w:t>25.98</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9</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6"/>
                <w:szCs w:val="16"/>
              </w:rPr>
              <w:t>九、医疗卫生与计划生育支出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37</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10</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十、节能环保支出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38</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11</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十一、城乡社区支出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39</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12</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十二、农林水支出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40</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13</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十三、交通运输支出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41</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14</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十四、资源勘探信息等支出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15</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十五、商业服务业等支出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43</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16</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十六、金融支出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44</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17</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十七、援助其他地区支出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45</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18</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十八、国土海洋气象等支出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46</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19</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十九、住房保障支出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47</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 w:val="18"/>
                <w:szCs w:val="18"/>
                <w:lang w:val="en-US" w:eastAsia="zh-CN"/>
              </w:rPr>
            </w:pPr>
            <w:r>
              <w:rPr>
                <w:rFonts w:hint="eastAsia" w:ascii="宋体" w:cs="宋体"/>
                <w:color w:val="000000"/>
                <w:sz w:val="18"/>
                <w:szCs w:val="18"/>
                <w:lang w:val="en-US" w:eastAsia="zh-CN"/>
              </w:rPr>
              <w:t>15.52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 w:val="18"/>
                <w:szCs w:val="18"/>
                <w:lang w:val="en-US" w:eastAsia="zh-CN"/>
              </w:rPr>
            </w:pPr>
            <w:r>
              <w:rPr>
                <w:rFonts w:hint="eastAsia" w:ascii="宋体" w:cs="宋体"/>
                <w:color w:val="000000"/>
                <w:sz w:val="18"/>
                <w:szCs w:val="18"/>
                <w:lang w:val="en-US" w:eastAsia="zh-CN"/>
              </w:rPr>
              <w:t>15.52</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20</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二十、粮油物资储备支出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48</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21</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二十一、其他支出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49</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22</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二十二、债务还本支出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50</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23</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二十三、债务付息支出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51</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b/>
                <w:color w:val="000000"/>
                <w:sz w:val="18"/>
                <w:szCs w:val="18"/>
              </w:rPr>
            </w:pPr>
            <w:r>
              <w:rPr>
                <w:rFonts w:hint="eastAsia" w:ascii="宋体" w:hAnsi="宋体" w:cs="宋体"/>
                <w:b/>
                <w:color w:val="000000"/>
                <w:kern w:val="0"/>
                <w:sz w:val="18"/>
                <w:szCs w:val="18"/>
              </w:rPr>
              <w:t>本年收入合计</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24</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 w:val="18"/>
                <w:szCs w:val="18"/>
                <w:lang w:val="en-US" w:eastAsia="zh-CN"/>
              </w:rPr>
            </w:pPr>
            <w:r>
              <w:rPr>
                <w:rFonts w:hint="eastAsia" w:ascii="宋体" w:cs="宋体"/>
                <w:color w:val="000000"/>
                <w:sz w:val="18"/>
                <w:szCs w:val="18"/>
                <w:lang w:val="en-US" w:eastAsia="zh-CN"/>
              </w:rPr>
              <w:t>389.88</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b/>
                <w:color w:val="000000"/>
                <w:sz w:val="18"/>
                <w:szCs w:val="18"/>
              </w:rPr>
            </w:pPr>
            <w:r>
              <w:rPr>
                <w:rFonts w:hint="eastAsia" w:ascii="宋体" w:hAnsi="宋体" w:cs="宋体"/>
                <w:b/>
                <w:color w:val="000000"/>
                <w:kern w:val="0"/>
                <w:sz w:val="18"/>
                <w:szCs w:val="18"/>
              </w:rPr>
              <w:t>本年支出合计</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 w:val="18"/>
                <w:szCs w:val="18"/>
                <w:lang w:val="en-US" w:eastAsia="zh-CN"/>
              </w:rPr>
            </w:pPr>
            <w:r>
              <w:rPr>
                <w:rFonts w:hint="eastAsia" w:ascii="宋体" w:cs="宋体"/>
                <w:color w:val="000000"/>
                <w:sz w:val="18"/>
                <w:szCs w:val="18"/>
                <w:lang w:val="en-US" w:eastAsia="zh-CN"/>
              </w:rPr>
              <w:t>389.88</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 w:val="18"/>
                <w:szCs w:val="18"/>
                <w:lang w:val="en-US" w:eastAsia="zh-CN"/>
              </w:rPr>
            </w:pPr>
            <w:r>
              <w:rPr>
                <w:rFonts w:hint="eastAsia" w:ascii="宋体" w:cs="宋体"/>
                <w:color w:val="000000"/>
                <w:sz w:val="18"/>
                <w:szCs w:val="18"/>
                <w:lang w:val="en-US" w:eastAsia="zh-CN"/>
              </w:rPr>
              <w:t>389.88</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年初财政拨款结转和结余</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25</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年末财政拨款结转和结余</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53</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ascii="宋体" w:hAnsi="宋体" w:cs="宋体"/>
                <w:color w:val="000000"/>
                <w:kern w:val="0"/>
                <w:sz w:val="18"/>
                <w:szCs w:val="18"/>
              </w:rPr>
              <w:t xml:space="preserve">  </w:t>
            </w:r>
            <w:r>
              <w:rPr>
                <w:rFonts w:hint="eastAsia" w:ascii="宋体" w:hAnsi="宋体" w:cs="宋体"/>
                <w:color w:val="000000"/>
                <w:kern w:val="0"/>
                <w:sz w:val="18"/>
                <w:szCs w:val="18"/>
              </w:rPr>
              <w:t>一般公共预算财政拨款</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26</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54</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ascii="宋体" w:hAnsi="宋体" w:cs="宋体"/>
                <w:color w:val="000000"/>
                <w:kern w:val="0"/>
                <w:sz w:val="18"/>
                <w:szCs w:val="18"/>
              </w:rPr>
              <w:t xml:space="preserve">  </w:t>
            </w:r>
            <w:r>
              <w:rPr>
                <w:rFonts w:hint="eastAsia" w:ascii="宋体" w:hAnsi="宋体" w:cs="宋体"/>
                <w:color w:val="000000"/>
                <w:kern w:val="0"/>
                <w:sz w:val="18"/>
                <w:szCs w:val="18"/>
              </w:rPr>
              <w:t>政府性基金预算财政拨款</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27</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55</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b/>
                <w:color w:val="000000"/>
                <w:sz w:val="18"/>
                <w:szCs w:val="18"/>
              </w:rPr>
            </w:pPr>
            <w:r>
              <w:rPr>
                <w:rFonts w:hint="eastAsia" w:ascii="宋体" w:hAnsi="宋体" w:cs="宋体"/>
                <w:b/>
                <w:color w:val="000000"/>
                <w:kern w:val="0"/>
                <w:sz w:val="18"/>
                <w:szCs w:val="18"/>
              </w:rPr>
              <w:t>总计</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28</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 w:val="18"/>
                <w:szCs w:val="18"/>
                <w:lang w:val="en-US" w:eastAsia="zh-CN"/>
              </w:rPr>
            </w:pPr>
            <w:r>
              <w:rPr>
                <w:rFonts w:hint="eastAsia" w:ascii="宋体" w:cs="宋体"/>
                <w:color w:val="000000"/>
                <w:sz w:val="18"/>
                <w:szCs w:val="18"/>
                <w:lang w:val="en-US" w:eastAsia="zh-CN"/>
              </w:rPr>
              <w:t>389.88</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b/>
                <w:color w:val="000000"/>
                <w:sz w:val="18"/>
                <w:szCs w:val="18"/>
              </w:rPr>
            </w:pPr>
            <w:r>
              <w:rPr>
                <w:rFonts w:hint="eastAsia" w:ascii="宋体" w:hAnsi="宋体" w:cs="宋体"/>
                <w:b/>
                <w:color w:val="000000"/>
                <w:kern w:val="0"/>
                <w:sz w:val="18"/>
                <w:szCs w:val="18"/>
              </w:rPr>
              <w:t>总计</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56</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 w:val="18"/>
                <w:szCs w:val="18"/>
                <w:lang w:val="en-US" w:eastAsia="zh-CN"/>
              </w:rPr>
            </w:pPr>
            <w:r>
              <w:rPr>
                <w:rFonts w:hint="eastAsia" w:ascii="宋体" w:cs="宋体"/>
                <w:color w:val="000000"/>
                <w:sz w:val="18"/>
                <w:szCs w:val="18"/>
                <w:lang w:val="en-US" w:eastAsia="zh-CN"/>
              </w:rPr>
              <w:t>389.88</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 w:val="18"/>
                <w:szCs w:val="18"/>
                <w:lang w:val="en-US" w:eastAsia="zh-CN"/>
              </w:rPr>
            </w:pPr>
            <w:r>
              <w:rPr>
                <w:rFonts w:hint="eastAsia" w:ascii="宋体" w:cs="宋体"/>
                <w:color w:val="000000"/>
                <w:sz w:val="18"/>
                <w:szCs w:val="18"/>
                <w:lang w:val="en-US" w:eastAsia="zh-CN"/>
              </w:rPr>
              <w:t>389.88</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155" w:hRule="atLeast"/>
        </w:trPr>
        <w:tc>
          <w:tcPr>
            <w:tcW w:w="8940" w:type="dxa"/>
            <w:gridSpan w:val="12"/>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注：本表反映部门本年度一般公共预算财政拨款和政府性基金预算财政拨款的总收支和年末结转结余情况。</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3"/>
        <w:tblW w:w="8860" w:type="dxa"/>
        <w:tblInd w:w="0" w:type="dxa"/>
        <w:tblLayout w:type="fixed"/>
        <w:tblCellMar>
          <w:top w:w="0" w:type="dxa"/>
          <w:left w:w="0" w:type="dxa"/>
          <w:bottom w:w="0" w:type="dxa"/>
          <w:right w:w="0" w:type="dxa"/>
        </w:tblCellMar>
      </w:tblPr>
      <w:tblGrid>
        <w:gridCol w:w="317"/>
        <w:gridCol w:w="319"/>
        <w:gridCol w:w="357"/>
        <w:gridCol w:w="2109"/>
        <w:gridCol w:w="745"/>
        <w:gridCol w:w="1174"/>
        <w:gridCol w:w="718"/>
        <w:gridCol w:w="1201"/>
        <w:gridCol w:w="1920"/>
      </w:tblGrid>
      <w:tr>
        <w:tblPrEx>
          <w:tblCellMar>
            <w:top w:w="0" w:type="dxa"/>
            <w:left w:w="0" w:type="dxa"/>
            <w:bottom w:w="0" w:type="dxa"/>
            <w:right w:w="0" w:type="dxa"/>
          </w:tblCellMar>
        </w:tblPrEx>
        <w:trPr>
          <w:trHeight w:val="600" w:hRule="atLeast"/>
        </w:trPr>
        <w:tc>
          <w:tcPr>
            <w:tcW w:w="8860" w:type="dxa"/>
            <w:gridSpan w:val="9"/>
            <w:tcBorders>
              <w:top w:val="nil"/>
              <w:left w:val="nil"/>
              <w:bottom w:val="nil"/>
              <w:right w:val="nil"/>
            </w:tcBorders>
            <w:noWrap/>
            <w:tcMar>
              <w:top w:w="15" w:type="dxa"/>
              <w:left w:w="15" w:type="dxa"/>
              <w:right w:w="15" w:type="dxa"/>
            </w:tcMar>
            <w:vAlign w:val="bottom"/>
          </w:tcPr>
          <w:p>
            <w:pPr>
              <w:widowControl/>
              <w:spacing w:after="0" w:line="240" w:lineRule="auto"/>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w:t>
            </w:r>
            <w:r>
              <w:pict>
                <v:group id="组合 46" o:spid="_x0000_s1053" o:spt="203" style="position:absolute;left:0pt;margin-left:-80.9pt;margin-top:-81.1pt;height:41.2pt;width:243.2pt;mso-position-vertical-relative:page;z-index:251678720;mso-width-relative:page;mso-height-relative:page;" coordorigin="4551,52615" coordsize="8546,1398">
                  <o:lock v:ext="edit"/>
                  <v:rect id="矩形 13" o:spid="_x0000_s1054" o:spt="1" style="position:absolute;left:4551;top:52615;height:1175;width:8546;v-text-anchor:middle;" fillcolor="#96DA9D" filled="t" stroked="f" coordsize="21600,21600">
                    <v:path/>
                    <v:fill on="t" focussize="0,0"/>
                    <v:stroke on="f" weight="2pt"/>
                    <v:imagedata o:title=""/>
                    <o:lock v:ext="edit"/>
                  </v:rect>
                  <v:rect id="矩形 14" o:spid="_x0000_s1055"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款支出决算表</w:t>
            </w:r>
          </w:p>
        </w:tc>
      </w:tr>
      <w:tr>
        <w:tblPrEx>
          <w:tblCellMar>
            <w:top w:w="0" w:type="dxa"/>
            <w:left w:w="0" w:type="dxa"/>
            <w:bottom w:w="0" w:type="dxa"/>
            <w:right w:w="0" w:type="dxa"/>
          </w:tblCellMar>
        </w:tblPrEx>
        <w:trPr>
          <w:trHeight w:val="334" w:hRule="atLeast"/>
        </w:trPr>
        <w:tc>
          <w:tcPr>
            <w:tcW w:w="31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9"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5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109"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745"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892"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05</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334" w:hRule="atLeast"/>
        </w:trPr>
        <w:tc>
          <w:tcPr>
            <w:tcW w:w="3847" w:type="dxa"/>
            <w:gridSpan w:val="5"/>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部门：</w:t>
            </w:r>
          </w:p>
        </w:tc>
        <w:tc>
          <w:tcPr>
            <w:tcW w:w="1892"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51" w:hRule="atLeast"/>
        </w:trPr>
        <w:tc>
          <w:tcPr>
            <w:tcW w:w="3102" w:type="dxa"/>
            <w:gridSpan w:val="4"/>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项目</w:t>
            </w:r>
          </w:p>
        </w:tc>
        <w:tc>
          <w:tcPr>
            <w:tcW w:w="5758" w:type="dxa"/>
            <w:gridSpan w:val="5"/>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本年支出</w:t>
            </w:r>
          </w:p>
        </w:tc>
      </w:tr>
      <w:tr>
        <w:tblPrEx>
          <w:tblCellMar>
            <w:top w:w="0" w:type="dxa"/>
            <w:left w:w="0" w:type="dxa"/>
            <w:bottom w:w="0" w:type="dxa"/>
            <w:right w:w="0" w:type="dxa"/>
          </w:tblCellMar>
        </w:tblPrEx>
        <w:trPr>
          <w:trHeight w:val="334" w:hRule="atLeast"/>
        </w:trPr>
        <w:tc>
          <w:tcPr>
            <w:tcW w:w="993" w:type="dxa"/>
            <w:gridSpan w:val="3"/>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功能分类科目编码</w:t>
            </w:r>
          </w:p>
        </w:tc>
        <w:tc>
          <w:tcPr>
            <w:tcW w:w="2109"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科目名称</w:t>
            </w:r>
          </w:p>
        </w:tc>
        <w:tc>
          <w:tcPr>
            <w:tcW w:w="1919" w:type="dxa"/>
            <w:gridSpan w:val="2"/>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小计</w:t>
            </w:r>
          </w:p>
        </w:tc>
        <w:tc>
          <w:tcPr>
            <w:tcW w:w="1919" w:type="dxa"/>
            <w:gridSpan w:val="2"/>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基本支出</w:t>
            </w:r>
          </w:p>
        </w:tc>
        <w:tc>
          <w:tcPr>
            <w:tcW w:w="1920"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项目支出</w:t>
            </w:r>
          </w:p>
        </w:tc>
      </w:tr>
      <w:tr>
        <w:tblPrEx>
          <w:tblCellMar>
            <w:top w:w="0" w:type="dxa"/>
            <w:left w:w="0" w:type="dxa"/>
            <w:bottom w:w="0" w:type="dxa"/>
            <w:right w:w="0" w:type="dxa"/>
          </w:tblCellMar>
        </w:tblPrEx>
        <w:trPr>
          <w:trHeight w:val="334" w:hRule="atLeast"/>
        </w:trPr>
        <w:tc>
          <w:tcPr>
            <w:tcW w:w="993"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2109"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19"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19"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20"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r>
      <w:tr>
        <w:tblPrEx>
          <w:tblCellMar>
            <w:top w:w="0" w:type="dxa"/>
            <w:left w:w="0" w:type="dxa"/>
            <w:bottom w:w="0" w:type="dxa"/>
            <w:right w:w="0" w:type="dxa"/>
          </w:tblCellMar>
        </w:tblPrEx>
        <w:trPr>
          <w:trHeight w:val="312" w:hRule="atLeast"/>
        </w:trPr>
        <w:tc>
          <w:tcPr>
            <w:tcW w:w="993"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2109"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19"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19"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20"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r>
      <w:tr>
        <w:tblPrEx>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栏次</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1</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2</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3</w:t>
            </w:r>
          </w:p>
        </w:tc>
      </w:tr>
      <w:tr>
        <w:tblPrEx>
          <w:tblCellMar>
            <w:top w:w="0" w:type="dxa"/>
            <w:left w:w="0" w:type="dxa"/>
            <w:bottom w:w="0" w:type="dxa"/>
            <w:right w:w="0" w:type="dxa"/>
          </w:tblCellMar>
        </w:tblPrEx>
        <w:trPr>
          <w:trHeight w:val="356" w:hRule="atLeast"/>
        </w:trPr>
        <w:tc>
          <w:tcPr>
            <w:tcW w:w="3102"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合计</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b/>
                <w:color w:val="000000"/>
                <w:szCs w:val="21"/>
                <w:lang w:val="en-US" w:eastAsia="zh-CN"/>
              </w:rPr>
            </w:pPr>
            <w:r>
              <w:rPr>
                <w:rFonts w:hint="eastAsia" w:ascii="宋体" w:cs="宋体"/>
                <w:b/>
                <w:color w:val="000000"/>
                <w:szCs w:val="21"/>
                <w:lang w:val="en-US" w:eastAsia="zh-CN"/>
              </w:rPr>
              <w:t>389.88</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b/>
                <w:color w:val="000000"/>
                <w:szCs w:val="21"/>
                <w:lang w:val="en-US" w:eastAsia="zh-CN"/>
              </w:rPr>
            </w:pPr>
            <w:r>
              <w:rPr>
                <w:rFonts w:hint="eastAsia" w:ascii="宋体" w:cs="宋体"/>
                <w:b/>
                <w:color w:val="000000"/>
                <w:szCs w:val="21"/>
                <w:lang w:val="en-US" w:eastAsia="zh-CN"/>
              </w:rPr>
              <w:t>389.88</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201</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 xml:space="preserve"> 一般公共服务支出</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348.38</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348.38</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20105</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hAnsi="Times New Roman" w:eastAsia="宋体" w:cs="宋体"/>
                <w:color w:val="000000"/>
                <w:kern w:val="2"/>
                <w:sz w:val="21"/>
                <w:szCs w:val="21"/>
                <w:lang w:val="en-US" w:eastAsia="zh-CN" w:bidi="ar-SA"/>
              </w:rPr>
            </w:pPr>
            <w:r>
              <w:rPr>
                <w:rFonts w:hint="eastAsia" w:ascii="宋体" w:cs="宋体"/>
                <w:color w:val="000000"/>
                <w:szCs w:val="21"/>
                <w:lang w:eastAsia="zh-CN"/>
              </w:rPr>
              <w:t>统计信息事务</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348.38</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348.38</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2010501</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 xml:space="preserve">  行政运行</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214.95</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214.95</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2010502</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hAnsi="Times New Roman" w:eastAsia="宋体" w:cs="宋体"/>
                <w:color w:val="000000"/>
                <w:kern w:val="2"/>
                <w:sz w:val="21"/>
                <w:szCs w:val="21"/>
                <w:lang w:val="en-US" w:eastAsia="zh-CN" w:bidi="ar-SA"/>
              </w:rPr>
            </w:pPr>
            <w:r>
              <w:rPr>
                <w:rFonts w:hint="eastAsia" w:ascii="宋体" w:cs="宋体"/>
                <w:color w:val="000000"/>
                <w:szCs w:val="21"/>
              </w:rPr>
              <w:t>一般行政管理事务</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11.40</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11.40</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2010505</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ind w:firstLine="210" w:firstLineChars="100"/>
              <w:jc w:val="left"/>
              <w:rPr>
                <w:rFonts w:ascii="宋体" w:hAnsi="Times New Roman" w:eastAsia="宋体" w:cs="宋体"/>
                <w:color w:val="000000"/>
                <w:kern w:val="2"/>
                <w:sz w:val="21"/>
                <w:szCs w:val="21"/>
                <w:lang w:val="en-US" w:eastAsia="zh-CN" w:bidi="ar-SA"/>
              </w:rPr>
            </w:pPr>
            <w:r>
              <w:rPr>
                <w:rFonts w:hint="eastAsia" w:ascii="宋体" w:cs="宋体"/>
                <w:color w:val="000000"/>
                <w:szCs w:val="21"/>
              </w:rPr>
              <w:t>专项统计业务</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29.74</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29.74</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2010506</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ind w:firstLine="210" w:firstLineChars="100"/>
              <w:jc w:val="left"/>
              <w:rPr>
                <w:rFonts w:ascii="宋体" w:hAnsi="Times New Roman" w:eastAsia="宋体" w:cs="宋体"/>
                <w:color w:val="000000"/>
                <w:kern w:val="2"/>
                <w:sz w:val="21"/>
                <w:szCs w:val="21"/>
                <w:lang w:val="en-US" w:eastAsia="zh-CN" w:bidi="ar-SA"/>
              </w:rPr>
            </w:pPr>
            <w:r>
              <w:rPr>
                <w:rFonts w:hint="eastAsia" w:ascii="宋体" w:cs="宋体"/>
                <w:color w:val="000000"/>
                <w:szCs w:val="21"/>
              </w:rPr>
              <w:t>统计管理</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6.59</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6.59</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2010507</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ind w:firstLine="210" w:firstLineChars="100"/>
              <w:jc w:val="left"/>
              <w:rPr>
                <w:rFonts w:ascii="宋体" w:hAnsi="Times New Roman" w:eastAsia="宋体" w:cs="宋体"/>
                <w:color w:val="000000"/>
                <w:kern w:val="2"/>
                <w:sz w:val="21"/>
                <w:szCs w:val="21"/>
                <w:lang w:val="en-US" w:eastAsia="zh-CN" w:bidi="ar-SA"/>
              </w:rPr>
            </w:pPr>
            <w:r>
              <w:rPr>
                <w:rFonts w:hint="eastAsia" w:ascii="宋体" w:cs="宋体"/>
                <w:color w:val="000000"/>
                <w:szCs w:val="21"/>
              </w:rPr>
              <w:t>专项普查活动</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49.90</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49.90</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2010550</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 xml:space="preserve">  事业运行</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35.80</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35.80</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208</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hAnsi="Times New Roman" w:eastAsia="宋体" w:cs="宋体"/>
                <w:color w:val="000000"/>
                <w:kern w:val="2"/>
                <w:sz w:val="21"/>
                <w:szCs w:val="21"/>
                <w:lang w:val="en-US" w:eastAsia="zh-CN" w:bidi="ar-SA"/>
              </w:rPr>
            </w:pPr>
            <w:r>
              <w:rPr>
                <w:rFonts w:hint="eastAsia" w:ascii="宋体" w:cs="宋体"/>
                <w:color w:val="000000"/>
                <w:szCs w:val="21"/>
              </w:rPr>
              <w:t>社会保障和就业支出</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25.98</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25.98</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20805</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hAnsi="Times New Roman" w:eastAsia="宋体" w:cs="宋体"/>
                <w:color w:val="000000"/>
                <w:kern w:val="2"/>
                <w:sz w:val="21"/>
                <w:szCs w:val="21"/>
                <w:lang w:val="en-US" w:eastAsia="zh-CN" w:bidi="ar-SA"/>
              </w:rPr>
            </w:pPr>
            <w:r>
              <w:rPr>
                <w:rFonts w:hint="eastAsia" w:ascii="宋体" w:cs="宋体"/>
                <w:color w:val="000000"/>
                <w:szCs w:val="21"/>
              </w:rPr>
              <w:t>行政事业单位离退休</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25.98</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25.98</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2080501</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hAnsi="Times New Roman" w:eastAsia="宋体" w:cs="宋体"/>
                <w:color w:val="000000"/>
                <w:kern w:val="2"/>
                <w:sz w:val="21"/>
                <w:szCs w:val="21"/>
                <w:lang w:val="en-US" w:eastAsia="zh-CN" w:bidi="ar-SA"/>
              </w:rPr>
            </w:pPr>
            <w:r>
              <w:rPr>
                <w:rFonts w:hint="eastAsia" w:ascii="宋体" w:cs="宋体"/>
                <w:color w:val="000000"/>
                <w:szCs w:val="21"/>
              </w:rPr>
              <w:t>归口管理的行政单位离退休</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2.15</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2.15</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2080505</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hAnsi="Times New Roman" w:eastAsia="宋体" w:cs="宋体"/>
                <w:color w:val="000000"/>
                <w:kern w:val="2"/>
                <w:sz w:val="21"/>
                <w:szCs w:val="21"/>
                <w:lang w:val="en-US" w:eastAsia="zh-CN" w:bidi="ar-SA"/>
              </w:rPr>
            </w:pPr>
            <w:r>
              <w:rPr>
                <w:rFonts w:hint="eastAsia" w:ascii="宋体" w:cs="宋体"/>
                <w:color w:val="000000"/>
                <w:szCs w:val="21"/>
              </w:rPr>
              <w:t>机关事业单位基本养老保险缴费支出</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23.83</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23.83</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221</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hAnsi="Times New Roman" w:eastAsia="宋体" w:cs="宋体"/>
                <w:color w:val="000000"/>
                <w:kern w:val="2"/>
                <w:sz w:val="21"/>
                <w:szCs w:val="21"/>
                <w:lang w:val="en-US" w:eastAsia="zh-CN" w:bidi="ar-SA"/>
              </w:rPr>
            </w:pPr>
            <w:r>
              <w:rPr>
                <w:rFonts w:hint="eastAsia" w:ascii="宋体" w:cs="宋体"/>
                <w:color w:val="000000"/>
                <w:szCs w:val="21"/>
              </w:rPr>
              <w:t>住房保障支出</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15.52</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15.52</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22102</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hAnsi="Times New Roman" w:eastAsia="宋体" w:cs="宋体"/>
                <w:color w:val="000000"/>
                <w:kern w:val="2"/>
                <w:sz w:val="21"/>
                <w:szCs w:val="21"/>
                <w:lang w:val="en-US" w:eastAsia="zh-CN" w:bidi="ar-SA"/>
              </w:rPr>
            </w:pPr>
            <w:r>
              <w:rPr>
                <w:rFonts w:hint="eastAsia" w:ascii="宋体" w:cs="宋体"/>
                <w:color w:val="000000"/>
                <w:szCs w:val="21"/>
              </w:rPr>
              <w:t>住房改革支出</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15.52</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15.52</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2210201</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 xml:space="preserve">  住房公积金</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15.52</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15.52</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8860" w:type="dxa"/>
            <w:gridSpan w:val="9"/>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注：本表反映部门本年度一般公共预算财政拨款收入及支出情况。</w:t>
            </w:r>
            <w:r>
              <w:rPr>
                <w:rFonts w:ascii="宋体" w:hAnsi="宋体" w:cs="宋体"/>
                <w:color w:val="000000"/>
                <w:kern w:val="0"/>
                <w:szCs w:val="21"/>
              </w:rPr>
              <w:t xml:space="preserve">      </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3"/>
        <w:tblW w:w="9180" w:type="dxa"/>
        <w:jc w:val="center"/>
        <w:tblLayout w:type="fixed"/>
        <w:tblCellMar>
          <w:top w:w="0" w:type="dxa"/>
          <w:left w:w="0" w:type="dxa"/>
          <w:bottom w:w="0" w:type="dxa"/>
          <w:right w:w="0" w:type="dxa"/>
        </w:tblCellMar>
      </w:tblPr>
      <w:tblGrid>
        <w:gridCol w:w="558"/>
        <w:gridCol w:w="1597"/>
        <w:gridCol w:w="840"/>
        <w:gridCol w:w="477"/>
        <w:gridCol w:w="1763"/>
        <w:gridCol w:w="740"/>
        <w:gridCol w:w="560"/>
        <w:gridCol w:w="1788"/>
        <w:gridCol w:w="857"/>
      </w:tblGrid>
      <w:tr>
        <w:tblPrEx>
          <w:tblCellMar>
            <w:top w:w="0" w:type="dxa"/>
            <w:left w:w="0" w:type="dxa"/>
            <w:bottom w:w="0" w:type="dxa"/>
            <w:right w:w="0" w:type="dxa"/>
          </w:tblCellMar>
        </w:tblPrEx>
        <w:trPr>
          <w:trHeight w:val="526" w:hRule="atLeast"/>
          <w:jc w:val="center"/>
        </w:trPr>
        <w:tc>
          <w:tcPr>
            <w:tcW w:w="9180" w:type="dxa"/>
            <w:gridSpan w:val="9"/>
            <w:tcBorders>
              <w:top w:val="nil"/>
              <w:left w:val="nil"/>
              <w:bottom w:val="nil"/>
              <w:right w:val="nil"/>
            </w:tcBorders>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一般公共预算财政拨款基本支出决算表</w:t>
            </w:r>
          </w:p>
        </w:tc>
      </w:tr>
      <w:tr>
        <w:tblPrEx>
          <w:tblCellMar>
            <w:top w:w="0" w:type="dxa"/>
            <w:left w:w="0" w:type="dxa"/>
            <w:bottom w:w="0" w:type="dxa"/>
            <w:right w:w="0" w:type="dxa"/>
          </w:tblCellMar>
        </w:tblPrEx>
        <w:trPr>
          <w:trHeight w:val="269" w:hRule="atLeast"/>
          <w:jc w:val="center"/>
        </w:trPr>
        <w:tc>
          <w:tcPr>
            <w:tcW w:w="559"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598" w:type="dxa"/>
            <w:tcBorders>
              <w:top w:val="nil"/>
              <w:left w:val="nil"/>
              <w:bottom w:val="nil"/>
              <w:right w:val="nil"/>
            </w:tcBorders>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84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477"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762" w:type="dxa"/>
            <w:tcBorders>
              <w:top w:val="nil"/>
              <w:left w:val="nil"/>
              <w:bottom w:val="nil"/>
              <w:right w:val="nil"/>
            </w:tcBorders>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74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4" w:type="dxa"/>
            <w:gridSpan w:val="2"/>
            <w:tcBorders>
              <w:top w:val="nil"/>
              <w:left w:val="nil"/>
              <w:bottom w:val="nil"/>
              <w:right w:val="nil"/>
            </w:tcBorders>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rPr>
            </w:pPr>
            <w:r>
              <w:rPr>
                <w:rFonts w:hint="eastAsia" w:ascii="宋体" w:hAnsi="宋体" w:cs="宋体"/>
                <w:color w:val="000000"/>
                <w:kern w:val="0"/>
                <w:sz w:val="22"/>
                <w:szCs w:val="22"/>
              </w:rPr>
              <w:t>公开</w:t>
            </w:r>
            <w:r>
              <w:rPr>
                <w:rFonts w:ascii="宋体" w:hAnsi="宋体" w:cs="宋体"/>
                <w:color w:val="000000"/>
                <w:kern w:val="0"/>
                <w:sz w:val="22"/>
                <w:szCs w:val="22"/>
              </w:rPr>
              <w:t>06</w:t>
            </w:r>
            <w:r>
              <w:rPr>
                <w:rFonts w:hint="eastAsia" w:ascii="宋体" w:hAnsi="宋体" w:cs="宋体"/>
                <w:color w:val="000000"/>
                <w:kern w:val="0"/>
                <w:sz w:val="22"/>
                <w:szCs w:val="22"/>
              </w:rPr>
              <w:t>表</w:t>
            </w:r>
          </w:p>
        </w:tc>
      </w:tr>
      <w:tr>
        <w:tblPrEx>
          <w:tblCellMar>
            <w:top w:w="0" w:type="dxa"/>
            <w:left w:w="0" w:type="dxa"/>
            <w:bottom w:w="0" w:type="dxa"/>
            <w:right w:w="0" w:type="dxa"/>
          </w:tblCellMar>
        </w:tblPrEx>
        <w:trPr>
          <w:trHeight w:val="269" w:hRule="atLeast"/>
          <w:jc w:val="center"/>
        </w:trPr>
        <w:tc>
          <w:tcPr>
            <w:tcW w:w="5236" w:type="dxa"/>
            <w:gridSpan w:val="5"/>
            <w:tcBorders>
              <w:top w:val="nil"/>
              <w:left w:val="nil"/>
              <w:bottom w:val="nil"/>
              <w:right w:val="nil"/>
            </w:tcBorders>
            <w:noWrap/>
            <w:tcMar>
              <w:top w:w="15" w:type="dxa"/>
              <w:left w:w="15" w:type="dxa"/>
              <w:right w:w="15" w:type="dxa"/>
            </w:tcMar>
            <w:vAlign w:val="center"/>
          </w:tcPr>
          <w:p>
            <w:pPr>
              <w:widowControl/>
              <w:spacing w:after="0" w:line="240" w:lineRule="auto"/>
              <w:jc w:val="left"/>
              <w:textAlignment w:val="center"/>
              <w:rPr>
                <w:rFonts w:ascii="宋体" w:cs="宋体"/>
                <w:color w:val="000000"/>
                <w:sz w:val="22"/>
                <w:szCs w:val="22"/>
              </w:rPr>
            </w:pPr>
            <w:r>
              <w:rPr>
                <w:rFonts w:hint="eastAsia" w:ascii="宋体" w:hAnsi="宋体" w:cs="宋体"/>
                <w:color w:val="000000"/>
                <w:kern w:val="0"/>
                <w:sz w:val="22"/>
                <w:szCs w:val="22"/>
              </w:rPr>
              <w:t>部门：</w:t>
            </w:r>
            <w:r>
              <w:pict>
                <v:group id="组合 49" o:spid="_x0000_s1056" o:spt="203" style="position:absolute;left:0pt;margin-left:-73.25pt;margin-top:-129.4pt;height:41.2pt;width:243.2pt;mso-position-vertical-relative:page;z-index:251679744;mso-width-relative:page;mso-height-relative:page;" coordorigin="4551,52615" coordsize="8546,1398">
                  <o:lock v:ext="edit"/>
                  <v:rect id="矩形 13" o:spid="_x0000_s1057" o:spt="1" style="position:absolute;left:4551;top:52615;height:1175;width:8546;v-text-anchor:middle;" fillcolor="#96DA9D" filled="t" stroked="f" coordsize="21600,21600">
                    <v:path/>
                    <v:fill on="t" focussize="0,0"/>
                    <v:stroke on="f" weight="2pt"/>
                    <v:imagedata o:title=""/>
                    <o:lock v:ext="edit"/>
                  </v:rect>
                  <v:rect id="矩形 14" o:spid="_x0000_s1058"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p>
        </w:tc>
        <w:tc>
          <w:tcPr>
            <w:tcW w:w="74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4" w:type="dxa"/>
            <w:gridSpan w:val="2"/>
            <w:tcBorders>
              <w:top w:val="nil"/>
              <w:left w:val="nil"/>
              <w:bottom w:val="nil"/>
              <w:right w:val="nil"/>
            </w:tcBorders>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trHeight w:val="277" w:hRule="atLeast"/>
          <w:jc w:val="center"/>
        </w:trPr>
        <w:tc>
          <w:tcPr>
            <w:tcW w:w="2997"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人员经费</w:t>
            </w:r>
          </w:p>
        </w:tc>
        <w:tc>
          <w:tcPr>
            <w:tcW w:w="6183" w:type="dxa"/>
            <w:gridSpan w:val="6"/>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公用经费</w:t>
            </w:r>
          </w:p>
        </w:tc>
      </w:tr>
      <w:tr>
        <w:tblPrEx>
          <w:tblCellMar>
            <w:top w:w="0" w:type="dxa"/>
            <w:left w:w="0" w:type="dxa"/>
            <w:bottom w:w="0" w:type="dxa"/>
            <w:right w:w="0" w:type="dxa"/>
          </w:tblCellMar>
        </w:tblPrEx>
        <w:trPr>
          <w:trHeight w:val="312" w:hRule="atLeast"/>
          <w:jc w:val="center"/>
        </w:trPr>
        <w:tc>
          <w:tcPr>
            <w:tcW w:w="559" w:type="dxa"/>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科目编码</w:t>
            </w:r>
          </w:p>
        </w:tc>
        <w:tc>
          <w:tcPr>
            <w:tcW w:w="1598"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科目名称</w:t>
            </w:r>
          </w:p>
        </w:tc>
        <w:tc>
          <w:tcPr>
            <w:tcW w:w="840"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决算数</w:t>
            </w:r>
          </w:p>
        </w:tc>
        <w:tc>
          <w:tcPr>
            <w:tcW w:w="477"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科目编码</w:t>
            </w:r>
          </w:p>
        </w:tc>
        <w:tc>
          <w:tcPr>
            <w:tcW w:w="1763"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科目名称</w:t>
            </w:r>
          </w:p>
        </w:tc>
        <w:tc>
          <w:tcPr>
            <w:tcW w:w="739"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决算数</w:t>
            </w:r>
          </w:p>
        </w:tc>
        <w:tc>
          <w:tcPr>
            <w:tcW w:w="559"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科目编码</w:t>
            </w:r>
          </w:p>
        </w:tc>
        <w:tc>
          <w:tcPr>
            <w:tcW w:w="1788"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科目名称</w:t>
            </w:r>
          </w:p>
        </w:tc>
        <w:tc>
          <w:tcPr>
            <w:tcW w:w="857"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312" w:hRule="atLeast"/>
          <w:jc w:val="center"/>
        </w:trPr>
        <w:tc>
          <w:tcPr>
            <w:tcW w:w="559" w:type="dxa"/>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1598"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840"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477"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1763"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739"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559"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1788"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857"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工资福利支出</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258.49</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商品和服务支出</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119.22</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307</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债务利息及费用支出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30101</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基本工资</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93.59</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30201</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办公费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6.02</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30701</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国内债务付息</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30102</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津贴补贴</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69.60</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30202</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印刷费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13.24</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30702</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国外债务付息</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30103</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奖金</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29.03</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30203</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咨询费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资本性支出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20"/>
                <w:szCs w:val="20"/>
                <w:lang w:val="en-US" w:eastAsia="zh-CN"/>
              </w:rPr>
            </w:pPr>
            <w:r>
              <w:rPr>
                <w:rFonts w:hint="eastAsia" w:ascii="宋体" w:cs="宋体"/>
                <w:color w:val="000000"/>
                <w:sz w:val="20"/>
                <w:szCs w:val="20"/>
                <w:lang w:val="en-US" w:eastAsia="zh-CN"/>
              </w:rPr>
              <w:t>9.29</w:t>
            </w: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30106</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伙食补助费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30204</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手续费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31001</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房屋建筑物购建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30107</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绩效工资</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3.77</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hint="default" w:ascii="宋体" w:cs="宋体"/>
                <w:color w:val="000000"/>
                <w:sz w:val="16"/>
                <w:szCs w:val="16"/>
                <w:lang w:val="en-US"/>
              </w:rPr>
            </w:pP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水费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1.48</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31002</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办公设备购置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20"/>
                <w:szCs w:val="20"/>
                <w:lang w:val="en-US" w:eastAsia="zh-CN"/>
              </w:rPr>
            </w:pPr>
            <w:r>
              <w:rPr>
                <w:rFonts w:hint="eastAsia" w:ascii="宋体" w:cs="宋体"/>
                <w:color w:val="000000"/>
                <w:sz w:val="20"/>
                <w:szCs w:val="20"/>
                <w:lang w:val="en-US" w:eastAsia="zh-CN"/>
              </w:rPr>
              <w:t>9.29</w:t>
            </w: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30108</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机关事业单位基本养老保险缴费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27.91</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30206</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电费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7.17</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31003</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专用设备购置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30109</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职业年金缴费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30207</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邮电费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8.10</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31005</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基础设施建设</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30110</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职工基本医疗保险缴费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10.12</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30208</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取暖费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31006</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大型修缮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30111</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公务员医疗补助缴费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30209</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物业管理费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31007</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信息网络及软件购置更新</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30112</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其他社会保障缴费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0.79</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30211</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差旅费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2.28</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31008</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物资储备</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30113</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住房公积金</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15.52</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30212</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因公出国（境）费用</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土地补偿</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30114</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医疗费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30213</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维修（护）费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31010</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安置补助</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30199</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其他工资福利支出</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8.16</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30214</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租赁费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31011</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地上附着物和青苗补偿</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对个人和家庭的补助</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2.88</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30215</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会议费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31012</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拆迁补偿</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30301</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离休费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30216</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培训费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31013</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公务用车购置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30302</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退休费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2.04</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30217</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公务接待费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0.04</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31019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其他交通工具购置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30303</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退职（役）费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30218</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专用材料费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31021</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文物和陈列品购置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30304</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抚恤金</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30224</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被装购置费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31022</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无形资产购置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30305</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生活补助</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0.72</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30225</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专用燃料费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31099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其他资本性支出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30306</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救济费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30226</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劳务费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55.04</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399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其他支出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30307</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医疗费补助</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30227</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委托业务费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39906</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赠与</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30308</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助学金</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30228</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工会经费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39907</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国家赔偿费用支出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0"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30309</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奖励金</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30229</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福利费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39908</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对民间非营利组织和群众性自治组织补贴</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30310</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个人农业生产补贴</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30231</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公务用车运行维护费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2.19</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39999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30399</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其他对个人和家庭的补助支出</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0.12</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30239</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其他交通费用</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11.27</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30240</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税金及附加费用</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30299</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其他商品和服务支出</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12.39</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317" w:hRule="atLeast"/>
          <w:jc w:val="center"/>
        </w:trPr>
        <w:tc>
          <w:tcPr>
            <w:tcW w:w="2157"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center"/>
              <w:textAlignment w:val="center"/>
              <w:rPr>
                <w:rFonts w:ascii="宋体" w:cs="宋体"/>
                <w:color w:val="000000"/>
                <w:sz w:val="16"/>
                <w:szCs w:val="16"/>
              </w:rPr>
            </w:pPr>
            <w:r>
              <w:rPr>
                <w:rFonts w:hint="eastAsia" w:ascii="宋体" w:hAnsi="宋体" w:cs="宋体"/>
                <w:color w:val="000000"/>
                <w:kern w:val="0"/>
                <w:sz w:val="16"/>
                <w:szCs w:val="16"/>
              </w:rPr>
              <w:t>人员经费合计</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261.37</w:t>
            </w:r>
          </w:p>
        </w:tc>
        <w:tc>
          <w:tcPr>
            <w:tcW w:w="5326" w:type="dxa"/>
            <w:gridSpan w:val="5"/>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center"/>
              <w:textAlignment w:val="center"/>
              <w:rPr>
                <w:rFonts w:ascii="宋体" w:cs="宋体"/>
                <w:color w:val="000000"/>
                <w:sz w:val="16"/>
                <w:szCs w:val="16"/>
              </w:rPr>
            </w:pPr>
            <w:r>
              <w:rPr>
                <w:rFonts w:hint="eastAsia" w:ascii="宋体" w:hAnsi="宋体" w:cs="宋体"/>
                <w:color w:val="000000"/>
                <w:kern w:val="0"/>
                <w:sz w:val="16"/>
                <w:szCs w:val="16"/>
              </w:rPr>
              <w:t>公用经费合计</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128.51</w:t>
            </w:r>
          </w:p>
        </w:tc>
      </w:tr>
      <w:tr>
        <w:tblPrEx>
          <w:tblCellMar>
            <w:top w:w="0" w:type="dxa"/>
            <w:left w:w="0" w:type="dxa"/>
            <w:bottom w:w="0" w:type="dxa"/>
            <w:right w:w="0" w:type="dxa"/>
          </w:tblCellMar>
        </w:tblPrEx>
        <w:trPr>
          <w:trHeight w:val="277" w:hRule="atLeast"/>
          <w:jc w:val="center"/>
        </w:trPr>
        <w:tc>
          <w:tcPr>
            <w:tcW w:w="9180" w:type="dxa"/>
            <w:gridSpan w:val="9"/>
            <w:tcBorders>
              <w:top w:val="nil"/>
              <w:left w:val="nil"/>
              <w:bottom w:val="nil"/>
              <w:right w:val="nil"/>
            </w:tcBorders>
            <w:noWrap/>
            <w:tcMar>
              <w:top w:w="15" w:type="dxa"/>
              <w:left w:w="15" w:type="dxa"/>
              <w:right w:w="15" w:type="dxa"/>
            </w:tcMar>
            <w:vAlign w:val="center"/>
          </w:tcPr>
          <w:p>
            <w:pPr>
              <w:widowControl/>
              <w:spacing w:after="0" w:line="240" w:lineRule="auto"/>
              <w:jc w:val="left"/>
              <w:textAlignment w:val="center"/>
              <w:rPr>
                <w:rFonts w:ascii="宋体" w:cs="宋体"/>
                <w:color w:val="000000"/>
                <w:sz w:val="20"/>
                <w:szCs w:val="20"/>
              </w:rPr>
            </w:pPr>
            <w:r>
              <w:rPr>
                <w:rFonts w:hint="eastAsia" w:ascii="宋体" w:hAnsi="宋体" w:cs="宋体"/>
                <w:color w:val="000000"/>
                <w:kern w:val="0"/>
                <w:sz w:val="20"/>
                <w:szCs w:val="20"/>
              </w:rPr>
              <w:t>注：本表反映部门本年度一般公共预算财政拨款基本支出明细情况。</w:t>
            </w:r>
            <w:r>
              <w:rPr>
                <w:rFonts w:ascii="宋体" w:hAnsi="宋体" w:cs="宋体"/>
                <w:color w:val="000000"/>
                <w:kern w:val="0"/>
                <w:sz w:val="20"/>
                <w:szCs w:val="20"/>
              </w:rPr>
              <w:t xml:space="preserve">        </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3"/>
        <w:tblW w:w="8800" w:type="dxa"/>
        <w:jc w:val="center"/>
        <w:tblLayout w:type="fixed"/>
        <w:tblCellMar>
          <w:top w:w="0" w:type="dxa"/>
          <w:left w:w="0" w:type="dxa"/>
          <w:bottom w:w="0" w:type="dxa"/>
          <w:right w:w="0" w:type="dxa"/>
        </w:tblCellMar>
      </w:tblPr>
      <w:tblGrid>
        <w:gridCol w:w="1158"/>
        <w:gridCol w:w="1527"/>
        <w:gridCol w:w="1528"/>
        <w:gridCol w:w="1530"/>
        <w:gridCol w:w="1530"/>
        <w:gridCol w:w="1527"/>
      </w:tblGrid>
      <w:tr>
        <w:tblPrEx>
          <w:tblCellMar>
            <w:top w:w="0" w:type="dxa"/>
            <w:left w:w="0" w:type="dxa"/>
            <w:bottom w:w="0" w:type="dxa"/>
            <w:right w:w="0" w:type="dxa"/>
          </w:tblCellMar>
        </w:tblPrEx>
        <w:trPr>
          <w:trHeight w:val="584" w:hRule="atLeast"/>
          <w:jc w:val="center"/>
        </w:trPr>
        <w:tc>
          <w:tcPr>
            <w:tcW w:w="8800" w:type="dxa"/>
            <w:gridSpan w:val="6"/>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w:t>
            </w:r>
            <w:r>
              <w:pict>
                <v:group id="组合 52" o:spid="_x0000_s1059" o:spt="203" style="position:absolute;left:0pt;margin-left:-82.75pt;margin-top:-81.1pt;height:41.2pt;width:243.2pt;mso-position-vertical-relative:page;z-index:251680768;mso-width-relative:page;mso-height-relative:page;" coordorigin="4551,52615" coordsize="8546,1398">
                  <o:lock v:ext="edit"/>
                  <v:rect id="矩形 13" o:spid="_x0000_s1060" o:spt="1" style="position:absolute;left:4551;top:52615;height:1175;width:8546;v-text-anchor:middle;" fillcolor="#96DA9D" filled="t" stroked="f" coordsize="21600,21600">
                    <v:path/>
                    <v:fill on="t" focussize="0,0"/>
                    <v:stroke on="f" weight="2pt"/>
                    <v:imagedata o:title=""/>
                    <o:lock v:ext="edit"/>
                  </v:rect>
                  <v:rect id="矩形 14" o:spid="_x0000_s1061"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三公”经费支出决算表</w:t>
            </w:r>
          </w:p>
        </w:tc>
      </w:tr>
      <w:tr>
        <w:tblPrEx>
          <w:tblCellMar>
            <w:top w:w="0" w:type="dxa"/>
            <w:left w:w="0" w:type="dxa"/>
            <w:bottom w:w="0" w:type="dxa"/>
            <w:right w:w="0" w:type="dxa"/>
          </w:tblCellMar>
        </w:tblPrEx>
        <w:trPr>
          <w:trHeight w:val="347" w:hRule="atLeast"/>
          <w:jc w:val="center"/>
        </w:trPr>
        <w:tc>
          <w:tcPr>
            <w:tcW w:w="1158"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8"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07</w:t>
            </w:r>
            <w:r>
              <w:rPr>
                <w:rFonts w:hint="eastAsia" w:ascii="宋体" w:hAnsi="宋体" w:cs="宋体"/>
                <w:color w:val="000000"/>
                <w:kern w:val="0"/>
                <w:sz w:val="20"/>
                <w:szCs w:val="20"/>
              </w:rPr>
              <w:t>表</w:t>
            </w:r>
          </w:p>
        </w:tc>
      </w:tr>
      <w:tr>
        <w:tblPrEx>
          <w:tblCellMar>
            <w:top w:w="0" w:type="dxa"/>
            <w:left w:w="0" w:type="dxa"/>
            <w:bottom w:w="0" w:type="dxa"/>
            <w:right w:w="0" w:type="dxa"/>
          </w:tblCellMar>
        </w:tblPrEx>
        <w:trPr>
          <w:trHeight w:val="347" w:hRule="atLeast"/>
          <w:jc w:val="center"/>
        </w:trPr>
        <w:tc>
          <w:tcPr>
            <w:tcW w:w="7273" w:type="dxa"/>
            <w:gridSpan w:val="5"/>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left"/>
              <w:textAlignment w:val="center"/>
              <w:rPr>
                <w:rFonts w:ascii="宋体" w:cs="宋体"/>
                <w:color w:val="000000"/>
                <w:sz w:val="20"/>
                <w:szCs w:val="20"/>
              </w:rPr>
            </w:pPr>
            <w:r>
              <w:rPr>
                <w:rFonts w:hint="eastAsia" w:ascii="宋体" w:hAnsi="宋体" w:cs="宋体"/>
                <w:color w:val="000000"/>
                <w:kern w:val="0"/>
                <w:sz w:val="20"/>
                <w:szCs w:val="20"/>
              </w:rPr>
              <w:t>部门：</w:t>
            </w:r>
          </w:p>
        </w:tc>
        <w:tc>
          <w:tcPr>
            <w:tcW w:w="1527"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482"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预算数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86"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424" w:hRule="atLeast"/>
          <w:jc w:val="center"/>
        </w:trPr>
        <w:tc>
          <w:tcPr>
            <w:tcW w:w="11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hint="default" w:ascii="宋体" w:eastAsia="宋体" w:cs="宋体"/>
                <w:color w:val="000000"/>
                <w:szCs w:val="21"/>
                <w:lang w:val="en-US" w:eastAsia="zh-CN"/>
              </w:rPr>
            </w:pPr>
            <w:r>
              <w:rPr>
                <w:rFonts w:hint="eastAsia" w:ascii="宋体" w:cs="宋体"/>
                <w:color w:val="000000"/>
                <w:szCs w:val="21"/>
                <w:lang w:val="en-US" w:eastAsia="zh-CN"/>
              </w:rPr>
              <w:t>2.97</w:t>
            </w:r>
          </w:p>
        </w:tc>
        <w:tc>
          <w:tcPr>
            <w:tcW w:w="1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hint="default" w:ascii="宋体" w:eastAsia="宋体" w:cs="宋体"/>
                <w:color w:val="000000"/>
                <w:szCs w:val="21"/>
                <w:lang w:val="en-US" w:eastAsia="zh-CN"/>
              </w:rPr>
            </w:pPr>
            <w:r>
              <w:rPr>
                <w:rFonts w:hint="eastAsia" w:ascii="宋体" w:cs="宋体"/>
                <w:color w:val="000000"/>
                <w:szCs w:val="21"/>
                <w:lang w:val="en-US" w:eastAsia="zh-CN"/>
              </w:rPr>
              <w:t>2.50</w:t>
            </w: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hint="default" w:ascii="宋体" w:eastAsia="宋体" w:cs="宋体"/>
                <w:color w:val="000000"/>
                <w:szCs w:val="21"/>
                <w:lang w:val="en-US" w:eastAsia="zh-CN"/>
              </w:rPr>
            </w:pPr>
            <w:r>
              <w:rPr>
                <w:rFonts w:hint="eastAsia" w:ascii="宋体" w:cs="宋体"/>
                <w:color w:val="000000"/>
                <w:szCs w:val="21"/>
                <w:lang w:val="en-US" w:eastAsia="zh-CN"/>
              </w:rPr>
              <w:t>2.50</w:t>
            </w:r>
          </w:p>
        </w:tc>
        <w:tc>
          <w:tcPr>
            <w:tcW w:w="1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hint="default" w:ascii="宋体" w:eastAsia="宋体" w:cs="宋体"/>
                <w:color w:val="000000"/>
                <w:szCs w:val="21"/>
                <w:lang w:val="en-US" w:eastAsia="zh-CN"/>
              </w:rPr>
            </w:pPr>
            <w:r>
              <w:rPr>
                <w:rFonts w:hint="eastAsia" w:ascii="宋体" w:cs="宋体"/>
                <w:color w:val="000000"/>
                <w:szCs w:val="21"/>
                <w:lang w:val="en-US" w:eastAsia="zh-CN"/>
              </w:rPr>
              <w:t>0.47</w:t>
            </w:r>
          </w:p>
        </w:tc>
      </w:tr>
      <w:tr>
        <w:tblPrEx>
          <w:tblCellMar>
            <w:top w:w="0" w:type="dxa"/>
            <w:left w:w="0" w:type="dxa"/>
            <w:bottom w:w="0" w:type="dxa"/>
            <w:right w:w="0" w:type="dxa"/>
          </w:tblCellMar>
        </w:tblPrEx>
        <w:trPr>
          <w:trHeight w:val="498"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72"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7</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8</w:t>
            </w: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9</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10</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11</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12</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hint="default" w:ascii="宋体" w:eastAsia="宋体" w:cs="宋体"/>
                <w:color w:val="000000"/>
                <w:szCs w:val="21"/>
                <w:lang w:val="en-US" w:eastAsia="zh-CN"/>
              </w:rPr>
            </w:pPr>
            <w:r>
              <w:rPr>
                <w:rFonts w:hint="eastAsia" w:ascii="宋体" w:cs="宋体"/>
                <w:color w:val="000000"/>
                <w:szCs w:val="21"/>
                <w:lang w:val="en-US" w:eastAsia="zh-CN"/>
              </w:rPr>
              <w:t>2.22</w:t>
            </w:r>
          </w:p>
        </w:tc>
        <w:tc>
          <w:tcPr>
            <w:tcW w:w="1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hint="default" w:ascii="宋体" w:eastAsia="宋体" w:cs="宋体"/>
                <w:color w:val="000000"/>
                <w:szCs w:val="21"/>
                <w:lang w:val="en-US" w:eastAsia="zh-CN"/>
              </w:rPr>
            </w:pPr>
            <w:r>
              <w:rPr>
                <w:rFonts w:hint="eastAsia" w:ascii="宋体" w:cs="宋体"/>
                <w:color w:val="000000"/>
                <w:szCs w:val="21"/>
                <w:lang w:val="en-US" w:eastAsia="zh-CN"/>
              </w:rPr>
              <w:t>2.19</w:t>
            </w: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hint="default" w:ascii="宋体" w:eastAsia="宋体" w:cs="宋体"/>
                <w:color w:val="000000"/>
                <w:szCs w:val="21"/>
                <w:lang w:val="en-US" w:eastAsia="zh-CN"/>
              </w:rPr>
            </w:pPr>
            <w:r>
              <w:rPr>
                <w:rFonts w:hint="eastAsia" w:ascii="宋体" w:cs="宋体"/>
                <w:color w:val="000000"/>
                <w:szCs w:val="21"/>
                <w:lang w:val="en-US" w:eastAsia="zh-CN"/>
              </w:rPr>
              <w:t>2.19</w:t>
            </w:r>
          </w:p>
        </w:tc>
        <w:tc>
          <w:tcPr>
            <w:tcW w:w="1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hint="default" w:ascii="宋体" w:eastAsia="宋体" w:cs="宋体"/>
                <w:color w:val="000000"/>
                <w:szCs w:val="21"/>
                <w:lang w:val="en-US" w:eastAsia="zh-CN"/>
              </w:rPr>
            </w:pPr>
            <w:r>
              <w:rPr>
                <w:rFonts w:hint="eastAsia" w:ascii="宋体" w:cs="宋体"/>
                <w:color w:val="000000"/>
                <w:szCs w:val="21"/>
                <w:lang w:val="en-US" w:eastAsia="zh-CN"/>
              </w:rPr>
              <w:t>0.04</w:t>
            </w:r>
          </w:p>
        </w:tc>
      </w:tr>
      <w:tr>
        <w:tblPrEx>
          <w:tblCellMar>
            <w:top w:w="0" w:type="dxa"/>
            <w:left w:w="0" w:type="dxa"/>
            <w:bottom w:w="0" w:type="dxa"/>
            <w:right w:w="0" w:type="dxa"/>
          </w:tblCellMar>
        </w:tblPrEx>
        <w:trPr>
          <w:trHeight w:val="782" w:hRule="atLeast"/>
          <w:jc w:val="center"/>
        </w:trPr>
        <w:tc>
          <w:tcPr>
            <w:tcW w:w="8800" w:type="dxa"/>
            <w:gridSpan w:val="6"/>
            <w:tcBorders>
              <w:top w:val="nil"/>
              <w:left w:val="nil"/>
              <w:bottom w:val="nil"/>
              <w:right w:val="nil"/>
            </w:tcBorders>
            <w:tcMar>
              <w:top w:w="15" w:type="dxa"/>
              <w:left w:w="15" w:type="dxa"/>
              <w:right w:w="15" w:type="dxa"/>
            </w:tcMar>
            <w:vAlign w:val="center"/>
          </w:tcPr>
          <w:p>
            <w:pPr>
              <w:widowControl/>
              <w:adjustRightInd w:val="0"/>
              <w:snapToGri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注：本表反映部门本年度“三公”经费支出预决算情况。其中：预算数为“三公”经费年初预算数，决算数是包括当年一般公共预算财政拨款和以前年度结转资金安排的实际支出。</w:t>
            </w:r>
            <w:r>
              <w:rPr>
                <w:rFonts w:ascii="宋体" w:hAnsi="宋体" w:cs="宋体"/>
                <w:color w:val="000000"/>
                <w:kern w:val="0"/>
                <w:szCs w:val="21"/>
              </w:rPr>
              <w:t xml:space="preserve">           </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3"/>
        <w:tblW w:w="8860" w:type="dxa"/>
        <w:tblInd w:w="0" w:type="dxa"/>
        <w:tblLayout w:type="fixed"/>
        <w:tblCellMar>
          <w:top w:w="0" w:type="dxa"/>
          <w:left w:w="0" w:type="dxa"/>
          <w:bottom w:w="0" w:type="dxa"/>
          <w:right w:w="0" w:type="dxa"/>
        </w:tblCellMar>
      </w:tblPr>
      <w:tblGrid>
        <w:gridCol w:w="296"/>
        <w:gridCol w:w="191"/>
        <w:gridCol w:w="479"/>
        <w:gridCol w:w="669"/>
        <w:gridCol w:w="376"/>
        <w:gridCol w:w="1166"/>
        <w:gridCol w:w="840"/>
        <w:gridCol w:w="1191"/>
        <w:gridCol w:w="1192"/>
        <w:gridCol w:w="1192"/>
        <w:gridCol w:w="1268"/>
      </w:tblGrid>
      <w:tr>
        <w:tblPrEx>
          <w:tblCellMar>
            <w:top w:w="0" w:type="dxa"/>
            <w:left w:w="0" w:type="dxa"/>
            <w:bottom w:w="0" w:type="dxa"/>
            <w:right w:w="0" w:type="dxa"/>
          </w:tblCellMar>
        </w:tblPrEx>
        <w:trPr>
          <w:trHeight w:val="707" w:hRule="atLeast"/>
        </w:trPr>
        <w:tc>
          <w:tcPr>
            <w:tcW w:w="8860" w:type="dxa"/>
            <w:gridSpan w:val="11"/>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center"/>
              <w:textAlignment w:val="center"/>
              <w:rPr>
                <w:rFonts w:ascii="黑体" w:hAnsi="宋体" w:eastAsia="黑体" w:cs="黑体"/>
                <w:color w:val="000000"/>
                <w:sz w:val="36"/>
                <w:szCs w:val="36"/>
              </w:rPr>
            </w:pPr>
            <w:r>
              <w:rPr>
                <w:rFonts w:hint="eastAsia" w:ascii="黑体" w:hAnsi="宋体" w:eastAsia="黑体" w:cs="黑体"/>
                <w:color w:val="000000"/>
                <w:kern w:val="0"/>
                <w:sz w:val="36"/>
                <w:szCs w:val="36"/>
              </w:rPr>
              <w:t>政府性基金预算财政拨款</w:t>
            </w:r>
            <w:r>
              <w:pict>
                <v:group id="组合 55" o:spid="_x0000_s1062" o:spt="203" style="position:absolute;left:0pt;margin-left:-80.9pt;margin-top:-81.1pt;height:41.2pt;width:243.2pt;mso-position-vertical-relative:page;z-index:251681792;mso-width-relative:page;mso-height-relative:page;" coordorigin="4551,52615" coordsize="8546,1398">
                  <o:lock v:ext="edit"/>
                  <v:rect id="矩形 13" o:spid="_x0000_s1063" o:spt="1" style="position:absolute;left:4551;top:52615;height:1175;width:8546;v-text-anchor:middle;" fillcolor="#96DA9D" filled="t" stroked="f" coordsize="21600,21600">
                    <v:path/>
                    <v:fill on="t" focussize="0,0"/>
                    <v:stroke on="f" weight="2pt"/>
                    <v:imagedata o:title=""/>
                    <o:lock v:ext="edit"/>
                  </v:rect>
                  <v:rect id="矩形 14" o:spid="_x0000_s1064"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36"/>
                <w:szCs w:val="36"/>
              </w:rPr>
              <w:t>收入支出决算表</w:t>
            </w:r>
          </w:p>
        </w:tc>
      </w:tr>
      <w:tr>
        <w:tblPrEx>
          <w:tblCellMar>
            <w:top w:w="0" w:type="dxa"/>
            <w:left w:w="0" w:type="dxa"/>
            <w:bottom w:w="0" w:type="dxa"/>
            <w:right w:w="0" w:type="dxa"/>
          </w:tblCellMar>
        </w:tblPrEx>
        <w:trPr>
          <w:trHeight w:val="315" w:hRule="atLeast"/>
        </w:trPr>
        <w:tc>
          <w:tcPr>
            <w:tcW w:w="296"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91"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479"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669"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542" w:type="dxa"/>
            <w:gridSpan w:val="2"/>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840"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268"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08</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411" w:hRule="atLeast"/>
        </w:trPr>
        <w:tc>
          <w:tcPr>
            <w:tcW w:w="3177" w:type="dxa"/>
            <w:gridSpan w:val="6"/>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部门：</w:t>
            </w:r>
          </w:p>
        </w:tc>
        <w:tc>
          <w:tcPr>
            <w:tcW w:w="840"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2460" w:type="dxa"/>
            <w:gridSpan w:val="2"/>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24" w:hRule="atLeast"/>
        </w:trPr>
        <w:tc>
          <w:tcPr>
            <w:tcW w:w="2011" w:type="dxa"/>
            <w:gridSpan w:val="5"/>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w:t>
            </w:r>
          </w:p>
        </w:tc>
        <w:tc>
          <w:tcPr>
            <w:tcW w:w="1166"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年初结转和结余</w:t>
            </w:r>
          </w:p>
        </w:tc>
        <w:tc>
          <w:tcPr>
            <w:tcW w:w="840"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本年收入</w:t>
            </w:r>
          </w:p>
        </w:tc>
        <w:tc>
          <w:tcPr>
            <w:tcW w:w="3575" w:type="dxa"/>
            <w:gridSpan w:val="3"/>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本年支出</w:t>
            </w:r>
          </w:p>
        </w:tc>
        <w:tc>
          <w:tcPr>
            <w:tcW w:w="1268"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年末结转和结余</w:t>
            </w:r>
          </w:p>
        </w:tc>
      </w:tr>
      <w:tr>
        <w:tblPrEx>
          <w:tblCellMar>
            <w:top w:w="0" w:type="dxa"/>
            <w:left w:w="0" w:type="dxa"/>
            <w:bottom w:w="0" w:type="dxa"/>
            <w:right w:w="0" w:type="dxa"/>
          </w:tblCellMar>
        </w:tblPrEx>
        <w:trPr>
          <w:trHeight w:val="324" w:hRule="atLeast"/>
        </w:trPr>
        <w:tc>
          <w:tcPr>
            <w:tcW w:w="966" w:type="dxa"/>
            <w:gridSpan w:val="3"/>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功能分类科目编码</w:t>
            </w:r>
          </w:p>
        </w:tc>
        <w:tc>
          <w:tcPr>
            <w:tcW w:w="1045" w:type="dxa"/>
            <w:gridSpan w:val="2"/>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科目名称</w:t>
            </w:r>
          </w:p>
        </w:tc>
        <w:tc>
          <w:tcPr>
            <w:tcW w:w="1166"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1"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小计</w:t>
            </w:r>
          </w:p>
        </w:tc>
        <w:tc>
          <w:tcPr>
            <w:tcW w:w="1192"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基本支出</w:t>
            </w:r>
          </w:p>
        </w:tc>
        <w:tc>
          <w:tcPr>
            <w:tcW w:w="1192"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项目支出</w:t>
            </w:r>
          </w:p>
        </w:tc>
        <w:tc>
          <w:tcPr>
            <w:tcW w:w="1268"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045" w:type="dxa"/>
            <w:gridSpan w:val="2"/>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1"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2"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2"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12" w:hRule="atLeast"/>
        </w:trPr>
        <w:tc>
          <w:tcPr>
            <w:tcW w:w="966"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045" w:type="dxa"/>
            <w:gridSpan w:val="2"/>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1"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2"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2"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栏次</w:t>
            </w: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8860" w:type="dxa"/>
            <w:gridSpan w:val="11"/>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注：本表反映部门本年度政府性基金预算财政拨款收入、支出及结转和结余情况。</w:t>
            </w:r>
            <w:r>
              <w:rPr>
                <w:rFonts w:ascii="宋体" w:hAnsi="宋体" w:cs="宋体"/>
                <w:color w:val="000000"/>
                <w:kern w:val="0"/>
                <w:szCs w:val="21"/>
              </w:rPr>
              <w:t xml:space="preserve">  </w:t>
            </w:r>
            <w:r>
              <w:rPr>
                <w:rFonts w:hint="eastAsia" w:ascii="宋体" w:hAnsi="宋体" w:cs="宋体"/>
                <w:color w:val="000000"/>
                <w:kern w:val="0"/>
                <w:szCs w:val="21"/>
                <w:lang w:val="en-US" w:eastAsia="zh-CN"/>
              </w:rPr>
              <w:t xml:space="preserve">            </w:t>
            </w:r>
            <w:r>
              <w:rPr>
                <w:rFonts w:hint="eastAsia" w:ascii="宋体" w:hAnsi="宋体" w:eastAsia="宋体" w:cs="宋体"/>
              </w:rPr>
              <w:t>本部门本年度无相关收入（或支出、收支及结转结余等）情况，按要求空表列示</w:t>
            </w:r>
            <w:r>
              <w:rPr>
                <w:rFonts w:hint="eastAsia" w:ascii="宋体" w:hAnsi="宋体" w:eastAsia="宋体" w:cs="宋体"/>
              </w:rPr>
              <w:br w:type="page"/>
            </w:r>
            <w:r>
              <w:rPr>
                <w:rFonts w:ascii="宋体" w:hAnsi="宋体" w:cs="宋体"/>
                <w:color w:val="000000"/>
                <w:kern w:val="0"/>
                <w:szCs w:val="21"/>
              </w:rPr>
              <w:t xml:space="preserve">       </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3"/>
        <w:tblW w:w="8800" w:type="dxa"/>
        <w:tblInd w:w="0" w:type="dxa"/>
        <w:tblLayout w:type="fixed"/>
        <w:tblCellMar>
          <w:top w:w="0" w:type="dxa"/>
          <w:left w:w="0" w:type="dxa"/>
          <w:bottom w:w="0" w:type="dxa"/>
          <w:right w:w="0" w:type="dxa"/>
        </w:tblCellMar>
      </w:tblPr>
      <w:tblGrid>
        <w:gridCol w:w="442"/>
        <w:gridCol w:w="208"/>
        <w:gridCol w:w="504"/>
        <w:gridCol w:w="274"/>
        <w:gridCol w:w="894"/>
        <w:gridCol w:w="783"/>
        <w:gridCol w:w="252"/>
        <w:gridCol w:w="1646"/>
        <w:gridCol w:w="359"/>
        <w:gridCol w:w="1539"/>
        <w:gridCol w:w="1899"/>
      </w:tblGrid>
      <w:tr>
        <w:tblPrEx>
          <w:tblCellMar>
            <w:top w:w="0" w:type="dxa"/>
            <w:left w:w="0" w:type="dxa"/>
            <w:bottom w:w="0" w:type="dxa"/>
            <w:right w:w="0" w:type="dxa"/>
          </w:tblCellMar>
        </w:tblPrEx>
        <w:trPr>
          <w:trHeight w:val="656" w:hRule="atLeast"/>
        </w:trPr>
        <w:tc>
          <w:tcPr>
            <w:tcW w:w="8800" w:type="dxa"/>
            <w:gridSpan w:val="11"/>
            <w:tcBorders>
              <w:top w:val="nil"/>
              <w:left w:val="nil"/>
              <w:bottom w:val="nil"/>
              <w:right w:val="nil"/>
            </w:tcBorders>
            <w:noWrap/>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国有资本经营预算财政拨</w:t>
            </w:r>
            <w:r>
              <w:pict>
                <v:group id="组合 58" o:spid="_x0000_s1065" o:spt="203" style="position:absolute;left:0pt;margin-left:-80.9pt;margin-top:-81.1pt;height:41.2pt;width:243.2pt;mso-position-vertical-relative:page;z-index:251682816;mso-width-relative:page;mso-height-relative:page;" coordorigin="4551,52615" coordsize="8546,1398">
                  <o:lock v:ext="edit"/>
                  <v:rect id="矩形 13" o:spid="_x0000_s1066" o:spt="1" style="position:absolute;left:4551;top:52615;height:1175;width:8546;v-text-anchor:middle;" fillcolor="#96DA9D" filled="t" stroked="f" coordsize="21600,21600">
                    <v:path/>
                    <v:fill on="t" focussize="0,0"/>
                    <v:stroke on="f" weight="2pt"/>
                    <v:imagedata o:title=""/>
                    <o:lock v:ext="edit"/>
                  </v:rect>
                  <v:rect id="矩形 14" o:spid="_x0000_s1067"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款支出决算表</w:t>
            </w:r>
          </w:p>
        </w:tc>
      </w:tr>
      <w:tr>
        <w:tblPrEx>
          <w:tblCellMar>
            <w:top w:w="0" w:type="dxa"/>
            <w:left w:w="0" w:type="dxa"/>
            <w:bottom w:w="0" w:type="dxa"/>
            <w:right w:w="0" w:type="dxa"/>
          </w:tblCellMar>
        </w:tblPrEx>
        <w:trPr>
          <w:trHeight w:val="335" w:hRule="atLeast"/>
        </w:trPr>
        <w:tc>
          <w:tcPr>
            <w:tcW w:w="442"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8"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04"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168" w:type="dxa"/>
            <w:gridSpan w:val="2"/>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035" w:type="dxa"/>
            <w:gridSpan w:val="2"/>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05" w:type="dxa"/>
            <w:gridSpan w:val="2"/>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noWrap/>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rPr>
            </w:pPr>
            <w:r>
              <w:rPr>
                <w:rFonts w:hint="eastAsia" w:ascii="宋体" w:hAnsi="宋体" w:cs="宋体"/>
                <w:color w:val="000000"/>
                <w:kern w:val="0"/>
                <w:sz w:val="22"/>
                <w:szCs w:val="22"/>
              </w:rPr>
              <w:t>公开</w:t>
            </w:r>
            <w:r>
              <w:rPr>
                <w:rFonts w:ascii="宋体" w:hAnsi="宋体" w:cs="宋体"/>
                <w:color w:val="000000"/>
                <w:kern w:val="0"/>
                <w:sz w:val="22"/>
                <w:szCs w:val="22"/>
              </w:rPr>
              <w:t>09</w:t>
            </w:r>
            <w:r>
              <w:rPr>
                <w:rFonts w:hint="eastAsia" w:ascii="宋体" w:hAnsi="宋体" w:cs="宋体"/>
                <w:color w:val="000000"/>
                <w:kern w:val="0"/>
                <w:sz w:val="22"/>
                <w:szCs w:val="22"/>
              </w:rPr>
              <w:t>表</w:t>
            </w:r>
          </w:p>
        </w:tc>
      </w:tr>
      <w:tr>
        <w:tblPrEx>
          <w:tblCellMar>
            <w:top w:w="0" w:type="dxa"/>
            <w:left w:w="0" w:type="dxa"/>
            <w:bottom w:w="0" w:type="dxa"/>
            <w:right w:w="0" w:type="dxa"/>
          </w:tblCellMar>
        </w:tblPrEx>
        <w:trPr>
          <w:trHeight w:val="335" w:hRule="atLeast"/>
        </w:trPr>
        <w:tc>
          <w:tcPr>
            <w:tcW w:w="3357" w:type="dxa"/>
            <w:gridSpan w:val="7"/>
            <w:tcBorders>
              <w:top w:val="nil"/>
              <w:left w:val="nil"/>
              <w:bottom w:val="nil"/>
              <w:right w:val="nil"/>
            </w:tcBorders>
            <w:noWrap/>
            <w:tcMar>
              <w:top w:w="15" w:type="dxa"/>
              <w:left w:w="15" w:type="dxa"/>
              <w:right w:w="15" w:type="dxa"/>
            </w:tcMar>
            <w:vAlign w:val="center"/>
          </w:tcPr>
          <w:p>
            <w:pPr>
              <w:widowControl/>
              <w:spacing w:after="0" w:line="240" w:lineRule="auto"/>
              <w:jc w:val="left"/>
              <w:textAlignment w:val="center"/>
              <w:rPr>
                <w:rFonts w:ascii="宋体" w:cs="宋体"/>
                <w:color w:val="000000"/>
                <w:sz w:val="22"/>
                <w:szCs w:val="22"/>
              </w:rPr>
            </w:pPr>
            <w:r>
              <w:rPr>
                <w:rFonts w:hint="eastAsia" w:ascii="宋体" w:hAnsi="宋体" w:cs="宋体"/>
                <w:color w:val="000000"/>
                <w:kern w:val="0"/>
                <w:sz w:val="22"/>
                <w:szCs w:val="22"/>
              </w:rPr>
              <w:t>编制单位：</w:t>
            </w:r>
          </w:p>
        </w:tc>
        <w:tc>
          <w:tcPr>
            <w:tcW w:w="2005" w:type="dxa"/>
            <w:gridSpan w:val="2"/>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noWrap/>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trHeight w:val="358" w:hRule="atLeast"/>
        </w:trPr>
        <w:tc>
          <w:tcPr>
            <w:tcW w:w="3105" w:type="dxa"/>
            <w:gridSpan w:val="6"/>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科目</w:t>
            </w:r>
          </w:p>
        </w:tc>
        <w:tc>
          <w:tcPr>
            <w:tcW w:w="5695" w:type="dxa"/>
            <w:gridSpan w:val="5"/>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本年支出</w:t>
            </w:r>
          </w:p>
        </w:tc>
      </w:tr>
      <w:tr>
        <w:tblPrEx>
          <w:tblCellMar>
            <w:top w:w="0" w:type="dxa"/>
            <w:left w:w="0" w:type="dxa"/>
            <w:bottom w:w="0" w:type="dxa"/>
            <w:right w:w="0" w:type="dxa"/>
          </w:tblCellMar>
        </w:tblPrEx>
        <w:trPr>
          <w:trHeight w:val="826" w:hRule="atLeast"/>
        </w:trPr>
        <w:tc>
          <w:tcPr>
            <w:tcW w:w="1428" w:type="dxa"/>
            <w:gridSpan w:val="4"/>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功能分类科目编码</w:t>
            </w: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科目名称</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小计</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基本支出</w:t>
            </w: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项目支出</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栏次</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ascii="宋体" w:hAnsi="宋体" w:cs="宋体"/>
                <w:color w:val="000000"/>
                <w:kern w:val="0"/>
                <w:sz w:val="22"/>
                <w:szCs w:val="22"/>
              </w:rPr>
              <w:t>1</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ascii="宋体" w:hAnsi="宋体" w:cs="宋体"/>
                <w:color w:val="000000"/>
                <w:kern w:val="0"/>
                <w:sz w:val="22"/>
                <w:szCs w:val="22"/>
              </w:rPr>
              <w:t>2</w:t>
            </w: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ascii="宋体" w:hAnsi="宋体" w:cs="宋体"/>
                <w:color w:val="000000"/>
                <w:kern w:val="0"/>
                <w:sz w:val="22"/>
                <w:szCs w:val="22"/>
              </w:rPr>
              <w:t>3</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合计</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58" w:hRule="atLeast"/>
        </w:trPr>
        <w:tc>
          <w:tcPr>
            <w:tcW w:w="8800" w:type="dxa"/>
            <w:gridSpan w:val="11"/>
            <w:tcBorders>
              <w:top w:val="nil"/>
              <w:left w:val="nil"/>
              <w:bottom w:val="nil"/>
              <w:right w:val="nil"/>
            </w:tcBorders>
            <w:tcMar>
              <w:top w:w="15" w:type="dxa"/>
              <w:left w:w="15" w:type="dxa"/>
              <w:right w:w="15" w:type="dxa"/>
            </w:tcMar>
            <w:vAlign w:val="center"/>
          </w:tcPr>
          <w:p>
            <w:pPr>
              <w:widowControl/>
              <w:spacing w:after="0" w:line="240" w:lineRule="auto"/>
              <w:jc w:val="left"/>
              <w:textAlignment w:val="center"/>
              <w:rPr>
                <w:rFonts w:ascii="宋体" w:cs="宋体"/>
                <w:color w:val="000000"/>
                <w:sz w:val="22"/>
                <w:szCs w:val="22"/>
              </w:rPr>
            </w:pPr>
            <w:r>
              <w:rPr>
                <w:rFonts w:hint="eastAsia" w:ascii="宋体" w:hAnsi="宋体" w:cs="宋体"/>
                <w:color w:val="000000"/>
                <w:kern w:val="0"/>
                <w:sz w:val="22"/>
                <w:szCs w:val="22"/>
              </w:rPr>
              <w:t>注：本表反映部门本年度国有资本经营预算财政拨款支出情况。</w:t>
            </w:r>
            <w:r>
              <w:rPr>
                <w:rFonts w:hint="eastAsia" w:ascii="宋体" w:hAnsi="宋体" w:cs="宋体"/>
                <w:color w:val="000000"/>
                <w:kern w:val="0"/>
                <w:sz w:val="22"/>
                <w:szCs w:val="22"/>
                <w:lang w:val="en-US" w:eastAsia="zh-CN"/>
              </w:rPr>
              <w:t xml:space="preserve">                        </w:t>
            </w:r>
            <w:r>
              <w:rPr>
                <w:rFonts w:hint="eastAsia" w:ascii="宋体" w:hAnsi="宋体" w:eastAsia="宋体" w:cs="宋体"/>
              </w:rPr>
              <w:t>本部门本年度无相关收入（或支出、收支及结转结余等）情况，按要求空表列示</w:t>
            </w:r>
            <w:r>
              <w:rPr>
                <w:rFonts w:hint="eastAsia" w:ascii="宋体" w:hAnsi="宋体" w:eastAsia="宋体" w:cs="宋体"/>
              </w:rPr>
              <w:br w:type="page"/>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3"/>
        <w:tblW w:w="8940" w:type="dxa"/>
        <w:tblInd w:w="0" w:type="dxa"/>
        <w:tblLayout w:type="fixed"/>
        <w:tblCellMar>
          <w:top w:w="0" w:type="dxa"/>
          <w:left w:w="0" w:type="dxa"/>
          <w:bottom w:w="0" w:type="dxa"/>
          <w:right w:w="0" w:type="dxa"/>
        </w:tblCellMar>
      </w:tblPr>
      <w:tblGrid>
        <w:gridCol w:w="1901"/>
        <w:gridCol w:w="1203"/>
        <w:gridCol w:w="790"/>
        <w:gridCol w:w="362"/>
        <w:gridCol w:w="911"/>
        <w:gridCol w:w="241"/>
        <w:gridCol w:w="1032"/>
        <w:gridCol w:w="120"/>
        <w:gridCol w:w="1154"/>
        <w:gridCol w:w="1226"/>
      </w:tblGrid>
      <w:tr>
        <w:tblPrEx>
          <w:tblCellMar>
            <w:top w:w="0" w:type="dxa"/>
            <w:left w:w="0" w:type="dxa"/>
            <w:bottom w:w="0" w:type="dxa"/>
            <w:right w:w="0" w:type="dxa"/>
          </w:tblCellMar>
        </w:tblPrEx>
        <w:trPr>
          <w:trHeight w:val="635" w:hRule="atLeast"/>
        </w:trPr>
        <w:tc>
          <w:tcPr>
            <w:tcW w:w="8940" w:type="dxa"/>
            <w:gridSpan w:val="10"/>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政府采购</w:t>
            </w:r>
            <w:r>
              <w:pict>
                <v:group id="组合 61" o:spid="_x0000_s1068" o:spt="203" style="position:absolute;left:0pt;margin-left:-80.9pt;margin-top:-81.1pt;height:41.2pt;width:243.2pt;mso-position-vertical-relative:page;z-index:251683840;mso-width-relative:page;mso-height-relative:page;" coordorigin="4551,52615" coordsize="8546,1398">
                  <o:lock v:ext="edit"/>
                  <v:rect id="矩形 13" o:spid="_x0000_s1069" o:spt="1" style="position:absolute;left:4551;top:52615;height:1175;width:8546;v-text-anchor:middle;" fillcolor="#96DA9D" filled="t" stroked="f" coordsize="21600,21600">
                    <v:path/>
                    <v:fill on="t" focussize="0,0"/>
                    <v:stroke on="f" weight="2pt"/>
                    <v:imagedata o:title=""/>
                    <o:lock v:ext="edit"/>
                  </v:rect>
                  <v:rect id="矩形 14" o:spid="_x0000_s1070"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情况表</w:t>
            </w:r>
          </w:p>
        </w:tc>
      </w:tr>
      <w:tr>
        <w:tblPrEx>
          <w:tblCellMar>
            <w:top w:w="0" w:type="dxa"/>
            <w:left w:w="0" w:type="dxa"/>
            <w:bottom w:w="0" w:type="dxa"/>
            <w:right w:w="0" w:type="dxa"/>
          </w:tblCellMar>
        </w:tblPrEx>
        <w:trPr>
          <w:trHeight w:val="326" w:hRule="atLeast"/>
        </w:trPr>
        <w:tc>
          <w:tcPr>
            <w:tcW w:w="1901"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03"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790"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2500" w:type="dxa"/>
            <w:gridSpan w:val="3"/>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10</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360" w:hRule="atLeast"/>
        </w:trPr>
        <w:tc>
          <w:tcPr>
            <w:tcW w:w="6440" w:type="dxa"/>
            <w:gridSpan w:val="7"/>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编制单位：</w:t>
            </w:r>
          </w:p>
        </w:tc>
        <w:tc>
          <w:tcPr>
            <w:tcW w:w="2500" w:type="dxa"/>
            <w:gridSpan w:val="3"/>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09" w:hRule="atLeast"/>
        </w:trPr>
        <w:tc>
          <w:tcPr>
            <w:tcW w:w="1901"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w:t>
            </w:r>
          </w:p>
        </w:tc>
        <w:tc>
          <w:tcPr>
            <w:tcW w:w="7039" w:type="dxa"/>
            <w:gridSpan w:val="9"/>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采购计划金额</w:t>
            </w:r>
          </w:p>
        </w:tc>
      </w:tr>
      <w:tr>
        <w:tblPrEx>
          <w:tblCellMar>
            <w:top w:w="0" w:type="dxa"/>
            <w:left w:w="0" w:type="dxa"/>
            <w:bottom w:w="0" w:type="dxa"/>
            <w:right w:w="0" w:type="dxa"/>
          </w:tblCellMar>
        </w:tblPrEx>
        <w:trPr>
          <w:trHeight w:val="398" w:hRule="atLeast"/>
        </w:trPr>
        <w:tc>
          <w:tcPr>
            <w:tcW w:w="1901"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203"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473" w:hRule="atLeast"/>
        </w:trPr>
        <w:tc>
          <w:tcPr>
            <w:tcW w:w="1901"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203"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w:t>
            </w:r>
            <w:r>
              <w:rPr>
                <w:rFonts w:ascii="宋体" w:hAnsi="宋体" w:cs="宋体"/>
                <w:color w:val="000000"/>
                <w:kern w:val="0"/>
                <w:szCs w:val="21"/>
              </w:rPr>
              <w:t xml:space="preserve">       </w:t>
            </w:r>
            <w:r>
              <w:rPr>
                <w:rFonts w:hint="eastAsia" w:ascii="宋体" w:hAnsi="宋体" w:cs="宋体"/>
                <w:color w:val="000000"/>
                <w:kern w:val="0"/>
                <w:szCs w:val="21"/>
              </w:rPr>
              <w:t>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09" w:hRule="atLeast"/>
        </w:trPr>
        <w:tc>
          <w:tcPr>
            <w:tcW w:w="1901" w:type="dxa"/>
            <w:vMerge w:val="restar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w:t>
            </w:r>
          </w:p>
        </w:tc>
        <w:tc>
          <w:tcPr>
            <w:tcW w:w="7039" w:type="dxa"/>
            <w:gridSpan w:val="9"/>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实际采购金额</w:t>
            </w:r>
          </w:p>
        </w:tc>
      </w:tr>
      <w:tr>
        <w:tblPrEx>
          <w:tblCellMar>
            <w:top w:w="0" w:type="dxa"/>
            <w:left w:w="0" w:type="dxa"/>
            <w:bottom w:w="0" w:type="dxa"/>
            <w:right w:w="0" w:type="dxa"/>
          </w:tblCellMar>
        </w:tblPrEx>
        <w:trPr>
          <w:trHeight w:val="350" w:hRule="atLeast"/>
        </w:trPr>
        <w:tc>
          <w:tcPr>
            <w:tcW w:w="1901" w:type="dxa"/>
            <w:vMerge w:val="continue"/>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203"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543" w:hRule="atLeast"/>
        </w:trPr>
        <w:tc>
          <w:tcPr>
            <w:tcW w:w="1901" w:type="dxa"/>
            <w:vMerge w:val="continue"/>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203"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09"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w:t>
            </w:r>
            <w:r>
              <w:rPr>
                <w:rFonts w:ascii="宋体" w:hAnsi="宋体" w:cs="宋体"/>
                <w:color w:val="000000"/>
                <w:kern w:val="0"/>
                <w:szCs w:val="21"/>
              </w:rPr>
              <w:t xml:space="preserve">       </w:t>
            </w:r>
            <w:r>
              <w:rPr>
                <w:rFonts w:hint="eastAsia" w:ascii="宋体" w:hAnsi="宋体" w:cs="宋体"/>
                <w:color w:val="000000"/>
                <w:kern w:val="0"/>
                <w:szCs w:val="21"/>
              </w:rPr>
              <w:t>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98" w:hRule="atLeast"/>
        </w:trPr>
        <w:tc>
          <w:tcPr>
            <w:tcW w:w="8940" w:type="dxa"/>
            <w:gridSpan w:val="10"/>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注：本表反映部门本年度纳入部门预算范围的政府采购预算及支出情况。</w:t>
            </w:r>
            <w:r>
              <w:rPr>
                <w:rFonts w:ascii="宋体" w:hAnsi="宋体" w:cs="宋体"/>
                <w:color w:val="000000"/>
                <w:kern w:val="0"/>
                <w:szCs w:val="21"/>
              </w:rPr>
              <w:t xml:space="preserve">  </w:t>
            </w:r>
            <w:r>
              <w:rPr>
                <w:rFonts w:hint="eastAsia" w:ascii="宋体" w:hAnsi="宋体" w:cs="宋体"/>
                <w:color w:val="000000"/>
                <w:kern w:val="0"/>
                <w:szCs w:val="21"/>
                <w:lang w:val="en-US" w:eastAsia="zh-CN"/>
              </w:rPr>
              <w:t xml:space="preserve">                   </w:t>
            </w:r>
            <w:r>
              <w:rPr>
                <w:rFonts w:hint="eastAsia" w:ascii="宋体" w:hAnsi="宋体" w:eastAsia="宋体" w:cs="宋体"/>
              </w:rPr>
              <w:t>本部门本年度无相关收入（或支出、收支及结转结余等）情况，按要求空表列示</w:t>
            </w:r>
            <w:r>
              <w:rPr>
                <w:rFonts w:hint="eastAsia" w:ascii="宋体" w:hAnsi="宋体" w:eastAsia="宋体" w:cs="宋体"/>
              </w:rPr>
              <w:br w:type="page"/>
            </w:r>
            <w:r>
              <w:rPr>
                <w:rFonts w:ascii="宋体" w:hAnsi="宋体" w:cs="宋体"/>
                <w:color w:val="000000"/>
                <w:kern w:val="0"/>
                <w:szCs w:val="21"/>
              </w:rPr>
              <w:t xml:space="preserve">   </w:t>
            </w:r>
          </w:p>
        </w:tc>
      </w:tr>
    </w:tbl>
    <w:p>
      <w:pPr>
        <w:widowControl/>
        <w:spacing w:after="0" w:line="560" w:lineRule="exact"/>
        <w:jc w:val="left"/>
        <w:rPr>
          <w:rFonts w:ascii="仿宋_GB2312" w:hAnsi="宋体" w:eastAsia="仿宋_GB2312"/>
          <w:b/>
          <w:sz w:val="28"/>
          <w:szCs w:val="28"/>
          <w:highlight w:val="yellow"/>
        </w:rPr>
      </w:pPr>
    </w:p>
    <w:p/>
    <w:p/>
    <w:p/>
    <w:p/>
    <w:p>
      <w:pPr>
        <w:tabs>
          <w:tab w:val="left" w:pos="1086"/>
        </w:tabs>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r>
        <w:tab/>
      </w:r>
    </w:p>
    <w:p>
      <w:pPr>
        <w:rPr>
          <w:rFonts w:ascii="宋体" w:cs="ArialUnicodeMS"/>
          <w:color w:val="000000"/>
          <w:kern w:val="0"/>
        </w:rPr>
        <w:sectPr>
          <w:pgSz w:w="11906" w:h="16838"/>
          <w:pgMar w:top="2098" w:right="1474" w:bottom="1984" w:left="1588" w:header="851" w:footer="992" w:gutter="0"/>
          <w:cols w:space="0" w:num="1"/>
          <w:docGrid w:type="lines" w:linePitch="312" w:charSpace="0"/>
        </w:sectPr>
      </w:pPr>
      <w:r>
        <w:pict>
          <v:shape id="图片 4" o:spid="_x0000_s1071" o:spt="75" alt="2" type="#_x0000_t75" style="position:absolute;left:0pt;margin-left:-79.45pt;margin-top:-105.35pt;height:840.95pt;width:594.5pt;z-index:-251650048;mso-width-relative:page;mso-height-relative:page;" filled="f" o:preferrelative="t" stroked="f" coordsize="21600,21600">
            <v:path/>
            <v:fill on="f" focussize="0,0"/>
            <v:stroke on="f" joinstyle="miter"/>
            <v:imagedata r:id="rId7" o:title=""/>
            <o:lock v:ext="edit" aspectratio="t"/>
          </v:shape>
        </w:pict>
      </w:r>
      <w:r>
        <w:pict>
          <v:shape id="文本框 5" o:spid="_x0000_s1072" o:spt="202" type="#_x0000_t202" style="position:absolute;left:0pt;margin-left:-78.7pt;margin-top:232.8pt;height:159.1pt;width:596.2pt;z-index:251665408;mso-width-relative:page;mso-height-relative:page;" filled="f" stroked="f" coordsize="21600,21600">
            <v:path/>
            <v:fill on="f" focussize="0,0"/>
            <v:stroke on="f" weight="0.5pt" joinstyle="miter"/>
            <v:imagedata o:title=""/>
            <o:lock v:ext="edit"/>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第三部分</w:t>
                  </w:r>
                </w:p>
                <w:p>
                  <w:pPr>
                    <w:widowControl/>
                    <w:spacing w:line="1200" w:lineRule="exact"/>
                    <w:jc w:val="center"/>
                    <w:rPr>
                      <w:color w:val="FDEFBE"/>
                      <w:sz w:val="96"/>
                      <w:szCs w:val="96"/>
                    </w:rPr>
                  </w:pPr>
                  <w:r>
                    <w:rPr>
                      <w:rFonts w:hint="eastAsia" w:ascii="黑体" w:hAnsi="宋体" w:eastAsia="黑体"/>
                      <w:color w:val="FDEFBE"/>
                      <w:sz w:val="96"/>
                      <w:szCs w:val="96"/>
                    </w:rPr>
                    <w:t>部门决算情况说明</w:t>
                  </w:r>
                </w:p>
              </w:txbxContent>
            </v:textbox>
          </v:shape>
        </w:pict>
      </w:r>
    </w:p>
    <w:p>
      <w:pPr>
        <w:pStyle w:val="3"/>
        <w:spacing w:before="0" w:after="0" w:line="580" w:lineRule="exact"/>
        <w:ind w:firstLine="640" w:firstLineChars="200"/>
        <w:rPr>
          <w:rFonts w:ascii="黑体" w:eastAsia="黑体"/>
          <w:b w:val="0"/>
          <w:bCs w:val="0"/>
        </w:rPr>
      </w:pPr>
      <w:r>
        <w:rPr>
          <w:rFonts w:hint="eastAsia" w:ascii="黑体" w:eastAsia="黑体"/>
          <w:b w:val="0"/>
          <w:bCs w:val="0"/>
        </w:rPr>
        <w:t>一、收入</w:t>
      </w:r>
      <w:r>
        <w:rPr>
          <w:rFonts w:hint="eastAsia" w:ascii="黑体" w:hAnsi="Cambria" w:eastAsia="黑体" w:cs="黑体"/>
          <w:b w:val="0"/>
          <w:bCs w:val="0"/>
          <w:kern w:val="0"/>
        </w:rPr>
        <w:t>支</w:t>
      </w:r>
      <w:r>
        <w:pict>
          <v:group id="组合 18" o:spid="_x0000_s1073" o:spt="203" style="position:absolute;left:0pt;margin-left:-79.5pt;margin-top:29.3pt;height:43.95pt;width:301.85pt;mso-position-vertical-relative:page;z-index:251692032;mso-width-relative:page;mso-height-relative:page;" coordorigin="4551,52615" coordsize="8546,1398">
            <o:lock v:ext="edit"/>
            <v:rect id="矩形 13" o:spid="_x0000_s1074" o:spt="1" style="position:absolute;left:4551;top:52615;height:1175;width:8546;v-text-anchor:middle;" fillcolor="#96DA9D" filled="t" stroked="f" coordsize="21600,21600">
              <v:path/>
              <v:fill on="t" focussize="0,0"/>
              <v:stroke on="f" weight="2pt"/>
              <v:imagedata o:title=""/>
              <o:lock v:ext="edit"/>
            </v:rect>
            <v:rect id="矩形 14" o:spid="_x0000_s1075"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黑体" w:hAnsi="Cambria" w:eastAsia="黑体" w:cs="黑体"/>
          <w:b w:val="0"/>
          <w:bCs w:val="0"/>
          <w:kern w:val="0"/>
        </w:rPr>
        <w:t>出</w:t>
      </w:r>
      <w:r>
        <w:rPr>
          <w:rFonts w:hint="eastAsia" w:ascii="黑体" w:eastAsia="黑体"/>
          <w:b w:val="0"/>
          <w:bCs w:val="0"/>
        </w:rPr>
        <w:t>决算总体情况说明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年度收入总计（含结转和结余）</w:t>
      </w:r>
      <w:r>
        <w:rPr>
          <w:rFonts w:hint="eastAsia" w:ascii="仿宋" w:hAnsi="仿宋" w:eastAsia="仿宋" w:cs="仿宋"/>
          <w:sz w:val="28"/>
          <w:szCs w:val="28"/>
          <w:lang w:val="en-US" w:eastAsia="zh-CN"/>
        </w:rPr>
        <w:t>389.88</w:t>
      </w:r>
      <w:r>
        <w:rPr>
          <w:rFonts w:hint="eastAsia" w:ascii="仿宋_GB2312" w:eastAsia="仿宋_GB2312" w:cs="DengXian-Regular"/>
          <w:sz w:val="32"/>
          <w:szCs w:val="32"/>
        </w:rPr>
        <w:t>万元。与</w:t>
      </w:r>
      <w:r>
        <w:rPr>
          <w:rFonts w:ascii="仿宋_GB2312" w:eastAsia="仿宋_GB2312" w:cs="DengXian-Regular"/>
          <w:sz w:val="32"/>
          <w:szCs w:val="32"/>
        </w:rPr>
        <w:t>2017</w:t>
      </w:r>
      <w:r>
        <w:rPr>
          <w:rFonts w:hint="eastAsia" w:ascii="仿宋_GB2312" w:eastAsia="仿宋_GB2312" w:cs="DengXian-Regular"/>
          <w:sz w:val="32"/>
          <w:szCs w:val="32"/>
        </w:rPr>
        <w:t>年度决算相比，收入增加</w:t>
      </w:r>
      <w:r>
        <w:rPr>
          <w:rFonts w:hint="eastAsia" w:ascii="仿宋" w:hAnsi="仿宋" w:eastAsia="仿宋" w:cs="仿宋"/>
          <w:sz w:val="28"/>
          <w:szCs w:val="28"/>
          <w:lang w:val="en-US" w:eastAsia="zh-CN"/>
        </w:rPr>
        <w:t>105.91</w:t>
      </w:r>
      <w:r>
        <w:rPr>
          <w:rFonts w:hint="eastAsia" w:ascii="仿宋_GB2312" w:eastAsia="仿宋_GB2312" w:cs="DengXian-Regular"/>
          <w:sz w:val="32"/>
          <w:szCs w:val="32"/>
        </w:rPr>
        <w:t>万元，增长</w:t>
      </w:r>
      <w:r>
        <w:rPr>
          <w:rFonts w:hint="eastAsia" w:ascii="仿宋" w:hAnsi="仿宋" w:eastAsia="仿宋" w:cs="仿宋"/>
          <w:sz w:val="28"/>
          <w:szCs w:val="28"/>
          <w:lang w:val="en-US" w:eastAsia="zh-CN"/>
        </w:rPr>
        <w:t>37.30</w:t>
      </w:r>
      <w:r>
        <w:rPr>
          <w:rFonts w:ascii="仿宋_GB2312" w:eastAsia="仿宋_GB2312" w:cs="DengXian-Regular"/>
          <w:sz w:val="32"/>
          <w:szCs w:val="32"/>
        </w:rPr>
        <w:t>%</w:t>
      </w:r>
      <w:r>
        <w:rPr>
          <w:rFonts w:hint="eastAsia" w:ascii="仿宋_GB2312" w:eastAsia="仿宋_GB2312" w:cs="DengXian-Regular"/>
          <w:sz w:val="32"/>
          <w:szCs w:val="32"/>
        </w:rPr>
        <w:t>，主要原因是201</w:t>
      </w:r>
      <w:r>
        <w:rPr>
          <w:rFonts w:hint="eastAsia" w:ascii="仿宋_GB2312" w:eastAsia="仿宋_GB2312" w:cs="DengXian-Regular"/>
          <w:sz w:val="32"/>
          <w:szCs w:val="32"/>
          <w:lang w:val="en-US" w:eastAsia="zh-CN"/>
        </w:rPr>
        <w:t>8</w:t>
      </w:r>
      <w:r>
        <w:rPr>
          <w:rFonts w:hint="eastAsia" w:ascii="仿宋_GB2312" w:eastAsia="仿宋_GB2312" w:cs="DengXian-Regular"/>
          <w:sz w:val="32"/>
          <w:szCs w:val="32"/>
        </w:rPr>
        <w:t>年</w:t>
      </w:r>
      <w:r>
        <w:rPr>
          <w:rFonts w:hint="eastAsia" w:ascii="仿宋_GB2312" w:eastAsia="仿宋_GB2312" w:cs="DengXian-Regular"/>
          <w:sz w:val="32"/>
          <w:szCs w:val="32"/>
          <w:lang w:val="en-US" w:eastAsia="zh-CN"/>
        </w:rPr>
        <w:t>人均增资300元，增加经济普查经费50万元</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年度支出总计（含结转和结余）</w:t>
      </w:r>
      <w:r>
        <w:rPr>
          <w:rFonts w:hint="eastAsia" w:ascii="仿宋" w:hAnsi="仿宋" w:eastAsia="仿宋" w:cs="仿宋"/>
          <w:sz w:val="28"/>
          <w:szCs w:val="28"/>
          <w:lang w:val="en-US" w:eastAsia="zh-CN"/>
        </w:rPr>
        <w:t>389.88</w:t>
      </w:r>
      <w:r>
        <w:rPr>
          <w:rFonts w:hint="eastAsia" w:ascii="仿宋_GB2312" w:eastAsia="仿宋_GB2312" w:cs="DengXian-Regular"/>
          <w:sz w:val="32"/>
          <w:szCs w:val="32"/>
        </w:rPr>
        <w:t>万元。与</w:t>
      </w:r>
      <w:r>
        <w:rPr>
          <w:rFonts w:ascii="仿宋_GB2312" w:eastAsia="仿宋_GB2312" w:cs="DengXian-Regular"/>
          <w:sz w:val="32"/>
          <w:szCs w:val="32"/>
        </w:rPr>
        <w:t>2017</w:t>
      </w:r>
      <w:r>
        <w:rPr>
          <w:rFonts w:hint="eastAsia" w:ascii="仿宋_GB2312" w:eastAsia="仿宋_GB2312" w:cs="DengXian-Regular"/>
          <w:sz w:val="32"/>
          <w:szCs w:val="32"/>
        </w:rPr>
        <w:t>年度决算相比，支出增加</w:t>
      </w:r>
      <w:r>
        <w:rPr>
          <w:rFonts w:hint="eastAsia" w:ascii="仿宋" w:hAnsi="仿宋" w:eastAsia="仿宋" w:cs="仿宋"/>
          <w:sz w:val="28"/>
          <w:szCs w:val="28"/>
          <w:lang w:val="en-US" w:eastAsia="zh-CN"/>
        </w:rPr>
        <w:t>105.91</w:t>
      </w:r>
      <w:r>
        <w:rPr>
          <w:rFonts w:hint="eastAsia" w:ascii="仿宋_GB2312" w:eastAsia="仿宋_GB2312" w:cs="DengXian-Regular"/>
          <w:sz w:val="32"/>
          <w:szCs w:val="32"/>
        </w:rPr>
        <w:t>万元，增长</w:t>
      </w:r>
      <w:r>
        <w:rPr>
          <w:rFonts w:hint="eastAsia" w:ascii="仿宋" w:hAnsi="仿宋" w:eastAsia="仿宋" w:cs="仿宋"/>
          <w:sz w:val="28"/>
          <w:szCs w:val="28"/>
          <w:lang w:val="en-US" w:eastAsia="zh-CN"/>
        </w:rPr>
        <w:t>37.30</w:t>
      </w:r>
      <w:r>
        <w:rPr>
          <w:rFonts w:ascii="仿宋_GB2312" w:eastAsia="仿宋_GB2312" w:cs="DengXian-Regular"/>
          <w:sz w:val="32"/>
          <w:szCs w:val="32"/>
        </w:rPr>
        <w:t>%</w:t>
      </w:r>
      <w:r>
        <w:rPr>
          <w:rFonts w:hint="eastAsia" w:ascii="仿宋_GB2312" w:eastAsia="仿宋_GB2312" w:cs="DengXian-Regular"/>
          <w:sz w:val="32"/>
          <w:szCs w:val="32"/>
        </w:rPr>
        <w:t>，主要原因是201</w:t>
      </w:r>
      <w:r>
        <w:rPr>
          <w:rFonts w:hint="eastAsia" w:ascii="仿宋_GB2312" w:eastAsia="仿宋_GB2312" w:cs="DengXian-Regular"/>
          <w:sz w:val="32"/>
          <w:szCs w:val="32"/>
          <w:lang w:val="en-US" w:eastAsia="zh-CN"/>
        </w:rPr>
        <w:t>8</w:t>
      </w:r>
      <w:r>
        <w:rPr>
          <w:rFonts w:hint="eastAsia" w:ascii="仿宋_GB2312" w:eastAsia="仿宋_GB2312" w:cs="DengXian-Regular"/>
          <w:sz w:val="32"/>
          <w:szCs w:val="32"/>
        </w:rPr>
        <w:t>年</w:t>
      </w:r>
      <w:r>
        <w:rPr>
          <w:rFonts w:hint="eastAsia" w:ascii="仿宋_GB2312" w:eastAsia="仿宋_GB2312" w:cs="DengXian-Regular"/>
          <w:sz w:val="32"/>
          <w:szCs w:val="32"/>
          <w:lang w:val="en-US" w:eastAsia="zh-CN"/>
        </w:rPr>
        <w:t>人均增资300元，增加经济普查经费50万元。</w:t>
      </w:r>
    </w:p>
    <w:p>
      <w:pPr>
        <w:pStyle w:val="3"/>
        <w:spacing w:before="0" w:after="0" w:line="580" w:lineRule="exact"/>
        <w:ind w:firstLine="640" w:firstLineChars="200"/>
        <w:rPr>
          <w:rFonts w:ascii="黑体" w:eastAsia="黑体"/>
          <w:b w:val="0"/>
          <w:bCs w:val="0"/>
        </w:rPr>
      </w:pPr>
      <w:r>
        <w:rPr>
          <w:rFonts w:hint="eastAsia" w:ascii="黑体" w:eastAsia="黑体"/>
          <w:b w:val="0"/>
          <w:bCs w:val="0"/>
        </w:rPr>
        <w:t>二、收入决算情况说明</w:t>
      </w:r>
    </w:p>
    <w:p>
      <w:pPr>
        <w:adjustRightInd w:val="0"/>
        <w:snapToGrid w:val="0"/>
        <w:spacing w:line="580" w:lineRule="exact"/>
        <w:ind w:firstLine="640" w:firstLineChars="200"/>
        <w:rPr>
          <w:rFonts w:ascii="黑体" w:hAnsi="Calibri" w:eastAsia="黑体"/>
          <w:b/>
          <w:bCs/>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年度本年收入合计</w:t>
      </w:r>
      <w:r>
        <w:rPr>
          <w:rFonts w:hint="eastAsia" w:ascii="仿宋" w:hAnsi="仿宋" w:eastAsia="仿宋" w:cs="仿宋"/>
          <w:sz w:val="28"/>
          <w:szCs w:val="28"/>
          <w:lang w:val="en-US" w:eastAsia="zh-CN"/>
        </w:rPr>
        <w:t>389.88</w:t>
      </w:r>
      <w:r>
        <w:rPr>
          <w:rFonts w:hint="eastAsia" w:ascii="仿宋_GB2312" w:eastAsia="仿宋_GB2312" w:cs="DengXian-Regular"/>
          <w:sz w:val="32"/>
          <w:szCs w:val="32"/>
        </w:rPr>
        <w:t>万元，其中：财政拨款收入</w:t>
      </w:r>
      <w:r>
        <w:rPr>
          <w:rFonts w:hint="eastAsia" w:ascii="仿宋" w:hAnsi="仿宋" w:eastAsia="仿宋" w:cs="仿宋"/>
          <w:sz w:val="28"/>
          <w:szCs w:val="28"/>
          <w:lang w:val="en-US" w:eastAsia="zh-CN"/>
        </w:rPr>
        <w:t>389.88</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100</w:t>
      </w:r>
      <w:r>
        <w:rPr>
          <w:rFonts w:ascii="仿宋_GB2312" w:eastAsia="仿宋_GB2312" w:cs="DengXian-Regular"/>
          <w:sz w:val="32"/>
          <w:szCs w:val="32"/>
        </w:rPr>
        <w:t>%</w:t>
      </w:r>
      <w:r>
        <w:rPr>
          <w:rFonts w:hint="eastAsia" w:ascii="仿宋_GB2312" w:eastAsia="仿宋_GB2312" w:cs="DengXian-Regular"/>
          <w:sz w:val="32"/>
          <w:szCs w:val="32"/>
        </w:rPr>
        <w:t>。</w:t>
      </w:r>
      <w:r>
        <w:rPr>
          <w:rFonts w:hint="eastAsia" w:ascii="仿宋_GB2312" w:hAnsi="Times New Roman" w:eastAsia="仿宋_GB2312" w:cs="DengXian-Regular"/>
          <w:sz w:val="32"/>
          <w:szCs w:val="32"/>
        </w:rPr>
        <w:t>事业收入0万元，占0</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；经营收入0万元，占0</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；其他收入0万元，占0</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w:t>
      </w:r>
    </w:p>
    <w:p>
      <w:pPr>
        <w:adjustRightInd w:val="0"/>
        <w:snapToGrid w:val="0"/>
        <w:spacing w:after="0" w:line="580" w:lineRule="exact"/>
        <w:ind w:firstLine="640" w:firstLineChars="200"/>
        <w:rPr>
          <w:rFonts w:ascii="仿宋_GB2312" w:eastAsia="仿宋_GB2312" w:cs="DengXian-Regular"/>
          <w:sz w:val="32"/>
          <w:szCs w:val="32"/>
        </w:rPr>
      </w:pPr>
    </w:p>
    <w:p>
      <w:pPr>
        <w:pStyle w:val="3"/>
        <w:spacing w:before="0" w:after="0" w:line="580" w:lineRule="exact"/>
        <w:ind w:firstLine="640" w:firstLineChars="200"/>
        <w:rPr>
          <w:rFonts w:ascii="黑体" w:eastAsia="黑体"/>
          <w:b w:val="0"/>
          <w:bCs w:val="0"/>
        </w:rPr>
      </w:pPr>
      <w:r>
        <w:rPr>
          <w:rFonts w:hint="eastAsia" w:ascii="黑体" w:eastAsia="黑体"/>
          <w:b w:val="0"/>
          <w:bCs w:val="0"/>
        </w:rPr>
        <w:t>三、支出决算情况说明</w:t>
      </w:r>
    </w:p>
    <w:p>
      <w:pPr>
        <w:adjustRightInd w:val="0"/>
        <w:snapToGrid w:val="0"/>
        <w:spacing w:after="0" w:line="580" w:lineRule="exact"/>
        <w:ind w:firstLine="640" w:firstLineChars="200"/>
        <w:rPr>
          <w:rFonts w:hint="default" w:ascii="仿宋_GB2312" w:eastAsia="仿宋_GB2312" w:cs="DengXian-Regular"/>
          <w:sz w:val="32"/>
          <w:szCs w:val="32"/>
          <w:lang w:val="en-US" w:eastAsia="zh-CN"/>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年度本年支出合计</w:t>
      </w:r>
      <w:r>
        <w:rPr>
          <w:rFonts w:hint="eastAsia" w:ascii="仿宋" w:hAnsi="仿宋" w:eastAsia="仿宋" w:cs="仿宋"/>
          <w:sz w:val="28"/>
          <w:szCs w:val="28"/>
          <w:lang w:val="en-US" w:eastAsia="zh-CN"/>
        </w:rPr>
        <w:t>389.88</w:t>
      </w:r>
      <w:r>
        <w:rPr>
          <w:rFonts w:hint="eastAsia" w:ascii="仿宋_GB2312" w:eastAsia="仿宋_GB2312" w:cs="DengXian-Regular"/>
          <w:sz w:val="32"/>
          <w:szCs w:val="32"/>
        </w:rPr>
        <w:t>万元，其中：基本支出</w:t>
      </w:r>
      <w:r>
        <w:rPr>
          <w:rFonts w:hint="eastAsia" w:ascii="仿宋" w:hAnsi="仿宋" w:eastAsia="仿宋" w:cs="仿宋"/>
          <w:sz w:val="28"/>
          <w:szCs w:val="28"/>
          <w:lang w:val="en-US" w:eastAsia="zh-CN"/>
        </w:rPr>
        <w:t>389.88</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100</w:t>
      </w:r>
      <w:r>
        <w:rPr>
          <w:rFonts w:ascii="仿宋_GB2312" w:eastAsia="仿宋_GB2312" w:cs="DengXian-Regular"/>
          <w:sz w:val="32"/>
          <w:szCs w:val="32"/>
        </w:rPr>
        <w:t>%</w:t>
      </w:r>
      <w:r>
        <w:rPr>
          <w:rFonts w:hint="eastAsia" w:ascii="仿宋_GB2312" w:eastAsia="仿宋_GB2312" w:cs="DengXian-Regular"/>
          <w:sz w:val="32"/>
          <w:szCs w:val="32"/>
        </w:rPr>
        <w:t>。</w:t>
      </w:r>
      <w:r>
        <w:rPr>
          <w:rFonts w:hint="eastAsia" w:ascii="仿宋_GB2312" w:eastAsia="仿宋_GB2312" w:cs="DengXian-Regular"/>
          <w:sz w:val="32"/>
          <w:szCs w:val="32"/>
          <w:lang w:val="en-US" w:eastAsia="zh-CN"/>
        </w:rPr>
        <w:t>项目支出0万元，占0%</w:t>
      </w:r>
    </w:p>
    <w:p>
      <w:pPr>
        <w:adjustRightInd w:val="0"/>
        <w:snapToGrid w:val="0"/>
        <w:spacing w:after="0" w:line="580" w:lineRule="exact"/>
        <w:ind w:firstLine="1260" w:firstLineChars="600"/>
        <w:rPr>
          <w:rFonts w:ascii="仿宋_GB2312" w:eastAsia="仿宋_GB2312" w:cs="DengXian-Regular"/>
          <w:sz w:val="32"/>
          <w:szCs w:val="32"/>
        </w:rPr>
      </w:pPr>
      <w:r>
        <w:pict>
          <v:group id="组合 70" o:spid="_x0000_s1082" o:spt="203" style="position:absolute;left:0pt;margin-left:-79.5pt;margin-top:29.3pt;height:43.95pt;width:301.85pt;mso-position-vertical-relative:page;z-index:251684864;mso-width-relative:page;mso-height-relative:page;" coordorigin="4551,52615" coordsize="8546,1398">
            <o:lock v:ext="edit"/>
            <v:rect id="矩形 13" o:spid="_x0000_s1083" o:spt="1" style="position:absolute;left:4551;top:52615;height:1175;width:8546;v-text-anchor:middle;" fillcolor="#96DA9D" filled="t" stroked="f" coordsize="21600,21600">
              <v:path/>
              <v:fill on="t" focussize="0,0"/>
              <v:stroke on="f" weight="2pt"/>
              <v:imagedata o:title=""/>
              <o:lock v:ext="edit"/>
            </v:rect>
            <v:rect id="矩形 14" o:spid="_x0000_s1084"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p>
    <w:p>
      <w:pPr>
        <w:pStyle w:val="3"/>
        <w:spacing w:before="0" w:after="0" w:line="580" w:lineRule="exact"/>
        <w:ind w:firstLine="640" w:firstLineChars="200"/>
        <w:rPr>
          <w:rFonts w:ascii="黑体" w:eastAsia="黑体"/>
          <w:b w:val="0"/>
          <w:bCs w:val="0"/>
        </w:rPr>
      </w:pPr>
      <w:r>
        <w:rPr>
          <w:rFonts w:hint="eastAsia" w:ascii="黑体" w:eastAsia="黑体"/>
          <w:b w:val="0"/>
          <w:bCs w:val="0"/>
        </w:rPr>
        <w:t>四、</w:t>
      </w:r>
      <w:r>
        <w:rPr>
          <w:rFonts w:hint="eastAsia" w:ascii="黑体" w:hAnsi="Cambria" w:eastAsia="黑体" w:cs="黑体"/>
          <w:b w:val="0"/>
          <w:bCs w:val="0"/>
          <w:kern w:val="0"/>
        </w:rPr>
        <w:t>财政</w:t>
      </w:r>
      <w:r>
        <w:rPr>
          <w:rFonts w:hint="eastAsia" w:ascii="黑体" w:eastAsia="黑体"/>
          <w:b w:val="0"/>
          <w:bCs w:val="0"/>
        </w:rPr>
        <w:t>拨款收入支出决算情况说明</w:t>
      </w:r>
    </w:p>
    <w:p>
      <w:pPr>
        <w:spacing w:after="0" w:line="580" w:lineRule="exact"/>
        <w:ind w:firstLine="643" w:firstLineChars="200"/>
        <w:rPr>
          <w:rFonts w:ascii="楷体_GB2312" w:eastAsia="楷体_GB2312" w:cs="DengXian-Bold"/>
          <w:b/>
          <w:bCs/>
          <w:sz w:val="32"/>
          <w:szCs w:val="32"/>
        </w:rPr>
      </w:pPr>
      <w:r>
        <w:rPr>
          <w:rFonts w:hint="eastAsia" w:ascii="楷体_GB2312" w:eastAsia="楷体_GB2312" w:cs="DengXian-Bold"/>
          <w:b/>
          <w:bCs/>
          <w:sz w:val="32"/>
          <w:szCs w:val="32"/>
        </w:rPr>
        <w:t>（一）财政拨款收支与</w:t>
      </w:r>
      <w:r>
        <w:rPr>
          <w:rFonts w:ascii="楷体_GB2312" w:eastAsia="楷体_GB2312" w:cs="DengXian-Bold"/>
          <w:b/>
          <w:bCs/>
          <w:sz w:val="32"/>
          <w:szCs w:val="32"/>
        </w:rPr>
        <w:t xml:space="preserve">2017 </w:t>
      </w:r>
      <w:r>
        <w:rPr>
          <w:rFonts w:hint="eastAsia" w:ascii="楷体_GB2312" w:eastAsia="楷体_GB2312" w:cs="DengXian-Bold"/>
          <w:b/>
          <w:bCs/>
          <w:sz w:val="32"/>
          <w:szCs w:val="32"/>
        </w:rPr>
        <w:t>年度决算对比情况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年度形成的财政拨款收支均为一般公共预算财政拨款，其中一般公共预算财政拨款本年收入</w:t>
      </w:r>
      <w:r>
        <w:rPr>
          <w:rFonts w:hint="eastAsia" w:ascii="仿宋" w:hAnsi="仿宋" w:eastAsia="仿宋" w:cs="仿宋"/>
          <w:sz w:val="28"/>
          <w:szCs w:val="28"/>
          <w:lang w:val="en-US" w:eastAsia="zh-CN"/>
        </w:rPr>
        <w:t>389.88</w:t>
      </w:r>
      <w:r>
        <w:rPr>
          <w:rFonts w:hint="eastAsia" w:ascii="仿宋_GB2312" w:eastAsia="仿宋_GB2312" w:cs="DengXian-Regular"/>
          <w:sz w:val="32"/>
          <w:szCs w:val="32"/>
        </w:rPr>
        <w:t>万元</w:t>
      </w:r>
      <w:r>
        <w:rPr>
          <w:rFonts w:ascii="仿宋_GB2312" w:eastAsia="仿宋_GB2312" w:cs="DengXian-Regular"/>
          <w:sz w:val="32"/>
          <w:szCs w:val="32"/>
        </w:rPr>
        <w:t>,</w:t>
      </w:r>
      <w:r>
        <w:rPr>
          <w:rFonts w:hint="eastAsia" w:ascii="仿宋_GB2312" w:eastAsia="仿宋_GB2312" w:cs="DengXian-Regular"/>
          <w:sz w:val="32"/>
          <w:szCs w:val="32"/>
        </w:rPr>
        <w:t>比</w:t>
      </w:r>
      <w:r>
        <w:rPr>
          <w:rFonts w:ascii="仿宋_GB2312" w:eastAsia="仿宋_GB2312" w:cs="DengXian-Regular"/>
          <w:sz w:val="32"/>
          <w:szCs w:val="32"/>
        </w:rPr>
        <w:t>2017</w:t>
      </w:r>
      <w:r>
        <w:rPr>
          <w:rFonts w:hint="eastAsia" w:ascii="仿宋_GB2312" w:eastAsia="仿宋_GB2312" w:cs="DengXian-Regular"/>
          <w:sz w:val="32"/>
          <w:szCs w:val="32"/>
        </w:rPr>
        <w:t>年度增加</w:t>
      </w:r>
      <w:r>
        <w:rPr>
          <w:rFonts w:hint="eastAsia" w:ascii="仿宋" w:hAnsi="仿宋" w:eastAsia="仿宋" w:cs="仿宋"/>
          <w:sz w:val="28"/>
          <w:szCs w:val="28"/>
          <w:lang w:val="en-US" w:eastAsia="zh-CN"/>
        </w:rPr>
        <w:t>105.91</w:t>
      </w:r>
      <w:r>
        <w:rPr>
          <w:rFonts w:hint="eastAsia" w:ascii="仿宋_GB2312" w:eastAsia="仿宋_GB2312" w:cs="DengXian-Regular"/>
          <w:sz w:val="32"/>
          <w:szCs w:val="32"/>
        </w:rPr>
        <w:t>万元，增长</w:t>
      </w:r>
      <w:r>
        <w:rPr>
          <w:rFonts w:hint="eastAsia" w:ascii="仿宋" w:hAnsi="仿宋" w:eastAsia="仿宋" w:cs="仿宋"/>
          <w:sz w:val="28"/>
          <w:szCs w:val="28"/>
          <w:lang w:val="en-US" w:eastAsia="zh-CN"/>
        </w:rPr>
        <w:t>37.3</w:t>
      </w:r>
      <w:r>
        <w:rPr>
          <w:rFonts w:ascii="仿宋_GB2312" w:eastAsia="仿宋_GB2312" w:cs="DengXian-Regular"/>
          <w:sz w:val="32"/>
          <w:szCs w:val="32"/>
        </w:rPr>
        <w:t>%</w:t>
      </w:r>
      <w:r>
        <w:rPr>
          <w:rFonts w:hint="eastAsia" w:ascii="仿宋_GB2312" w:eastAsia="仿宋_GB2312" w:cs="DengXian-Regular"/>
          <w:sz w:val="32"/>
          <w:szCs w:val="32"/>
        </w:rPr>
        <w:t>，主要是201</w:t>
      </w:r>
      <w:r>
        <w:rPr>
          <w:rFonts w:hint="eastAsia" w:ascii="仿宋_GB2312" w:eastAsia="仿宋_GB2312" w:cs="DengXian-Regular"/>
          <w:sz w:val="32"/>
          <w:szCs w:val="32"/>
          <w:lang w:val="en-US" w:eastAsia="zh-CN"/>
        </w:rPr>
        <w:t>8</w:t>
      </w:r>
      <w:r>
        <w:rPr>
          <w:rFonts w:hint="eastAsia" w:ascii="仿宋_GB2312" w:eastAsia="仿宋_GB2312" w:cs="DengXian-Regular"/>
          <w:sz w:val="32"/>
          <w:szCs w:val="32"/>
        </w:rPr>
        <w:t>年</w:t>
      </w:r>
      <w:r>
        <w:rPr>
          <w:rFonts w:hint="eastAsia" w:ascii="仿宋_GB2312" w:eastAsia="仿宋_GB2312" w:cs="DengXian-Regular"/>
          <w:sz w:val="32"/>
          <w:szCs w:val="32"/>
          <w:lang w:val="en-US" w:eastAsia="zh-CN"/>
        </w:rPr>
        <w:t>人均增资300元，增加经济普查经费50万元</w:t>
      </w:r>
      <w:r>
        <w:rPr>
          <w:rFonts w:hint="eastAsia" w:ascii="仿宋_GB2312" w:eastAsia="仿宋_GB2312" w:cs="DengXian-Regular"/>
          <w:sz w:val="32"/>
          <w:szCs w:val="32"/>
        </w:rPr>
        <w:t>；本年支出</w:t>
      </w:r>
      <w:r>
        <w:rPr>
          <w:rFonts w:hint="eastAsia" w:ascii="仿宋" w:hAnsi="仿宋" w:eastAsia="仿宋" w:cs="仿宋"/>
          <w:sz w:val="28"/>
          <w:szCs w:val="28"/>
          <w:lang w:val="en-US" w:eastAsia="zh-CN"/>
        </w:rPr>
        <w:t>389.88</w:t>
      </w:r>
      <w:r>
        <w:rPr>
          <w:rFonts w:hint="eastAsia" w:ascii="仿宋_GB2312" w:eastAsia="仿宋_GB2312" w:cs="DengXian-Regular"/>
          <w:sz w:val="32"/>
          <w:szCs w:val="32"/>
        </w:rPr>
        <w:t>万元，增加</w:t>
      </w:r>
      <w:r>
        <w:rPr>
          <w:rFonts w:hint="eastAsia" w:ascii="仿宋" w:hAnsi="仿宋" w:eastAsia="仿宋" w:cs="仿宋"/>
          <w:sz w:val="28"/>
          <w:szCs w:val="28"/>
          <w:lang w:val="en-US" w:eastAsia="zh-CN"/>
        </w:rPr>
        <w:t>105.91</w:t>
      </w:r>
      <w:r>
        <w:rPr>
          <w:rFonts w:hint="eastAsia" w:ascii="仿宋_GB2312" w:eastAsia="仿宋_GB2312" w:cs="DengXian-Regular"/>
          <w:sz w:val="32"/>
          <w:szCs w:val="32"/>
        </w:rPr>
        <w:t>万元，增长</w:t>
      </w:r>
      <w:r>
        <w:rPr>
          <w:rFonts w:hint="eastAsia" w:ascii="仿宋" w:hAnsi="仿宋" w:eastAsia="仿宋" w:cs="仿宋"/>
          <w:sz w:val="28"/>
          <w:szCs w:val="28"/>
          <w:lang w:val="en-US" w:eastAsia="zh-CN"/>
        </w:rPr>
        <w:t>37.3</w:t>
      </w:r>
      <w:r>
        <w:rPr>
          <w:rFonts w:ascii="仿宋_GB2312" w:eastAsia="仿宋_GB2312" w:cs="DengXian-Regular"/>
          <w:sz w:val="32"/>
          <w:szCs w:val="32"/>
        </w:rPr>
        <w:t>%</w:t>
      </w:r>
      <w:r>
        <w:rPr>
          <w:rFonts w:hint="eastAsia" w:ascii="仿宋_GB2312" w:eastAsia="仿宋_GB2312" w:cs="DengXian-Regular"/>
          <w:sz w:val="32"/>
          <w:szCs w:val="32"/>
        </w:rPr>
        <w:t>，主要是201</w:t>
      </w:r>
      <w:r>
        <w:rPr>
          <w:rFonts w:hint="eastAsia" w:ascii="仿宋_GB2312" w:eastAsia="仿宋_GB2312" w:cs="DengXian-Regular"/>
          <w:sz w:val="32"/>
          <w:szCs w:val="32"/>
          <w:lang w:val="en-US" w:eastAsia="zh-CN"/>
        </w:rPr>
        <w:t>8</w:t>
      </w:r>
      <w:r>
        <w:rPr>
          <w:rFonts w:hint="eastAsia" w:ascii="仿宋_GB2312" w:eastAsia="仿宋_GB2312" w:cs="DengXian-Regular"/>
          <w:sz w:val="32"/>
          <w:szCs w:val="32"/>
        </w:rPr>
        <w:t>年</w:t>
      </w:r>
      <w:r>
        <w:rPr>
          <w:rFonts w:hint="eastAsia" w:ascii="仿宋_GB2312" w:eastAsia="仿宋_GB2312" w:cs="DengXian-Regular"/>
          <w:sz w:val="32"/>
          <w:szCs w:val="32"/>
          <w:lang w:val="en-US" w:eastAsia="zh-CN"/>
        </w:rPr>
        <w:t>人均增资300元，增加经济普查经费50万元</w:t>
      </w:r>
      <w:r>
        <w:rPr>
          <w:rFonts w:hint="eastAsia" w:ascii="仿宋_GB2312" w:eastAsia="仿宋_GB2312" w:cs="DengXian-Regular"/>
          <w:sz w:val="32"/>
          <w:szCs w:val="32"/>
        </w:rPr>
        <w:t>。</w:t>
      </w:r>
    </w:p>
    <w:p>
      <w:pPr>
        <w:adjustRightInd w:val="0"/>
        <w:snapToGrid w:val="0"/>
        <w:spacing w:after="0" w:line="580" w:lineRule="exact"/>
        <w:ind w:firstLine="420" w:firstLineChars="200"/>
        <w:rPr>
          <w:rFonts w:ascii="仿宋_GB2312" w:eastAsia="仿宋_GB2312" w:cs="DengXian-Regular"/>
          <w:sz w:val="32"/>
          <w:szCs w:val="32"/>
        </w:rPr>
      </w:pPr>
      <w:r>
        <w:pict>
          <v:shape id="图表 2" o:spid="_x0000_s1133" o:spt="75" type="#_x0000_t75" style="position:absolute;left:0pt;margin-left:64.3pt;margin-top:26.1pt;height:170.8pt;width:316.5pt;mso-wrap-distance-bottom:0pt;mso-wrap-distance-top:0pt;z-index:251694080;mso-width-relative:page;mso-height-relative:page;" filled="f" o:preferrelative="t" stroked="f" coordsize="21600,21600" o:gfxdata="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">
            <v:path/>
            <v:fill on="f" focussize="0,0"/>
            <v:stroke on="f"/>
            <v:imagedata r:id="rId8" o:title=""/>
            <o:lock v:ext="edit" aspectratio="f"/>
            <w10:wrap type="topAndBottom"/>
          </v:shape>
        </w:pict>
      </w:r>
    </w:p>
    <w:p>
      <w:pPr>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（二）财政拨款收支与年初预算数对比情况</w:t>
      </w:r>
    </w:p>
    <w:p>
      <w:pPr>
        <w:adjustRightInd w:val="0"/>
        <w:snapToGrid w:val="0"/>
        <w:spacing w:after="0" w:line="580" w:lineRule="exact"/>
        <w:ind w:firstLine="420" w:firstLineChars="200"/>
        <w:rPr>
          <w:rFonts w:hint="eastAsia" w:ascii="仿宋_GB2312" w:eastAsia="仿宋_GB2312" w:cs="DengXian-Regular"/>
          <w:sz w:val="32"/>
          <w:szCs w:val="32"/>
        </w:rPr>
      </w:pPr>
      <w:r>
        <w:pict>
          <v:shape id="图表 3" o:spid="_x0000_s1135" o:spt="75" type="#_x0000_t75" style="position:absolute;left:0pt;margin-left:37.65pt;margin-top:187.2pt;height:175.05pt;width:329.85pt;mso-wrap-distance-bottom:0pt;mso-wrap-distance-top:0pt;z-index:251695104;mso-width-relative:page;mso-height-relative:page;" filled="f" o:preferrelative="t" stroked="f" coordsize="21600,21600" o:gfxdata="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">
            <v:path/>
            <v:fill on="f" focussize="0,0"/>
            <v:stroke on="f"/>
            <v:imagedata r:id="rId9" o:title=""/>
            <o:lock v:ext="edit" aspectratio="f"/>
            <w10:wrap type="topAndBottom"/>
          </v:shape>
        </w:pic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年度一般公共预算财政拨款收入</w:t>
      </w:r>
      <w:r>
        <w:rPr>
          <w:rFonts w:hint="eastAsia" w:ascii="仿宋" w:hAnsi="仿宋" w:eastAsia="仿宋" w:cs="仿宋"/>
          <w:sz w:val="28"/>
          <w:szCs w:val="28"/>
          <w:lang w:val="en-US" w:eastAsia="zh-CN"/>
        </w:rPr>
        <w:t>389.88</w:t>
      </w:r>
      <w:r>
        <w:rPr>
          <w:rFonts w:hint="eastAsia" w:ascii="仿宋_GB2312" w:eastAsia="仿宋_GB2312" w:cs="DengXian-Regular"/>
          <w:sz w:val="32"/>
          <w:szCs w:val="32"/>
        </w:rPr>
        <w:t>万元，完成年初预算的</w:t>
      </w:r>
      <w:r>
        <w:rPr>
          <w:rFonts w:hint="eastAsia" w:ascii="仿宋_GB2312" w:eastAsia="仿宋_GB2312" w:cs="DengXian-Regular"/>
          <w:sz w:val="32"/>
          <w:szCs w:val="32"/>
          <w:lang w:val="en-US" w:eastAsia="zh-CN"/>
        </w:rPr>
        <w:t>121.90</w:t>
      </w:r>
      <w:r>
        <w:rPr>
          <w:rFonts w:ascii="仿宋_GB2312" w:eastAsia="仿宋_GB2312" w:cs="DengXian-Regular"/>
          <w:sz w:val="32"/>
          <w:szCs w:val="32"/>
        </w:rPr>
        <w:t>%,</w:t>
      </w:r>
      <w:r>
        <w:rPr>
          <w:rFonts w:hint="eastAsia" w:ascii="仿宋_GB2312" w:eastAsia="仿宋_GB2312" w:cs="DengXian-Regular"/>
          <w:sz w:val="32"/>
          <w:szCs w:val="32"/>
        </w:rPr>
        <w:t>比年初预算增加</w:t>
      </w:r>
      <w:r>
        <w:rPr>
          <w:rFonts w:hint="eastAsia" w:ascii="仿宋_GB2312" w:eastAsia="仿宋_GB2312" w:cs="DengXian-Regular"/>
          <w:sz w:val="32"/>
          <w:szCs w:val="32"/>
          <w:lang w:val="en-US" w:eastAsia="zh-CN"/>
        </w:rPr>
        <w:t>70.07</w:t>
      </w:r>
      <w:r>
        <w:rPr>
          <w:rFonts w:hint="eastAsia" w:ascii="仿宋_GB2312" w:eastAsia="仿宋_GB2312" w:cs="DengXian-Regular"/>
          <w:sz w:val="32"/>
          <w:szCs w:val="32"/>
        </w:rPr>
        <w:t>万元，决算数大于预算数主要原因是201</w:t>
      </w:r>
      <w:r>
        <w:rPr>
          <w:rFonts w:hint="eastAsia" w:ascii="仿宋_GB2312" w:eastAsia="仿宋_GB2312" w:cs="DengXian-Regular"/>
          <w:sz w:val="32"/>
          <w:szCs w:val="32"/>
          <w:lang w:val="en-US" w:eastAsia="zh-CN"/>
        </w:rPr>
        <w:t>8</w:t>
      </w:r>
      <w:r>
        <w:rPr>
          <w:rFonts w:hint="eastAsia" w:ascii="仿宋_GB2312" w:eastAsia="仿宋_GB2312" w:cs="DengXian-Regular"/>
          <w:sz w:val="32"/>
          <w:szCs w:val="32"/>
        </w:rPr>
        <w:t>年</w:t>
      </w:r>
      <w:r>
        <w:rPr>
          <w:rFonts w:hint="eastAsia" w:ascii="仿宋_GB2312" w:eastAsia="仿宋_GB2312" w:cs="DengXian-Regular"/>
          <w:sz w:val="32"/>
          <w:szCs w:val="32"/>
          <w:lang w:val="en-US" w:eastAsia="zh-CN"/>
        </w:rPr>
        <w:t>人均增资300元，增加经济普查经费50万元</w:t>
      </w:r>
      <w:r>
        <w:rPr>
          <w:rFonts w:hint="eastAsia" w:ascii="仿宋_GB2312" w:eastAsia="仿宋_GB2312" w:cs="DengXian-Regular"/>
          <w:sz w:val="32"/>
          <w:szCs w:val="32"/>
        </w:rPr>
        <w:t>；本年支出</w:t>
      </w:r>
      <w:r>
        <w:rPr>
          <w:rFonts w:hint="eastAsia" w:ascii="仿宋_GB2312" w:eastAsia="仿宋_GB2312" w:cs="DengXian-Regular"/>
          <w:sz w:val="32"/>
          <w:szCs w:val="32"/>
          <w:lang w:val="en-US" w:eastAsia="zh-CN"/>
        </w:rPr>
        <w:t>389.88</w:t>
      </w:r>
      <w:r>
        <w:rPr>
          <w:rFonts w:hint="eastAsia" w:ascii="仿宋_GB2312" w:eastAsia="仿宋_GB2312" w:cs="DengXian-Regular"/>
          <w:sz w:val="32"/>
          <w:szCs w:val="32"/>
        </w:rPr>
        <w:t>万元，完成年初预算的</w:t>
      </w:r>
      <w:r>
        <w:rPr>
          <w:rFonts w:hint="eastAsia" w:ascii="仿宋_GB2312" w:eastAsia="仿宋_GB2312" w:cs="DengXian-Regular"/>
          <w:sz w:val="32"/>
          <w:szCs w:val="32"/>
          <w:lang w:val="en-US" w:eastAsia="zh-CN"/>
        </w:rPr>
        <w:t>121.90</w:t>
      </w:r>
      <w:r>
        <w:rPr>
          <w:rFonts w:ascii="仿宋_GB2312" w:eastAsia="仿宋_GB2312" w:cs="DengXian-Regular"/>
          <w:sz w:val="32"/>
          <w:szCs w:val="32"/>
        </w:rPr>
        <w:t>%,</w:t>
      </w:r>
      <w:r>
        <w:rPr>
          <w:rFonts w:hint="eastAsia" w:ascii="仿宋_GB2312" w:eastAsia="仿宋_GB2312" w:cs="DengXian-Regular"/>
          <w:sz w:val="32"/>
          <w:szCs w:val="32"/>
        </w:rPr>
        <w:t>比年初预算增加</w:t>
      </w:r>
      <w:r>
        <w:rPr>
          <w:rFonts w:hint="eastAsia" w:ascii="仿宋_GB2312" w:eastAsia="仿宋_GB2312" w:cs="DengXian-Regular"/>
          <w:sz w:val="32"/>
          <w:szCs w:val="32"/>
          <w:lang w:val="en-US" w:eastAsia="zh-CN"/>
        </w:rPr>
        <w:t>70.07</w:t>
      </w:r>
      <w:r>
        <w:rPr>
          <w:rFonts w:hint="eastAsia" w:ascii="仿宋_GB2312" w:eastAsia="仿宋_GB2312" w:cs="DengXian-Regular"/>
          <w:sz w:val="32"/>
          <w:szCs w:val="32"/>
        </w:rPr>
        <w:t>万元，决算数大于预算数主要原因是201</w:t>
      </w:r>
      <w:r>
        <w:rPr>
          <w:rFonts w:hint="eastAsia" w:ascii="仿宋_GB2312" w:eastAsia="仿宋_GB2312" w:cs="DengXian-Regular"/>
          <w:sz w:val="32"/>
          <w:szCs w:val="32"/>
          <w:lang w:val="en-US" w:eastAsia="zh-CN"/>
        </w:rPr>
        <w:t>8</w:t>
      </w:r>
      <w:r>
        <w:rPr>
          <w:rFonts w:hint="eastAsia" w:ascii="仿宋_GB2312" w:eastAsia="仿宋_GB2312" w:cs="DengXian-Regular"/>
          <w:sz w:val="32"/>
          <w:szCs w:val="32"/>
        </w:rPr>
        <w:t>年</w:t>
      </w:r>
      <w:r>
        <w:rPr>
          <w:rFonts w:hint="eastAsia" w:ascii="仿宋_GB2312" w:eastAsia="仿宋_GB2312" w:cs="DengXian-Regular"/>
          <w:sz w:val="32"/>
          <w:szCs w:val="32"/>
          <w:lang w:val="en-US" w:eastAsia="zh-CN"/>
        </w:rPr>
        <w:t>人均增资300元，增加经济普查经费50万元</w:t>
      </w:r>
      <w:r>
        <w:rPr>
          <w:rFonts w:hint="eastAsia" w:ascii="仿宋_GB2312" w:eastAsia="仿宋_GB2312" w:cs="DengXian-Regular"/>
          <w:sz w:val="32"/>
          <w:szCs w:val="32"/>
        </w:rPr>
        <w:t>。</w:t>
      </w:r>
    </w:p>
    <w:p>
      <w:pPr>
        <w:numPr>
          <w:ilvl w:val="0"/>
          <w:numId w:val="1"/>
        </w:num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财政拨款支出决算结构情况。</w:t>
      </w:r>
    </w:p>
    <w:p>
      <w:pPr>
        <w:adjustRightInd w:val="0"/>
        <w:snapToGrid w:val="0"/>
        <w:spacing w:after="0" w:line="580" w:lineRule="exact"/>
        <w:ind w:firstLine="640" w:firstLineChars="200"/>
        <w:rPr>
          <w:rFonts w:ascii="仿宋_GB2312" w:eastAsia="仿宋_GB2312" w:cs="DengXian-Regular"/>
          <w:sz w:val="32"/>
          <w:szCs w:val="32"/>
        </w:rPr>
      </w:pPr>
      <w:r>
        <w:rPr>
          <w:rFonts w:ascii="仿宋_GB2312" w:eastAsia="仿宋_GB2312" w:cs="DengXian-Regular"/>
          <w:sz w:val="32"/>
          <w:szCs w:val="32"/>
        </w:rPr>
        <w:t xml:space="preserve">2018 </w:t>
      </w:r>
      <w:r>
        <w:rPr>
          <w:rFonts w:hint="eastAsia" w:ascii="仿宋_GB2312" w:eastAsia="仿宋_GB2312" w:cs="DengXian-Regular"/>
          <w:sz w:val="32"/>
          <w:szCs w:val="32"/>
        </w:rPr>
        <w:t>年度财政拨款支出</w:t>
      </w:r>
      <w:r>
        <w:rPr>
          <w:rFonts w:hint="eastAsia" w:ascii="仿宋_GB2312" w:eastAsia="仿宋_GB2312" w:cs="DengXian-Regular"/>
          <w:sz w:val="32"/>
          <w:szCs w:val="32"/>
          <w:lang w:val="en-US" w:eastAsia="zh-CN"/>
        </w:rPr>
        <w:t>389.88</w:t>
      </w:r>
      <w:r>
        <w:rPr>
          <w:rFonts w:hint="eastAsia" w:ascii="仿宋_GB2312" w:eastAsia="仿宋_GB2312" w:cs="DengXian-Regular"/>
          <w:sz w:val="32"/>
          <w:szCs w:val="32"/>
        </w:rPr>
        <w:t>万元，主要用于以下方面</w:t>
      </w:r>
      <w:r>
        <w:rPr>
          <w:rFonts w:hint="eastAsia" w:ascii="仿宋_GB2312" w:eastAsia="仿宋_GB2312" w:cs="DengXian-Regular"/>
          <w:sz w:val="32"/>
          <w:szCs w:val="32"/>
          <w:lang w:eastAsia="zh-CN"/>
        </w:rPr>
        <w:t>：</w:t>
      </w:r>
      <w:r>
        <w:rPr>
          <w:rFonts w:hint="eastAsia" w:ascii="仿宋_GB2312" w:eastAsia="仿宋_GB2312" w:cs="DengXian-Regular"/>
          <w:sz w:val="32"/>
          <w:szCs w:val="32"/>
        </w:rPr>
        <w:t>一般公共服务（类）支出</w:t>
      </w:r>
      <w:r>
        <w:rPr>
          <w:rFonts w:hint="eastAsia" w:ascii="仿宋_GB2312" w:eastAsia="仿宋_GB2312" w:cs="DengXian-Regular"/>
          <w:sz w:val="32"/>
          <w:szCs w:val="32"/>
          <w:lang w:val="en-US" w:eastAsia="zh-CN"/>
        </w:rPr>
        <w:t>348.38</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89.36</w:t>
      </w:r>
      <w:r>
        <w:rPr>
          <w:rFonts w:ascii="仿宋_GB2312" w:eastAsia="仿宋_GB2312" w:cs="DengXian-Regular"/>
          <w:sz w:val="32"/>
          <w:szCs w:val="32"/>
        </w:rPr>
        <w:t>%</w:t>
      </w:r>
      <w:r>
        <w:rPr>
          <w:rFonts w:hint="eastAsia" w:ascii="仿宋_GB2312" w:eastAsia="仿宋_GB2312" w:cs="DengXian-Regular"/>
          <w:sz w:val="32"/>
          <w:szCs w:val="32"/>
        </w:rPr>
        <w:t>；社会保障和就业（类）支出</w:t>
      </w:r>
      <w:r>
        <w:rPr>
          <w:rFonts w:ascii="仿宋_GB2312" w:eastAsia="仿宋_GB2312" w:cs="DengXian-Regular"/>
          <w:sz w:val="32"/>
          <w:szCs w:val="32"/>
        </w:rPr>
        <w:t xml:space="preserve"> </w:t>
      </w:r>
      <w:r>
        <w:rPr>
          <w:rFonts w:hint="eastAsia" w:ascii="仿宋_GB2312" w:eastAsia="仿宋_GB2312" w:cs="DengXian-Regular"/>
          <w:sz w:val="32"/>
          <w:szCs w:val="32"/>
          <w:lang w:val="en-US" w:eastAsia="zh-CN"/>
        </w:rPr>
        <w:t>25.98</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6.66</w:t>
      </w:r>
      <w:r>
        <w:rPr>
          <w:rFonts w:ascii="仿宋_GB2312" w:eastAsia="仿宋_GB2312" w:cs="DengXian-Regular"/>
          <w:sz w:val="32"/>
          <w:szCs w:val="32"/>
        </w:rPr>
        <w:t>%</w:t>
      </w:r>
      <w:r>
        <w:rPr>
          <w:rFonts w:hint="eastAsia" w:ascii="仿宋_GB2312" w:eastAsia="仿宋_GB2312" w:cs="DengXian-Regular"/>
          <w:sz w:val="32"/>
          <w:szCs w:val="32"/>
        </w:rPr>
        <w:t>；住房保障（类）支出</w:t>
      </w:r>
      <w:r>
        <w:rPr>
          <w:rFonts w:hint="eastAsia" w:ascii="仿宋_GB2312" w:eastAsia="仿宋_GB2312" w:cs="DengXian-Regular"/>
          <w:sz w:val="32"/>
          <w:szCs w:val="32"/>
          <w:lang w:val="en-US" w:eastAsia="zh-CN"/>
        </w:rPr>
        <w:t>15.52</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3.98</w:t>
      </w:r>
      <w:r>
        <w:rPr>
          <w:rFonts w:ascii="仿宋_GB2312" w:eastAsia="仿宋_GB2312" w:cs="DengXian-Regular"/>
          <w:sz w:val="32"/>
          <w:szCs w:val="32"/>
        </w:rPr>
        <w:t>%</w:t>
      </w:r>
      <w:r>
        <w:rPr>
          <w:rFonts w:hint="eastAsia" w:ascii="仿宋_GB2312" w:eastAsia="仿宋_GB2312" w:cs="DengXian-Regular"/>
          <w:sz w:val="32"/>
          <w:szCs w:val="32"/>
        </w:rPr>
        <w:t>。</w:t>
      </w:r>
    </w:p>
    <w:p>
      <w:pPr>
        <w:adjustRightInd w:val="0"/>
        <w:snapToGrid w:val="0"/>
        <w:spacing w:after="0" w:line="580" w:lineRule="exact"/>
        <w:rPr>
          <w:rFonts w:hint="eastAsia" w:ascii="楷体_GB2312" w:eastAsia="楷体_GB2312" w:cs="DengXian-Bold"/>
          <w:b/>
          <w:bCs/>
          <w:sz w:val="32"/>
          <w:szCs w:val="32"/>
          <w:lang w:eastAsia="zh-CN"/>
        </w:rPr>
      </w:pPr>
      <w:r>
        <w:pict>
          <v:shape id="_x0000_s1130" o:spid="_x0000_s1130" o:spt="75" type="#_x0000_t75" style="position:absolute;left:0pt;margin-left:56.85pt;margin-top:26.9pt;height:214.6pt;width:327.45pt;mso-wrap-distance-left:9pt;mso-wrap-distance-right:9pt;z-index:-251623424;mso-width-relative:page;mso-height-relative:page;" filled="f" o:preferrelative="t" stroked="f" coordsize="21600,21600" wrapcoords="21592 -2 0 0 0 21600 21592 21602 8 21602 21600 21600 21600 0 8 -2 21592 -2">
            <v:path/>
            <v:fill on="f" focussize="0,0"/>
            <v:stroke on="f"/>
            <v:imagedata r:id="rId10" cropleft="1136f" croptop="6720f" cropright="816f" cropbottom="1129f" o:title=""/>
            <o:lock v:ext="edit" aspectratio="t"/>
            <w10:wrap type="tight"/>
          </v:shape>
        </w:pict>
      </w:r>
    </w:p>
    <w:p>
      <w:pPr>
        <w:adjustRightInd w:val="0"/>
        <w:snapToGrid w:val="0"/>
        <w:spacing w:after="0" w:line="580" w:lineRule="exact"/>
        <w:rPr>
          <w:rFonts w:ascii="楷体_GB2312" w:eastAsia="楷体_GB2312" w:cs="DengXian-Bold"/>
          <w:b/>
          <w:bCs/>
          <w:sz w:val="32"/>
          <w:szCs w:val="32"/>
        </w:rPr>
      </w:pPr>
    </w:p>
    <w:p>
      <w:pPr>
        <w:adjustRightInd w:val="0"/>
        <w:snapToGrid w:val="0"/>
        <w:spacing w:after="0" w:line="580" w:lineRule="exact"/>
        <w:rPr>
          <w:rFonts w:ascii="楷体_GB2312" w:eastAsia="楷体_GB2312" w:cs="DengXian-Bold"/>
          <w:b/>
          <w:bCs/>
          <w:sz w:val="32"/>
          <w:szCs w:val="32"/>
        </w:rPr>
      </w:pPr>
    </w:p>
    <w:p>
      <w:pPr>
        <w:adjustRightInd w:val="0"/>
        <w:snapToGrid w:val="0"/>
        <w:spacing w:after="0" w:line="580" w:lineRule="exact"/>
        <w:rPr>
          <w:rFonts w:ascii="楷体_GB2312" w:eastAsia="楷体_GB2312" w:cs="DengXian-Bold"/>
          <w:b/>
          <w:bCs/>
          <w:sz w:val="32"/>
          <w:szCs w:val="32"/>
        </w:rPr>
      </w:pPr>
    </w:p>
    <w:p>
      <w:pPr>
        <w:adjustRightInd w:val="0"/>
        <w:snapToGrid w:val="0"/>
        <w:spacing w:after="0" w:line="580" w:lineRule="exact"/>
        <w:ind w:left="420" w:leftChars="200"/>
        <w:rPr>
          <w:rFonts w:ascii="楷体_GB2312" w:eastAsia="楷体_GB2312" w:cs="DengXian-Bold"/>
          <w:b/>
          <w:bCs/>
          <w:sz w:val="32"/>
          <w:szCs w:val="32"/>
        </w:rPr>
      </w:pPr>
    </w:p>
    <w:p>
      <w:pPr>
        <w:adjustRightInd w:val="0"/>
        <w:snapToGrid w:val="0"/>
        <w:spacing w:after="0" w:line="580" w:lineRule="exact"/>
        <w:ind w:left="420" w:leftChars="200"/>
        <w:rPr>
          <w:rFonts w:ascii="楷体_GB2312" w:eastAsia="楷体_GB2312" w:cs="DengXian-Bold"/>
          <w:b/>
          <w:bCs/>
          <w:sz w:val="32"/>
          <w:szCs w:val="32"/>
        </w:rPr>
      </w:pPr>
    </w:p>
    <w:p>
      <w:pPr>
        <w:adjustRightInd w:val="0"/>
        <w:snapToGrid w:val="0"/>
        <w:spacing w:after="0" w:line="580" w:lineRule="exact"/>
        <w:ind w:left="420" w:leftChars="200"/>
        <w:rPr>
          <w:rFonts w:ascii="楷体_GB2312" w:eastAsia="楷体_GB2312" w:cs="DengXian-Bold"/>
          <w:b/>
          <w:bCs/>
          <w:sz w:val="32"/>
          <w:szCs w:val="32"/>
        </w:rPr>
      </w:pPr>
    </w:p>
    <w:p>
      <w:pPr>
        <w:adjustRightInd w:val="0"/>
        <w:snapToGrid w:val="0"/>
        <w:spacing w:after="0" w:line="580" w:lineRule="exact"/>
        <w:ind w:left="420" w:leftChars="200"/>
        <w:rPr>
          <w:rFonts w:hint="eastAsia" w:ascii="楷体_GB2312" w:eastAsia="楷体_GB2312" w:cs="DengXian-Bold"/>
          <w:b/>
          <w:bCs/>
          <w:sz w:val="32"/>
          <w:szCs w:val="32"/>
        </w:rPr>
      </w:pPr>
    </w:p>
    <w:p>
      <w:pPr>
        <w:adjustRightInd w:val="0"/>
        <w:snapToGrid w:val="0"/>
        <w:spacing w:after="0" w:line="580" w:lineRule="exact"/>
        <w:ind w:left="420" w:leftChars="200"/>
        <w:rPr>
          <w:rFonts w:hint="eastAsia" w:ascii="楷体_GB2312" w:eastAsia="楷体_GB2312" w:cs="DengXian-Bold"/>
          <w:b/>
          <w:bCs/>
          <w:sz w:val="32"/>
          <w:szCs w:val="32"/>
        </w:rPr>
      </w:pPr>
    </w:p>
    <w:p>
      <w:pPr>
        <w:adjustRightInd w:val="0"/>
        <w:snapToGrid w:val="0"/>
        <w:spacing w:after="0" w:line="580" w:lineRule="exact"/>
        <w:ind w:left="420" w:leftChars="200"/>
        <w:rPr>
          <w:rFonts w:ascii="楷体_GB2312" w:eastAsia="楷体_GB2312" w:cs="DengXian-Bold"/>
          <w:b/>
          <w:bCs/>
          <w:sz w:val="32"/>
          <w:szCs w:val="32"/>
        </w:rPr>
      </w:pPr>
      <w:r>
        <w:pict>
          <v:group id="组合 79" o:spid="_x0000_s1100" o:spt="203" style="position:absolute;left:0pt;margin-left:-79.5pt;margin-top:29.3pt;height:43.95pt;width:301.85pt;mso-position-vertical-relative:page;z-index:251685888;mso-width-relative:page;mso-height-relative:page;" coordorigin="4551,52615" coordsize="8546,1398">
            <o:lock v:ext="edit"/>
            <v:rect id="矩形 13" o:spid="_x0000_s1101" o:spt="1" style="position:absolute;left:4551;top:52615;height:1175;width:8546;v-text-anchor:middle;" fillcolor="#96DA9D" filled="t" stroked="f" coordsize="21600,21600">
              <v:path/>
              <v:fill on="t" focussize="0,0"/>
              <v:stroke on="f" weight="2pt"/>
              <v:imagedata o:title=""/>
              <o:lock v:ext="edit"/>
            </v:rect>
            <v:rect id="矩形 14" o:spid="_x0000_s1102"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楷体_GB2312" w:eastAsia="楷体_GB2312" w:cs="DengXian-Bold"/>
          <w:b/>
          <w:bCs/>
          <w:sz w:val="32"/>
          <w:szCs w:val="32"/>
        </w:rPr>
        <w:t>（四）一般公共预算财政拨款基本支出决算情况说明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ascii="仿宋_GB2312" w:eastAsia="仿宋_GB2312" w:cs="DengXian-Regular"/>
          <w:sz w:val="32"/>
          <w:szCs w:val="32"/>
        </w:rPr>
        <w:t xml:space="preserve">2018 </w:t>
      </w:r>
      <w:r>
        <w:rPr>
          <w:rFonts w:hint="eastAsia" w:ascii="仿宋_GB2312" w:eastAsia="仿宋_GB2312" w:cs="DengXian-Regular"/>
          <w:sz w:val="32"/>
          <w:szCs w:val="32"/>
        </w:rPr>
        <w:t>年度一般公共预算财政拨款基本支出</w:t>
      </w:r>
      <w:r>
        <w:rPr>
          <w:rFonts w:hint="eastAsia" w:ascii="仿宋_GB2312" w:eastAsia="仿宋_GB2312" w:cs="DengXian-Regular"/>
          <w:sz w:val="32"/>
          <w:szCs w:val="32"/>
          <w:lang w:val="en-US" w:eastAsia="zh-CN"/>
        </w:rPr>
        <w:t>389.88</w:t>
      </w:r>
      <w:r>
        <w:rPr>
          <w:rFonts w:hint="eastAsia" w:ascii="仿宋_GB2312" w:eastAsia="仿宋_GB2312" w:cs="DengXian-Regular"/>
          <w:sz w:val="32"/>
          <w:szCs w:val="32"/>
        </w:rPr>
        <w:t>万元，其中：人员经费</w:t>
      </w:r>
      <w:r>
        <w:rPr>
          <w:rFonts w:ascii="仿宋_GB2312" w:eastAsia="仿宋_GB2312" w:cs="DengXian-Regular"/>
          <w:sz w:val="32"/>
          <w:szCs w:val="32"/>
        </w:rPr>
        <w:t xml:space="preserve"> </w:t>
      </w:r>
      <w:r>
        <w:rPr>
          <w:rFonts w:hint="eastAsia" w:ascii="仿宋_GB2312" w:eastAsia="仿宋_GB2312" w:cs="DengXian-Regular"/>
          <w:sz w:val="32"/>
          <w:szCs w:val="32"/>
          <w:lang w:val="en-US" w:eastAsia="zh-CN"/>
        </w:rPr>
        <w:t>261.37</w:t>
      </w:r>
      <w:r>
        <w:rPr>
          <w:rFonts w:hint="eastAsia" w:ascii="仿宋_GB2312" w:eastAsia="仿宋_GB2312" w:cs="DengXian-Regular"/>
          <w:sz w:val="32"/>
          <w:szCs w:val="32"/>
        </w:rPr>
        <w:t>万元，主要包括基本工资、津贴补贴、奖金、绩效工资、机关事业单位基本养老保险缴费、职工基本医疗保险缴费、住房公积金、其他社会保障缴费、其他工资福利支出、退休费、生活补助、其他对个人和家庭的补助支出；公用经费</w:t>
      </w:r>
      <w:r>
        <w:rPr>
          <w:rFonts w:hint="eastAsia" w:ascii="仿宋_GB2312" w:eastAsia="仿宋_GB2312" w:cs="DengXian-Regular"/>
          <w:sz w:val="32"/>
          <w:szCs w:val="32"/>
          <w:lang w:val="en-US" w:eastAsia="zh-CN"/>
        </w:rPr>
        <w:t>128.51</w:t>
      </w:r>
      <w:r>
        <w:rPr>
          <w:rFonts w:hint="eastAsia" w:ascii="仿宋_GB2312" w:eastAsia="仿宋_GB2312" w:cs="DengXian-Regular"/>
          <w:sz w:val="32"/>
          <w:szCs w:val="32"/>
        </w:rPr>
        <w:t>万元，主要包括办公费、印刷费、水费、电费、邮电费、差旅费、公务接待费、劳务费、公务用车运行维护费、其他交通费用、其他商品和服务支出、办公设备购置、。</w:t>
      </w:r>
    </w:p>
    <w:p>
      <w:pPr>
        <w:pStyle w:val="3"/>
        <w:spacing w:before="0" w:after="0" w:line="580" w:lineRule="exact"/>
        <w:ind w:firstLine="640" w:firstLineChars="200"/>
        <w:rPr>
          <w:rFonts w:ascii="黑体" w:eastAsia="黑体"/>
          <w:b w:val="0"/>
          <w:bCs w:val="0"/>
        </w:rPr>
      </w:pPr>
      <w:r>
        <w:rPr>
          <w:rFonts w:hint="eastAsia" w:ascii="黑体" w:eastAsia="黑体"/>
          <w:b w:val="0"/>
          <w:bCs w:val="0"/>
        </w:rPr>
        <w:t>五、一般公共预算财政拨款“三公”</w:t>
      </w:r>
      <w:r>
        <w:rPr>
          <w:rFonts w:ascii="黑体" w:eastAsia="黑体"/>
          <w:b w:val="0"/>
          <w:bCs w:val="0"/>
        </w:rPr>
        <w:t xml:space="preserve"> </w:t>
      </w:r>
      <w:r>
        <w:rPr>
          <w:rFonts w:hint="eastAsia" w:ascii="黑体" w:eastAsia="黑体"/>
          <w:b w:val="0"/>
          <w:bCs w:val="0"/>
        </w:rPr>
        <w:t>经费支出决算情况说明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w:t>
      </w:r>
      <w:r>
        <w:rPr>
          <w:rFonts w:ascii="仿宋_GB2312" w:eastAsia="仿宋_GB2312" w:cs="DengXian-Regular"/>
          <w:sz w:val="32"/>
          <w:szCs w:val="32"/>
        </w:rPr>
        <w:t xml:space="preserve"> </w:t>
      </w:r>
      <w:r>
        <w:rPr>
          <w:rFonts w:hint="eastAsia" w:ascii="仿宋_GB2312" w:eastAsia="仿宋_GB2312" w:cs="DengXian-Regular"/>
          <w:sz w:val="32"/>
          <w:szCs w:val="32"/>
        </w:rPr>
        <w:t>“三公”经费支出共计</w:t>
      </w:r>
      <w:r>
        <w:rPr>
          <w:rFonts w:hint="eastAsia" w:ascii="仿宋_GB2312" w:eastAsia="仿宋_GB2312" w:cs="DengXian-Regular"/>
          <w:sz w:val="32"/>
          <w:szCs w:val="32"/>
          <w:lang w:val="en-US" w:eastAsia="zh-CN"/>
        </w:rPr>
        <w:t>2.22</w:t>
      </w:r>
      <w:r>
        <w:rPr>
          <w:rFonts w:hint="eastAsia" w:ascii="仿宋_GB2312" w:eastAsia="仿宋_GB2312" w:cs="DengXian-Regular"/>
          <w:sz w:val="32"/>
          <w:szCs w:val="32"/>
        </w:rPr>
        <w:t>万元，</w:t>
      </w:r>
      <w:r>
        <w:rPr>
          <w:rFonts w:hint="eastAsia" w:ascii="仿宋_GB2312" w:eastAsia="仿宋_GB2312" w:cs="DengXian-Regular"/>
          <w:b/>
          <w:bCs/>
          <w:sz w:val="32"/>
          <w:szCs w:val="32"/>
        </w:rPr>
        <w:t>较年初预算减少</w:t>
      </w:r>
      <w:r>
        <w:rPr>
          <w:rFonts w:hint="eastAsia" w:ascii="仿宋_GB2312" w:eastAsia="仿宋_GB2312" w:cs="DengXian-Regular"/>
          <w:b/>
          <w:bCs/>
          <w:sz w:val="32"/>
          <w:szCs w:val="32"/>
          <w:lang w:val="en-US" w:eastAsia="zh-CN"/>
        </w:rPr>
        <w:t>0.75</w:t>
      </w:r>
      <w:r>
        <w:rPr>
          <w:rFonts w:hint="eastAsia" w:ascii="仿宋_GB2312" w:eastAsia="仿宋_GB2312" w:cs="DengXian-Regular"/>
          <w:b/>
          <w:bCs/>
          <w:sz w:val="32"/>
          <w:szCs w:val="32"/>
        </w:rPr>
        <w:t>万元，降低</w:t>
      </w:r>
      <w:r>
        <w:rPr>
          <w:rFonts w:hint="eastAsia" w:ascii="仿宋_GB2312" w:eastAsia="仿宋_GB2312" w:cs="DengXian-Regular"/>
          <w:b/>
          <w:bCs/>
          <w:sz w:val="32"/>
          <w:szCs w:val="32"/>
          <w:lang w:val="en-US" w:eastAsia="zh-CN"/>
        </w:rPr>
        <w:t>25.25</w:t>
      </w:r>
      <w:r>
        <w:rPr>
          <w:rFonts w:ascii="仿宋_GB2312" w:eastAsia="仿宋_GB2312" w:cs="DengXian-Regular"/>
          <w:b/>
          <w:bCs/>
          <w:sz w:val="32"/>
          <w:szCs w:val="32"/>
        </w:rPr>
        <w:t>%</w:t>
      </w:r>
      <w:r>
        <w:rPr>
          <w:rFonts w:hint="eastAsia" w:ascii="仿宋_GB2312" w:eastAsia="仿宋_GB2312" w:cs="DengXian-Regular"/>
          <w:b/>
          <w:bCs/>
          <w:sz w:val="32"/>
          <w:szCs w:val="32"/>
        </w:rPr>
        <w:t>，</w:t>
      </w:r>
      <w:r>
        <w:rPr>
          <w:rFonts w:hint="eastAsia" w:ascii="仿宋_GB2312" w:eastAsia="仿宋_GB2312" w:cs="DengXian-Regular"/>
          <w:sz w:val="32"/>
          <w:szCs w:val="32"/>
        </w:rPr>
        <w:t>主要是认真贯彻落实中央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精神和厉行节约要求，从严控制“三公”经费开支，全年实际支出比预算有所节约。具体情况如下：</w:t>
      </w:r>
    </w:p>
    <w:p>
      <w:pPr>
        <w:adjustRightInd w:val="0"/>
        <w:snapToGrid w:val="0"/>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w:t>
      </w:r>
      <w:r>
        <w:pict>
          <v:group id="_x0000_s1106" o:spid="_x0000_s1106" o:spt="203" style="position:absolute;left:0pt;margin-left:-79.5pt;margin-top:29.3pt;height:43.95pt;width:301.85pt;mso-position-vertical-relative:page;z-index:251686912;mso-width-relative:page;mso-height-relative:page;" coordorigin="4551,52615" coordsize="8546,1398">
            <o:lock v:ext="edit"/>
            <v:rect id="矩形 13" o:spid="_x0000_s1107" o:spt="1" style="position:absolute;left:4551;top:52615;height:1175;width:8546;v-text-anchor:middle;" fillcolor="#96DA9D" filled="t" stroked="f" coordsize="21600,21600">
              <v:path/>
              <v:fill on="t" focussize="0,0"/>
              <v:stroke on="f" weight="2pt"/>
              <v:imagedata o:title=""/>
              <o:lock v:ext="edit"/>
            </v:rect>
            <v:rect id="矩形 14" o:spid="_x0000_s1108"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楷体_GB2312" w:eastAsia="楷体_GB2312" w:cs="DengXian-Bold"/>
          <w:b/>
          <w:bCs/>
          <w:sz w:val="32"/>
          <w:szCs w:val="32"/>
        </w:rPr>
        <w:t>一）因公出国（境）费支出</w:t>
      </w:r>
      <w:r>
        <w:rPr>
          <w:rFonts w:hint="eastAsia" w:ascii="楷体_GB2312" w:eastAsia="楷体_GB2312" w:cs="DengXian-Bold"/>
          <w:b/>
          <w:bCs/>
          <w:sz w:val="32"/>
          <w:szCs w:val="32"/>
          <w:lang w:val="en-US" w:eastAsia="zh-CN"/>
        </w:rPr>
        <w:t>0</w:t>
      </w:r>
      <w:r>
        <w:rPr>
          <w:rFonts w:hint="eastAsia" w:ascii="楷体_GB2312" w:eastAsia="楷体_GB2312" w:cs="DengXian-Bold"/>
          <w:b/>
          <w:bCs/>
          <w:sz w:val="32"/>
          <w:szCs w:val="32"/>
        </w:rPr>
        <w:t>万元。</w:t>
      </w:r>
      <w:r>
        <w:rPr>
          <w:rFonts w:hint="eastAsia" w:ascii="仿宋_GB2312" w:hAnsi="Times New Roman" w:eastAsia="仿宋_GB2312" w:cs="DengXian-Regular"/>
          <w:sz w:val="32"/>
          <w:szCs w:val="32"/>
        </w:rPr>
        <w:t>本部门</w:t>
      </w:r>
      <w:r>
        <w:rPr>
          <w:rFonts w:ascii="仿宋_GB2312" w:hAnsi="Times New Roman" w:eastAsia="仿宋_GB2312" w:cs="DengXian-Regular"/>
          <w:sz w:val="32"/>
          <w:szCs w:val="32"/>
        </w:rPr>
        <w:t>201</w:t>
      </w:r>
      <w:r>
        <w:rPr>
          <w:rFonts w:hint="eastAsia" w:ascii="仿宋_GB2312" w:eastAsia="仿宋_GB2312" w:cs="DengXian-Regular"/>
          <w:sz w:val="32"/>
          <w:szCs w:val="32"/>
          <w:lang w:val="en-US" w:eastAsia="zh-CN"/>
        </w:rPr>
        <w:t>8</w:t>
      </w:r>
      <w:r>
        <w:rPr>
          <w:rFonts w:hint="eastAsia" w:ascii="仿宋_GB2312" w:hAnsi="Times New Roman" w:eastAsia="仿宋_GB2312" w:cs="DengXian-Regular"/>
          <w:sz w:val="32"/>
          <w:szCs w:val="32"/>
        </w:rPr>
        <w:t>年度因公出国（境）团组0个、共0人</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参加其他单位组织的因公出国（境）团组0个、共0人</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无本单位组织的出国（境）团组。因公出国（境）费支出较预算增加0万元，增长0</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主要是</w:t>
      </w:r>
      <w:r>
        <w:rPr>
          <w:rFonts w:hint="eastAsia" w:ascii="仿宋_GB2312" w:eastAsia="仿宋_GB2312" w:cs="DengXian-Regular"/>
          <w:sz w:val="32"/>
          <w:szCs w:val="32"/>
        </w:rPr>
        <w:t>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精神和厉行节约要求从严控制“三公”经费开支</w:t>
      </w:r>
      <w:r>
        <w:rPr>
          <w:rFonts w:hint="eastAsia" w:ascii="仿宋_GB2312" w:hAnsi="Times New Roman" w:eastAsia="仿宋_GB2312" w:cs="DengXian-Regular"/>
          <w:sz w:val="32"/>
          <w:szCs w:val="32"/>
        </w:rPr>
        <w:t>；较上年增加0万元，增长0</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主要是</w:t>
      </w:r>
      <w:r>
        <w:rPr>
          <w:rFonts w:hint="eastAsia" w:ascii="仿宋_GB2312" w:eastAsia="仿宋_GB2312" w:cs="DengXian-Regular"/>
          <w:sz w:val="32"/>
          <w:szCs w:val="32"/>
        </w:rPr>
        <w:t>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精神和厉行节约要求从严控制“三公”经费开支</w:t>
      </w:r>
      <w:r>
        <w:rPr>
          <w:rFonts w:hint="eastAsia" w:ascii="仿宋_GB2312" w:hAnsi="Times New Roman" w:eastAsia="仿宋_GB2312" w:cs="DengXian-Regular"/>
          <w:sz w:val="32"/>
          <w:szCs w:val="32"/>
        </w:rPr>
        <w:t>。</w:t>
      </w:r>
      <w:r>
        <w:rPr>
          <w:rFonts w:hint="eastAsia" w:ascii="楷体_GB2312" w:eastAsia="楷体_GB2312" w:cs="DengXian-Bold"/>
          <w:b/>
          <w:bCs/>
          <w:sz w:val="32"/>
          <w:szCs w:val="32"/>
        </w:rPr>
        <w:t>（二）公务用车购置及运行维护费支出</w:t>
      </w:r>
      <w:r>
        <w:rPr>
          <w:rFonts w:hint="eastAsia" w:ascii="楷体_GB2312" w:eastAsia="楷体_GB2312" w:cs="DengXian-Bold"/>
          <w:b/>
          <w:bCs/>
          <w:sz w:val="32"/>
          <w:szCs w:val="32"/>
          <w:lang w:val="en-US" w:eastAsia="zh-CN"/>
        </w:rPr>
        <w:t>2.19</w:t>
      </w:r>
      <w:r>
        <w:rPr>
          <w:rFonts w:hint="eastAsia" w:ascii="楷体_GB2312" w:eastAsia="楷体_GB2312" w:cs="DengXian-Bold"/>
          <w:b/>
          <w:bCs/>
          <w:sz w:val="32"/>
          <w:szCs w:val="32"/>
        </w:rPr>
        <w:t>万元。</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年度公务用车购置及运行维护费较年初预算减少</w:t>
      </w:r>
      <w:r>
        <w:rPr>
          <w:rFonts w:hint="eastAsia" w:ascii="仿宋_GB2312" w:eastAsia="仿宋_GB2312" w:cs="DengXian-Regular"/>
          <w:sz w:val="32"/>
          <w:szCs w:val="32"/>
          <w:lang w:val="en-US" w:eastAsia="zh-CN"/>
        </w:rPr>
        <w:t>0.31</w:t>
      </w:r>
      <w:r>
        <w:rPr>
          <w:rFonts w:hint="eastAsia" w:ascii="仿宋_GB2312" w:eastAsia="仿宋_GB2312" w:cs="DengXian-Regular"/>
          <w:sz w:val="32"/>
          <w:szCs w:val="32"/>
        </w:rPr>
        <w:t>万元，降低</w:t>
      </w:r>
      <w:r>
        <w:rPr>
          <w:rFonts w:hint="eastAsia" w:ascii="仿宋_GB2312" w:eastAsia="仿宋_GB2312" w:cs="DengXian-Regular"/>
          <w:sz w:val="32"/>
          <w:szCs w:val="32"/>
          <w:lang w:val="en-US" w:eastAsia="zh-CN"/>
        </w:rPr>
        <w:t>12.4</w:t>
      </w:r>
      <w:r>
        <w:rPr>
          <w:rFonts w:ascii="仿宋_GB2312" w:eastAsia="仿宋_GB2312" w:cs="DengXian-Regular"/>
          <w:sz w:val="32"/>
          <w:szCs w:val="32"/>
        </w:rPr>
        <w:t>%,</w:t>
      </w:r>
      <w:r>
        <w:rPr>
          <w:rFonts w:hint="eastAsia" w:ascii="仿宋_GB2312" w:eastAsia="仿宋_GB2312" w:cs="DengXian-Regular"/>
          <w:sz w:val="32"/>
          <w:szCs w:val="32"/>
        </w:rPr>
        <w:t>主要是认真贯彻落实中央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精神和厉行节约要求，从严控制“三公”经费开支，全年实际支出比预算有所节约。</w:t>
      </w:r>
      <w:r>
        <w:rPr>
          <w:rFonts w:hint="eastAsia" w:ascii="仿宋_GB2312" w:eastAsia="仿宋_GB2312" w:cs="DengXian-Bold"/>
          <w:b/>
          <w:bCs/>
          <w:sz w:val="32"/>
          <w:szCs w:val="32"/>
        </w:rPr>
        <w:t>其中：</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公务用车购置费：</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年度公务用车购置量</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辆，发生“公务用车购置”经费支出</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w:t>
      </w:r>
      <w:r>
        <w:rPr>
          <w:rFonts w:hint="eastAsia" w:ascii="仿宋_GB2312" w:eastAsia="仿宋_GB2312" w:cs="DengXian-Regular"/>
          <w:sz w:val="32"/>
          <w:szCs w:val="32"/>
          <w:lang w:eastAsia="zh-CN"/>
        </w:rPr>
        <w:t>无</w:t>
      </w:r>
      <w:r>
        <w:rPr>
          <w:rFonts w:hint="eastAsia" w:ascii="仿宋_GB2312" w:eastAsia="仿宋_GB2312" w:cs="DengXian-Regular"/>
          <w:sz w:val="32"/>
          <w:szCs w:val="32"/>
        </w:rPr>
        <w:t>公务用车购置费支出</w:t>
      </w:r>
      <w:r>
        <w:rPr>
          <w:rFonts w:hint="eastAsia" w:ascii="仿宋_GB2312" w:eastAsia="仿宋_GB2312" w:cs="DengXian-Regular"/>
          <w:sz w:val="32"/>
          <w:szCs w:val="32"/>
          <w:lang w:eastAsia="zh-CN"/>
        </w:rPr>
        <w:t>。</w:t>
      </w:r>
      <w:r>
        <w:rPr>
          <w:rFonts w:hint="eastAsia" w:ascii="仿宋_GB2312" w:eastAsia="仿宋_GB2312" w:cs="DengXian-Regular"/>
          <w:sz w:val="32"/>
          <w:szCs w:val="32"/>
        </w:rPr>
        <w:t>主要是</w:t>
      </w:r>
      <w:r>
        <w:rPr>
          <w:rFonts w:hint="eastAsia" w:ascii="仿宋_GB2312" w:eastAsia="仿宋_GB2312" w:cs="DengXian-Regular"/>
          <w:sz w:val="32"/>
          <w:szCs w:val="32"/>
          <w:lang w:eastAsia="zh-CN"/>
        </w:rPr>
        <w:t>本单位</w:t>
      </w:r>
      <w:r>
        <w:rPr>
          <w:rFonts w:hint="eastAsia" w:ascii="仿宋_GB2312" w:eastAsia="仿宋_GB2312" w:cs="DengXian-Regular"/>
          <w:sz w:val="32"/>
          <w:szCs w:val="32"/>
          <w:lang w:val="en-US" w:eastAsia="zh-CN"/>
        </w:rPr>
        <w:t>2018年无公务购车预算</w:t>
      </w:r>
      <w:r>
        <w:rPr>
          <w:rFonts w:hint="eastAsia" w:ascii="仿宋_GB2312" w:eastAsia="仿宋_GB2312" w:cs="DengXian-Regular"/>
          <w:sz w:val="32"/>
          <w:szCs w:val="32"/>
        </w:rPr>
        <w:t>。</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公务用车运行维护费：</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年度单位公务用车保有量</w:t>
      </w:r>
      <w:r>
        <w:rPr>
          <w:rFonts w:hint="eastAsia" w:ascii="仿宋_GB2312" w:eastAsia="仿宋_GB2312" w:cs="DengXian-Regular"/>
          <w:sz w:val="32"/>
          <w:szCs w:val="32"/>
          <w:lang w:val="en-US" w:eastAsia="zh-CN"/>
        </w:rPr>
        <w:t>1</w:t>
      </w:r>
      <w:r>
        <w:rPr>
          <w:rFonts w:hint="eastAsia" w:ascii="仿宋_GB2312" w:eastAsia="仿宋_GB2312" w:cs="DengXian-Regular"/>
          <w:sz w:val="32"/>
          <w:szCs w:val="32"/>
        </w:rPr>
        <w:t>辆。公车运行维护费支出较年初预算减少</w:t>
      </w:r>
      <w:r>
        <w:rPr>
          <w:rFonts w:hint="eastAsia" w:ascii="仿宋_GB2312" w:eastAsia="仿宋_GB2312" w:cs="DengXian-Regular"/>
          <w:sz w:val="32"/>
          <w:szCs w:val="32"/>
          <w:lang w:val="en-US" w:eastAsia="zh-CN"/>
        </w:rPr>
        <w:t>0.31</w:t>
      </w:r>
      <w:r>
        <w:rPr>
          <w:rFonts w:hint="eastAsia" w:ascii="仿宋_GB2312" w:eastAsia="仿宋_GB2312" w:cs="DengXian-Regular"/>
          <w:sz w:val="32"/>
          <w:szCs w:val="32"/>
        </w:rPr>
        <w:t>万元，降低</w:t>
      </w:r>
      <w:r>
        <w:rPr>
          <w:rFonts w:hint="eastAsia" w:ascii="仿宋_GB2312" w:eastAsia="仿宋_GB2312" w:cs="DengXian-Regular"/>
          <w:sz w:val="32"/>
          <w:szCs w:val="32"/>
          <w:lang w:val="en-US" w:eastAsia="zh-CN"/>
        </w:rPr>
        <w:t>12.40</w:t>
      </w:r>
      <w:r>
        <w:rPr>
          <w:rFonts w:ascii="仿宋_GB2312" w:eastAsia="仿宋_GB2312" w:cs="DengXian-Regular"/>
          <w:sz w:val="32"/>
          <w:szCs w:val="32"/>
        </w:rPr>
        <w:t>%,</w:t>
      </w:r>
      <w:r>
        <w:rPr>
          <w:rFonts w:hint="eastAsia" w:ascii="仿宋_GB2312" w:eastAsia="仿宋_GB2312" w:cs="DengXian-Regular"/>
          <w:sz w:val="32"/>
          <w:szCs w:val="32"/>
        </w:rPr>
        <w:t>主要是认真贯彻落实中央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精神和厉行节约要求，从严控制“三公”经费开支，全年实际支出比预算有所节约。</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楷体_GB2312" w:eastAsia="楷体_GB2312" w:cs="DengXian-Bold"/>
          <w:b/>
          <w:bCs/>
          <w:sz w:val="32"/>
          <w:szCs w:val="32"/>
        </w:rPr>
        <w:t>（三）公务接待费支出</w:t>
      </w:r>
      <w:r>
        <w:rPr>
          <w:rFonts w:hint="eastAsia" w:ascii="楷体_GB2312" w:eastAsia="楷体_GB2312" w:cs="DengXian-Bold"/>
          <w:b/>
          <w:bCs/>
          <w:sz w:val="32"/>
          <w:szCs w:val="32"/>
          <w:lang w:val="en-US" w:eastAsia="zh-CN"/>
        </w:rPr>
        <w:t>0.04</w:t>
      </w:r>
      <w:r>
        <w:rPr>
          <w:rFonts w:hint="eastAsia" w:ascii="楷体_GB2312" w:eastAsia="楷体_GB2312" w:cs="DengXian-Bold"/>
          <w:b/>
          <w:bCs/>
          <w:sz w:val="32"/>
          <w:szCs w:val="32"/>
        </w:rPr>
        <w:t>万元。</w:t>
      </w:r>
      <w:r>
        <w:pict>
          <v:group id="_x0000_s1109" o:spid="_x0000_s1109" o:spt="203" style="position:absolute;left:0pt;margin-left:-79.5pt;margin-top:29.3pt;height:43.95pt;width:301.85pt;mso-position-vertical-relative:page;z-index:251687936;mso-width-relative:page;mso-height-relative:page;" coordorigin="4551,52615" coordsize="8546,1398">
            <o:lock v:ext="edit"/>
            <v:rect id="矩形 13" o:spid="_x0000_s1110" o:spt="1" style="position:absolute;left:4551;top:52615;height:1175;width:8546;v-text-anchor:middle;" fillcolor="#96DA9D" filled="t" stroked="f" coordsize="21600,21600">
              <v:path/>
              <v:fill on="t" focussize="0,0"/>
              <v:stroke on="f" weight="2pt"/>
              <v:imagedata o:title=""/>
              <o:lock v:ext="edit"/>
            </v:rect>
            <v:rect id="矩形 14" o:spid="_x0000_s1111"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年度公务接待共</w:t>
      </w:r>
      <w:r>
        <w:rPr>
          <w:rFonts w:hint="eastAsia" w:ascii="仿宋_GB2312" w:eastAsia="仿宋_GB2312" w:cs="DengXian-Regular"/>
          <w:sz w:val="32"/>
          <w:szCs w:val="32"/>
          <w:lang w:val="en-US" w:eastAsia="zh-CN"/>
        </w:rPr>
        <w:t>2</w:t>
      </w:r>
      <w:r>
        <w:rPr>
          <w:rFonts w:hint="eastAsia" w:ascii="仿宋_GB2312" w:eastAsia="仿宋_GB2312" w:cs="DengXian-Regular"/>
          <w:sz w:val="32"/>
          <w:szCs w:val="32"/>
        </w:rPr>
        <w:t>批次、</w:t>
      </w:r>
      <w:r>
        <w:rPr>
          <w:rFonts w:hint="eastAsia" w:ascii="仿宋_GB2312" w:eastAsia="仿宋_GB2312" w:cs="DengXian-Regular"/>
          <w:sz w:val="32"/>
          <w:szCs w:val="32"/>
          <w:lang w:val="en-US" w:eastAsia="zh-CN"/>
        </w:rPr>
        <w:t>6</w:t>
      </w:r>
      <w:r>
        <w:rPr>
          <w:rFonts w:hint="eastAsia" w:ascii="仿宋_GB2312" w:eastAsia="仿宋_GB2312" w:cs="DengXian-Regular"/>
          <w:sz w:val="32"/>
          <w:szCs w:val="32"/>
        </w:rPr>
        <w:t>人次。公务接待费支出较年初预算减少</w:t>
      </w:r>
      <w:r>
        <w:rPr>
          <w:rFonts w:hint="eastAsia" w:ascii="仿宋_GB2312" w:eastAsia="仿宋_GB2312" w:cs="DengXian-Regular"/>
          <w:sz w:val="32"/>
          <w:szCs w:val="32"/>
          <w:lang w:val="en-US" w:eastAsia="zh-CN"/>
        </w:rPr>
        <w:t>0.43</w:t>
      </w:r>
      <w:r>
        <w:rPr>
          <w:rFonts w:hint="eastAsia" w:ascii="仿宋_GB2312" w:eastAsia="仿宋_GB2312" w:cs="DengXian-Regular"/>
          <w:sz w:val="32"/>
          <w:szCs w:val="32"/>
        </w:rPr>
        <w:t>万元，降低</w:t>
      </w:r>
      <w:r>
        <w:rPr>
          <w:rFonts w:hint="eastAsia" w:ascii="仿宋_GB2312" w:eastAsia="仿宋_GB2312" w:cs="DengXian-Regular"/>
          <w:sz w:val="32"/>
          <w:szCs w:val="32"/>
          <w:lang w:val="en-US" w:eastAsia="zh-CN"/>
        </w:rPr>
        <w:t>92.60</w:t>
      </w:r>
      <w:r>
        <w:rPr>
          <w:rFonts w:ascii="仿宋_GB2312" w:eastAsia="仿宋_GB2312" w:cs="DengXian-Regular"/>
          <w:sz w:val="32"/>
          <w:szCs w:val="32"/>
        </w:rPr>
        <w:t>%,</w:t>
      </w:r>
      <w:r>
        <w:rPr>
          <w:rFonts w:hint="eastAsia" w:ascii="仿宋_GB2312" w:eastAsia="仿宋_GB2312" w:cs="DengXian-Regular"/>
          <w:sz w:val="32"/>
          <w:szCs w:val="32"/>
        </w:rPr>
        <w:t>主要是认真贯彻落实中央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精神和厉行节约要求，从严控制“三公”经费开支，全年实际支出比预算有所节约。</w:t>
      </w:r>
    </w:p>
    <w:p>
      <w:pPr>
        <w:adjustRightInd w:val="0"/>
        <w:snapToGrid w:val="0"/>
        <w:spacing w:after="0" w:line="580" w:lineRule="exact"/>
        <w:ind w:firstLine="640" w:firstLineChars="200"/>
        <w:rPr>
          <w:rFonts w:ascii="黑体" w:eastAsia="黑体"/>
          <w:sz w:val="32"/>
          <w:szCs w:val="40"/>
        </w:rPr>
      </w:pPr>
      <w:r>
        <w:rPr>
          <w:rFonts w:hint="eastAsia" w:ascii="黑体" w:eastAsia="黑体"/>
          <w:sz w:val="32"/>
          <w:szCs w:val="40"/>
        </w:rPr>
        <w:t>六、预算绩效情况说明</w:t>
      </w:r>
    </w:p>
    <w:p>
      <w:pPr>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（一）预算绩效管理工作开展情况</w:t>
      </w:r>
      <w:r>
        <w:rPr>
          <w:rFonts w:hint="eastAsia" w:ascii="仿宋_GB2312" w:eastAsia="仿宋_GB2312" w:cs="DengXian-Regular"/>
          <w:sz w:val="32"/>
          <w:szCs w:val="32"/>
          <w:lang w:eastAsia="zh-CN"/>
        </w:rPr>
        <w:t>：</w:t>
      </w:r>
      <w:r>
        <w:rPr>
          <w:rFonts w:hint="eastAsia" w:ascii="仿宋_GB2312" w:eastAsia="仿宋_GB2312" w:cs="DengXian-Regular"/>
          <w:sz w:val="32"/>
          <w:szCs w:val="32"/>
        </w:rPr>
        <w:t>我单位根据单位实际和工作需要，确定部门预算项目和预算额度，清晰描述预算项目开支范围和内容，确定预算项目的绩效目标。在预算执行过程中，按时间和进度的绩效管理目标要求，合理安排资金的使用，保证了各项工作的顺利进行，较好的实现了预算项目绩效目标。</w:t>
      </w:r>
    </w:p>
    <w:p>
      <w:pPr>
        <w:ind w:firstLine="640" w:firstLineChars="200"/>
        <w:rPr>
          <w:rFonts w:ascii="仿宋_GB2312" w:eastAsia="仿宋_GB2312" w:cs="DengXian-Regular"/>
          <w:sz w:val="32"/>
          <w:szCs w:val="32"/>
        </w:rPr>
      </w:pPr>
      <w:r>
        <w:rPr>
          <w:rFonts w:hint="eastAsia" w:ascii="仿宋_GB2312" w:eastAsia="仿宋_GB2312" w:cs="DengXian-Regular"/>
          <w:sz w:val="32"/>
          <w:szCs w:val="32"/>
        </w:rPr>
        <w:t>（二）项目绩效自评结果。在预算执行过程中，按时间和进度的绩效管理目标要求，合理安排资金的使用，保证了各项工作的顺利进行，较好的实现了预算项目绩效目标。</w:t>
      </w:r>
    </w:p>
    <w:p>
      <w:pPr>
        <w:adjustRightInd w:val="0"/>
        <w:snapToGrid w:val="0"/>
        <w:spacing w:after="0" w:line="580" w:lineRule="exact"/>
        <w:ind w:firstLine="640" w:firstLineChars="200"/>
        <w:rPr>
          <w:rFonts w:hint="eastAsia" w:ascii="仿宋_GB2312" w:eastAsia="仿宋_GB2312" w:cs="DengXian-Regular"/>
          <w:sz w:val="32"/>
          <w:szCs w:val="32"/>
          <w:lang w:eastAsia="zh-CN"/>
        </w:rPr>
      </w:pPr>
      <w:r>
        <w:rPr>
          <w:rFonts w:hint="eastAsia" w:ascii="仿宋_GB2312" w:eastAsia="仿宋_GB2312" w:cs="DengXian-Regular"/>
          <w:sz w:val="32"/>
          <w:szCs w:val="32"/>
        </w:rPr>
        <w:t>（三）重点项目绩效评价结果</w:t>
      </w:r>
      <w:r>
        <w:rPr>
          <w:rFonts w:hint="eastAsia" w:ascii="仿宋_GB2312" w:eastAsia="仿宋_GB2312" w:cs="DengXian-Regular"/>
          <w:sz w:val="32"/>
          <w:szCs w:val="32"/>
          <w:lang w:eastAsia="zh-CN"/>
        </w:rPr>
        <w:t>。</w:t>
      </w:r>
      <w:r>
        <w:rPr>
          <w:rFonts w:hint="eastAsia" w:ascii="仿宋_GB2312" w:eastAsia="仿宋_GB2312" w:cs="DengXian-Regular"/>
          <w:sz w:val="32"/>
          <w:szCs w:val="32"/>
        </w:rPr>
        <w:t>本部门没有重点项目</w:t>
      </w:r>
      <w:r>
        <w:rPr>
          <w:rFonts w:hint="eastAsia" w:ascii="仿宋_GB2312" w:eastAsia="仿宋_GB2312" w:cs="DengXian-Regular"/>
          <w:sz w:val="32"/>
          <w:szCs w:val="32"/>
          <w:lang w:eastAsia="zh-CN"/>
        </w:rPr>
        <w:t>。</w:t>
      </w:r>
    </w:p>
    <w:p>
      <w:pPr>
        <w:pStyle w:val="3"/>
        <w:spacing w:before="0" w:after="0" w:line="580" w:lineRule="exact"/>
        <w:ind w:firstLine="640" w:firstLineChars="200"/>
        <w:rPr>
          <w:rFonts w:ascii="黑体" w:eastAsia="黑体"/>
          <w:b w:val="0"/>
          <w:bCs w:val="0"/>
        </w:rPr>
      </w:pPr>
      <w:r>
        <w:rPr>
          <w:rFonts w:hint="eastAsia" w:ascii="黑体" w:eastAsia="黑体"/>
          <w:b w:val="0"/>
          <w:bCs w:val="0"/>
        </w:rPr>
        <w:t>七、其他重要事项的说明</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（一）机关运行经费情况</w:t>
      </w:r>
    </w:p>
    <w:p>
      <w:pPr>
        <w:adjustRightInd w:val="0"/>
        <w:snapToGrid w:val="0"/>
        <w:spacing w:after="0" w:line="580" w:lineRule="exact"/>
        <w:ind w:firstLine="640" w:firstLineChars="200"/>
        <w:rPr>
          <w:rFonts w:hint="default" w:ascii="仿宋_GB2312" w:eastAsia="仿宋_GB2312" w:cs="DengXian-Regular"/>
          <w:sz w:val="32"/>
          <w:szCs w:val="32"/>
          <w:lang w:val="en-US"/>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年度机关运行经费支出</w:t>
      </w:r>
      <w:r>
        <w:rPr>
          <w:rFonts w:hint="eastAsia" w:ascii="仿宋_GB2312" w:eastAsia="仿宋_GB2312" w:cs="DengXian-Regular"/>
          <w:sz w:val="32"/>
          <w:szCs w:val="32"/>
          <w:lang w:val="en-US" w:eastAsia="zh-CN"/>
        </w:rPr>
        <w:t>128.51</w:t>
      </w:r>
      <w:r>
        <w:rPr>
          <w:rFonts w:hint="eastAsia" w:ascii="仿宋_GB2312" w:eastAsia="仿宋_GB2312" w:cs="DengXian-Regular"/>
          <w:sz w:val="32"/>
          <w:szCs w:val="32"/>
        </w:rPr>
        <w:t>万元，比年初预算数增加</w:t>
      </w:r>
      <w:r>
        <w:rPr>
          <w:rFonts w:hint="eastAsia" w:ascii="仿宋_GB2312" w:eastAsia="仿宋_GB2312" w:cs="DengXian-Regular"/>
          <w:sz w:val="32"/>
          <w:szCs w:val="32"/>
          <w:lang w:val="en-US" w:eastAsia="zh-CN"/>
        </w:rPr>
        <w:t>104.20</w:t>
      </w:r>
      <w:r>
        <w:rPr>
          <w:rFonts w:hint="eastAsia" w:ascii="仿宋_GB2312" w:eastAsia="仿宋_GB2312" w:cs="DengXian-Regular"/>
          <w:sz w:val="32"/>
          <w:szCs w:val="32"/>
        </w:rPr>
        <w:t>万元，增长</w:t>
      </w:r>
      <w:r>
        <w:rPr>
          <w:rFonts w:hint="eastAsia" w:ascii="仿宋_GB2312" w:eastAsia="仿宋_GB2312" w:cs="DengXian-Regular"/>
          <w:sz w:val="32"/>
          <w:szCs w:val="32"/>
          <w:lang w:val="en-US" w:eastAsia="zh-CN"/>
        </w:rPr>
        <w:t>428.60</w:t>
      </w:r>
      <w:r>
        <w:rPr>
          <w:rFonts w:ascii="仿宋_GB2312" w:eastAsia="仿宋_GB2312" w:cs="DengXian-Regular"/>
          <w:sz w:val="32"/>
          <w:szCs w:val="32"/>
        </w:rPr>
        <w:t>%</w:t>
      </w:r>
      <w:r>
        <w:rPr>
          <w:rFonts w:hint="eastAsia" w:ascii="仿宋_GB2312" w:eastAsia="仿宋_GB2312" w:cs="DengXian-Regular"/>
          <w:sz w:val="32"/>
          <w:szCs w:val="32"/>
        </w:rPr>
        <w:t>。主要原因是</w:t>
      </w:r>
      <w:r>
        <w:rPr>
          <w:rFonts w:hint="eastAsia" w:ascii="仿宋_GB2312" w:eastAsia="仿宋_GB2312" w:cs="DengXian-Regular"/>
          <w:sz w:val="32"/>
          <w:szCs w:val="32"/>
          <w:lang w:val="en-US" w:eastAsia="zh-CN"/>
        </w:rPr>
        <w:t>增加经济普查经费，办公环境改变，增加水电费用。</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（二）政府采购情况</w:t>
      </w:r>
    </w:p>
    <w:p>
      <w:pPr>
        <w:pStyle w:val="4"/>
        <w:spacing w:before="0" w:after="0" w:line="580" w:lineRule="exact"/>
        <w:ind w:firstLine="640" w:firstLineChars="200"/>
        <w:rPr>
          <w:rFonts w:hint="eastAsia" w:ascii="仿宋_GB2312" w:hAnsi="仿宋_GB2312" w:eastAsia="仿宋_GB2312" w:cs="仿宋_GB2312"/>
          <w:b w:val="0"/>
          <w:bCs w:val="0"/>
          <w:color w:val="000000"/>
          <w:kern w:val="0"/>
          <w:sz w:val="32"/>
          <w:szCs w:val="32"/>
        </w:rPr>
      </w:pPr>
      <w:r>
        <w:rPr>
          <w:rFonts w:hint="eastAsia" w:ascii="仿宋_GB2312" w:hAnsi="Times New Roman" w:eastAsia="仿宋_GB2312" w:cs="DengXian-Regular"/>
          <w:b w:val="0"/>
          <w:bCs w:val="0"/>
          <w:sz w:val="32"/>
          <w:szCs w:val="32"/>
        </w:rPr>
        <w:t>本部门</w:t>
      </w:r>
      <w:r>
        <w:rPr>
          <w:rFonts w:ascii="仿宋_GB2312" w:hAnsi="Times New Roman" w:eastAsia="仿宋_GB2312" w:cs="DengXian-Regular"/>
          <w:b w:val="0"/>
          <w:bCs w:val="0"/>
          <w:sz w:val="32"/>
          <w:szCs w:val="32"/>
        </w:rPr>
        <w:t>201</w:t>
      </w:r>
      <w:r>
        <w:rPr>
          <w:rFonts w:hint="eastAsia" w:ascii="仿宋_GB2312" w:eastAsia="仿宋_GB2312" w:cs="DengXian-Regular"/>
          <w:b w:val="0"/>
          <w:bCs w:val="0"/>
          <w:sz w:val="32"/>
          <w:szCs w:val="32"/>
          <w:lang w:val="en-US" w:eastAsia="zh-CN"/>
        </w:rPr>
        <w:t>8</w:t>
      </w:r>
      <w:r>
        <w:rPr>
          <w:rFonts w:hint="eastAsia" w:ascii="仿宋_GB2312" w:hAnsi="Times New Roman" w:eastAsia="仿宋_GB2312" w:cs="DengXian-Regular"/>
          <w:b w:val="0"/>
          <w:bCs w:val="0"/>
          <w:sz w:val="32"/>
          <w:szCs w:val="32"/>
        </w:rPr>
        <w:t>年度政府采购支出总额</w:t>
      </w:r>
      <w:r>
        <w:rPr>
          <w:rFonts w:hint="eastAsia" w:ascii="仿宋_GB2312" w:hAnsi="Times New Roman" w:eastAsia="仿宋_GB2312" w:cs="DengXian-Regular"/>
          <w:b w:val="0"/>
          <w:bCs w:val="0"/>
          <w:sz w:val="32"/>
          <w:szCs w:val="32"/>
          <w:lang w:val="en-US" w:eastAsia="zh-CN"/>
        </w:rPr>
        <w:t>0</w:t>
      </w:r>
      <w:r>
        <w:rPr>
          <w:rFonts w:hint="eastAsia" w:ascii="仿宋_GB2312" w:hAnsi="Times New Roman" w:eastAsia="仿宋_GB2312" w:cs="DengXian-Regular"/>
          <w:b w:val="0"/>
          <w:bCs w:val="0"/>
          <w:sz w:val="32"/>
          <w:szCs w:val="32"/>
        </w:rPr>
        <w:t>万元，从采购类型来看，</w:t>
      </w:r>
      <w:r>
        <w:rPr>
          <w:rFonts w:hint="eastAsia" w:ascii="仿宋_GB2312" w:hAnsi="仿宋_GB2312" w:eastAsia="仿宋_GB2312" w:cs="仿宋_GB2312"/>
          <w:b w:val="0"/>
          <w:bCs w:val="0"/>
          <w:color w:val="000000"/>
          <w:kern w:val="0"/>
          <w:sz w:val="32"/>
          <w:szCs w:val="32"/>
        </w:rPr>
        <w:t>政府采购货物支出</w:t>
      </w:r>
      <w:r>
        <w:rPr>
          <w:rFonts w:hint="eastAsia" w:ascii="仿宋_GB2312" w:hAnsi="仿宋_GB2312" w:eastAsia="仿宋_GB2312" w:cs="仿宋_GB2312"/>
          <w:b w:val="0"/>
          <w:bCs w:val="0"/>
          <w:color w:val="000000"/>
          <w:kern w:val="0"/>
          <w:sz w:val="32"/>
          <w:szCs w:val="32"/>
          <w:lang w:val="en-US" w:eastAsia="zh-CN"/>
        </w:rPr>
        <w:t>0</w:t>
      </w:r>
      <w:r>
        <w:rPr>
          <w:rFonts w:hint="eastAsia" w:ascii="仿宋_GB2312" w:hAnsi="仿宋_GB2312" w:eastAsia="仿宋_GB2312" w:cs="仿宋_GB2312"/>
          <w:b w:val="0"/>
          <w:bCs w:val="0"/>
          <w:color w:val="000000"/>
          <w:kern w:val="0"/>
          <w:sz w:val="32"/>
          <w:szCs w:val="32"/>
        </w:rPr>
        <w:t>万元、政府采购工程支出</w:t>
      </w:r>
      <w:r>
        <w:rPr>
          <w:rFonts w:hint="eastAsia" w:ascii="仿宋_GB2312" w:hAnsi="仿宋_GB2312" w:eastAsia="仿宋_GB2312" w:cs="仿宋_GB2312"/>
          <w:b w:val="0"/>
          <w:bCs w:val="0"/>
          <w:color w:val="000000"/>
          <w:kern w:val="0"/>
          <w:sz w:val="32"/>
          <w:szCs w:val="32"/>
          <w:lang w:val="en-US" w:eastAsia="zh-CN"/>
        </w:rPr>
        <w:t>0</w:t>
      </w:r>
      <w:r>
        <w:rPr>
          <w:rFonts w:hint="eastAsia" w:ascii="仿宋_GB2312" w:hAnsi="仿宋_GB2312" w:eastAsia="仿宋_GB2312" w:cs="仿宋_GB2312"/>
          <w:b w:val="0"/>
          <w:bCs w:val="0"/>
          <w:color w:val="000000"/>
          <w:kern w:val="0"/>
          <w:sz w:val="32"/>
          <w:szCs w:val="32"/>
        </w:rPr>
        <w:t>万元、政府采购服务支出</w:t>
      </w:r>
      <w:r>
        <w:rPr>
          <w:rFonts w:ascii="仿宋_GB2312" w:hAnsi="仿宋_GB2312" w:eastAsia="仿宋_GB2312" w:cs="仿宋_GB2312"/>
          <w:b w:val="0"/>
          <w:bCs w:val="0"/>
          <w:color w:val="000000"/>
          <w:kern w:val="0"/>
          <w:sz w:val="32"/>
          <w:szCs w:val="32"/>
        </w:rPr>
        <w:t xml:space="preserve"> </w:t>
      </w:r>
      <w:r>
        <w:rPr>
          <w:rFonts w:hint="eastAsia" w:ascii="仿宋_GB2312" w:hAnsi="仿宋_GB2312" w:eastAsia="仿宋_GB2312" w:cs="仿宋_GB2312"/>
          <w:b w:val="0"/>
          <w:bCs w:val="0"/>
          <w:color w:val="000000"/>
          <w:kern w:val="0"/>
          <w:sz w:val="32"/>
          <w:szCs w:val="32"/>
          <w:lang w:val="en-US" w:eastAsia="zh-CN"/>
        </w:rPr>
        <w:t>0</w:t>
      </w:r>
      <w:r>
        <w:rPr>
          <w:rFonts w:hint="eastAsia" w:ascii="仿宋_GB2312" w:hAnsi="仿宋_GB2312" w:eastAsia="仿宋_GB2312" w:cs="仿宋_GB2312"/>
          <w:b w:val="0"/>
          <w:bCs w:val="0"/>
          <w:color w:val="000000"/>
          <w:kern w:val="0"/>
          <w:sz w:val="32"/>
          <w:szCs w:val="32"/>
        </w:rPr>
        <w:t>万元。授予中小企业合同金</w:t>
      </w:r>
      <w:r>
        <w:rPr>
          <w:rFonts w:hint="eastAsia" w:ascii="仿宋_GB2312" w:hAnsi="仿宋_GB2312" w:eastAsia="仿宋_GB2312" w:cs="仿宋_GB2312"/>
          <w:b w:val="0"/>
          <w:bCs w:val="0"/>
          <w:color w:val="000000"/>
          <w:kern w:val="0"/>
          <w:sz w:val="32"/>
          <w:szCs w:val="32"/>
          <w:lang w:val="en-US" w:eastAsia="zh-CN"/>
        </w:rPr>
        <w:t>0</w:t>
      </w:r>
      <w:r>
        <w:rPr>
          <w:rFonts w:hint="eastAsia" w:ascii="仿宋_GB2312" w:hAnsi="仿宋_GB2312" w:eastAsia="仿宋_GB2312" w:cs="仿宋_GB2312"/>
          <w:b w:val="0"/>
          <w:bCs w:val="0"/>
          <w:color w:val="000000"/>
          <w:kern w:val="0"/>
          <w:sz w:val="32"/>
          <w:szCs w:val="32"/>
        </w:rPr>
        <w:t>万元，占政府采购支出总额的</w:t>
      </w:r>
      <w:r>
        <w:rPr>
          <w:rFonts w:hint="eastAsia" w:ascii="仿宋_GB2312" w:hAnsi="仿宋_GB2312" w:eastAsia="仿宋_GB2312" w:cs="仿宋_GB2312"/>
          <w:b w:val="0"/>
          <w:bCs w:val="0"/>
          <w:color w:val="000000"/>
          <w:kern w:val="0"/>
          <w:sz w:val="32"/>
          <w:szCs w:val="32"/>
          <w:lang w:val="en-US" w:eastAsia="zh-CN"/>
        </w:rPr>
        <w:t>0</w:t>
      </w:r>
      <w:r>
        <w:rPr>
          <w:rFonts w:ascii="仿宋_GB2312" w:hAnsi="仿宋_GB2312" w:eastAsia="仿宋_GB2312" w:cs="仿宋_GB2312"/>
          <w:b w:val="0"/>
          <w:bCs w:val="0"/>
          <w:color w:val="000000"/>
          <w:kern w:val="0"/>
          <w:sz w:val="32"/>
          <w:szCs w:val="32"/>
        </w:rPr>
        <w:t>%</w:t>
      </w:r>
      <w:r>
        <w:rPr>
          <w:rFonts w:hint="eastAsia" w:ascii="仿宋_GB2312" w:hAnsi="仿宋_GB2312" w:eastAsia="仿宋_GB2312" w:cs="仿宋_GB2312"/>
          <w:b w:val="0"/>
          <w:bCs w:val="0"/>
          <w:color w:val="000000"/>
          <w:kern w:val="0"/>
          <w:sz w:val="32"/>
          <w:szCs w:val="32"/>
        </w:rPr>
        <w:t>，其中授予小微企业合同金额</w:t>
      </w:r>
      <w:r>
        <w:rPr>
          <w:rFonts w:hint="eastAsia" w:ascii="仿宋_GB2312" w:hAnsi="仿宋_GB2312" w:eastAsia="仿宋_GB2312" w:cs="仿宋_GB2312"/>
          <w:b w:val="0"/>
          <w:bCs w:val="0"/>
          <w:color w:val="000000"/>
          <w:kern w:val="0"/>
          <w:sz w:val="32"/>
          <w:szCs w:val="32"/>
          <w:lang w:val="en-US" w:eastAsia="zh-CN"/>
        </w:rPr>
        <w:t>0</w:t>
      </w:r>
      <w:r>
        <w:rPr>
          <w:rFonts w:hint="eastAsia" w:ascii="仿宋_GB2312" w:hAnsi="仿宋_GB2312" w:eastAsia="仿宋_GB2312" w:cs="仿宋_GB2312"/>
          <w:b w:val="0"/>
          <w:bCs w:val="0"/>
          <w:color w:val="000000"/>
          <w:kern w:val="0"/>
          <w:sz w:val="32"/>
          <w:szCs w:val="32"/>
        </w:rPr>
        <w:t>万元，占政府采购支出总额的</w:t>
      </w:r>
      <w:r>
        <w:rPr>
          <w:rFonts w:ascii="仿宋_GB2312" w:hAnsi="仿宋_GB2312" w:eastAsia="仿宋_GB2312" w:cs="仿宋_GB2312"/>
          <w:b w:val="0"/>
          <w:bCs w:val="0"/>
          <w:color w:val="000000"/>
          <w:kern w:val="0"/>
          <w:sz w:val="32"/>
          <w:szCs w:val="32"/>
        </w:rPr>
        <w:t xml:space="preserve"> </w:t>
      </w:r>
      <w:r>
        <w:rPr>
          <w:rFonts w:hint="eastAsia" w:ascii="仿宋_GB2312" w:hAnsi="仿宋_GB2312" w:eastAsia="仿宋_GB2312" w:cs="仿宋_GB2312"/>
          <w:b w:val="0"/>
          <w:bCs w:val="0"/>
          <w:color w:val="000000"/>
          <w:kern w:val="0"/>
          <w:sz w:val="32"/>
          <w:szCs w:val="32"/>
          <w:lang w:val="en-US" w:eastAsia="zh-CN"/>
        </w:rPr>
        <w:t>0</w:t>
      </w:r>
      <w:r>
        <w:rPr>
          <w:rFonts w:ascii="仿宋_GB2312" w:hAnsi="仿宋_GB2312" w:eastAsia="仿宋_GB2312" w:cs="仿宋_GB2312"/>
          <w:b w:val="0"/>
          <w:bCs w:val="0"/>
          <w:color w:val="000000"/>
          <w:kern w:val="0"/>
          <w:sz w:val="32"/>
          <w:szCs w:val="32"/>
        </w:rPr>
        <w:t>%</w:t>
      </w:r>
      <w:r>
        <w:rPr>
          <w:rFonts w:hint="eastAsia" w:ascii="仿宋_GB2312" w:hAnsi="仿宋_GB2312" w:eastAsia="仿宋_GB2312" w:cs="仿宋_GB2312"/>
          <w:b w:val="0"/>
          <w:bCs w:val="0"/>
          <w:color w:val="000000"/>
          <w:kern w:val="0"/>
          <w:sz w:val="32"/>
          <w:szCs w:val="32"/>
        </w:rPr>
        <w:t>。</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（三）国有资产占用情况</w:t>
      </w:r>
    </w:p>
    <w:p>
      <w:pPr>
        <w:adjustRightInd w:val="0"/>
        <w:snapToGrid w:val="0"/>
        <w:spacing w:after="0" w:line="580"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截至</w:t>
      </w:r>
      <w:r>
        <w:rPr>
          <w:rFonts w:ascii="仿宋_GB2312" w:eastAsia="仿宋_GB2312" w:cs="DengXian-Regular"/>
          <w:sz w:val="32"/>
          <w:szCs w:val="32"/>
        </w:rPr>
        <w:t>2018</w:t>
      </w:r>
      <w:r>
        <w:rPr>
          <w:rFonts w:hint="eastAsia" w:ascii="仿宋_GB2312" w:eastAsia="仿宋_GB2312" w:cs="DengXian-Regular"/>
          <w:sz w:val="32"/>
          <w:szCs w:val="32"/>
        </w:rPr>
        <w:t>年</w:t>
      </w:r>
      <w:r>
        <w:rPr>
          <w:rFonts w:ascii="仿宋_GB2312" w:eastAsia="仿宋_GB2312" w:cs="DengXian-Regular"/>
          <w:sz w:val="32"/>
          <w:szCs w:val="32"/>
        </w:rPr>
        <w:t>12</w:t>
      </w:r>
      <w:r>
        <w:rPr>
          <w:rFonts w:hint="eastAsia" w:ascii="仿宋_GB2312" w:eastAsia="仿宋_GB2312" w:cs="DengXian-Regular"/>
          <w:sz w:val="32"/>
          <w:szCs w:val="32"/>
        </w:rPr>
        <w:t>月</w:t>
      </w:r>
      <w:r>
        <w:rPr>
          <w:rFonts w:ascii="仿宋_GB2312" w:eastAsia="仿宋_GB2312" w:cs="DengXian-Regular"/>
          <w:sz w:val="32"/>
          <w:szCs w:val="32"/>
        </w:rPr>
        <w:t>31</w:t>
      </w:r>
      <w:r>
        <w:rPr>
          <w:rFonts w:hint="eastAsia" w:ascii="仿宋_GB2312" w:eastAsia="仿宋_GB2312" w:cs="DengXian-Regular"/>
          <w:sz w:val="32"/>
          <w:szCs w:val="32"/>
        </w:rPr>
        <w:t>日，本部门共有车辆</w:t>
      </w:r>
      <w:r>
        <w:rPr>
          <w:rFonts w:hint="eastAsia" w:ascii="仿宋_GB2312" w:eastAsia="仿宋_GB2312" w:cs="DengXian-Regular"/>
          <w:sz w:val="32"/>
          <w:szCs w:val="32"/>
          <w:lang w:val="en-US" w:eastAsia="zh-CN"/>
        </w:rPr>
        <w:t>1</w:t>
      </w:r>
      <w:r>
        <w:rPr>
          <w:rFonts w:hint="eastAsia" w:ascii="仿宋_GB2312" w:eastAsia="仿宋_GB2312" w:cs="DengXian-Regular"/>
          <w:sz w:val="32"/>
          <w:szCs w:val="32"/>
        </w:rPr>
        <w:t>辆，</w:t>
      </w:r>
      <w:r>
        <w:rPr>
          <w:rFonts w:hint="eastAsia" w:ascii="仿宋_GB2312" w:eastAsia="仿宋_GB2312" w:cs="DengXian-Regular"/>
          <w:sz w:val="32"/>
          <w:szCs w:val="32"/>
          <w:lang w:eastAsia="zh-CN"/>
        </w:rPr>
        <w:t>与</w:t>
      </w:r>
      <w:r>
        <w:rPr>
          <w:rFonts w:hint="eastAsia" w:ascii="仿宋_GB2312" w:eastAsia="仿宋_GB2312" w:cs="DengXian-Regular"/>
          <w:sz w:val="32"/>
          <w:szCs w:val="32"/>
        </w:rPr>
        <w:t>上年</w:t>
      </w:r>
      <w:r>
        <w:rPr>
          <w:rFonts w:hint="eastAsia" w:ascii="仿宋_GB2312" w:eastAsia="仿宋_GB2312" w:cs="DengXian-Regular"/>
          <w:sz w:val="32"/>
          <w:szCs w:val="32"/>
          <w:lang w:eastAsia="zh-CN"/>
        </w:rPr>
        <w:t>持平</w:t>
      </w:r>
      <w:r>
        <w:rPr>
          <w:rFonts w:hint="eastAsia" w:ascii="仿宋_GB2312" w:eastAsia="仿宋_GB2312" w:cs="DengXian-Regular"/>
          <w:sz w:val="32"/>
          <w:szCs w:val="32"/>
        </w:rPr>
        <w:t>。其中，应急保障用车</w:t>
      </w:r>
      <w:r>
        <w:rPr>
          <w:rFonts w:hint="eastAsia" w:ascii="仿宋_GB2312" w:eastAsia="仿宋_GB2312" w:cs="DengXian-Regular"/>
          <w:sz w:val="32"/>
          <w:szCs w:val="32"/>
          <w:lang w:val="en-US" w:eastAsia="zh-CN"/>
        </w:rPr>
        <w:t>1</w:t>
      </w:r>
      <w:r>
        <w:rPr>
          <w:rFonts w:hint="eastAsia" w:ascii="仿宋_GB2312" w:eastAsia="仿宋_GB2312" w:cs="DengXian-Regular"/>
          <w:sz w:val="32"/>
          <w:szCs w:val="32"/>
        </w:rPr>
        <w:t>辆；单位价值</w:t>
      </w:r>
      <w:r>
        <w:rPr>
          <w:rFonts w:ascii="仿宋_GB2312" w:hAnsi="TimesNewRomanPSMT" w:eastAsia="仿宋_GB2312" w:cs="TimesNewRomanPSMT"/>
          <w:sz w:val="32"/>
          <w:szCs w:val="32"/>
        </w:rPr>
        <w:t>50</w:t>
      </w:r>
      <w:r>
        <w:rPr>
          <w:rFonts w:hint="eastAsia" w:ascii="仿宋_GB2312" w:eastAsia="仿宋_GB2312" w:cs="DengXian-Regular"/>
          <w:sz w:val="32"/>
          <w:szCs w:val="32"/>
        </w:rPr>
        <w:t>万元以上通用设备</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台，比上年</w:t>
      </w:r>
      <w:r>
        <w:rPr>
          <w:rFonts w:hint="eastAsia" w:ascii="仿宋_GB2312" w:eastAsia="仿宋_GB2312" w:cs="DengXian-Regular"/>
          <w:sz w:val="32"/>
          <w:szCs w:val="32"/>
          <w:lang w:eastAsia="zh-CN"/>
        </w:rPr>
        <w:t>相同</w:t>
      </w:r>
      <w:r>
        <w:rPr>
          <w:rFonts w:hint="eastAsia" w:ascii="仿宋_GB2312" w:eastAsia="仿宋_GB2312" w:cs="DengXian-Regular"/>
          <w:sz w:val="32"/>
          <w:szCs w:val="32"/>
        </w:rPr>
        <w:t>，主要是</w:t>
      </w:r>
      <w:r>
        <w:rPr>
          <w:rFonts w:hint="eastAsia" w:ascii="仿宋_GB2312" w:eastAsia="仿宋_GB2312" w:cs="DengXian-Regular"/>
          <w:sz w:val="32"/>
          <w:szCs w:val="32"/>
          <w:lang w:eastAsia="zh-CN"/>
        </w:rPr>
        <w:t>本单位无大额通用设备，且无购置计划</w:t>
      </w:r>
      <w:r>
        <w:rPr>
          <w:rFonts w:ascii="仿宋_GB2312" w:eastAsia="仿宋_GB2312" w:cs="DengXian-Regular"/>
          <w:sz w:val="32"/>
          <w:szCs w:val="32"/>
        </w:rPr>
        <w:t xml:space="preserve"> </w:t>
      </w:r>
      <w:r>
        <w:rPr>
          <w:rFonts w:hint="eastAsia" w:ascii="仿宋_GB2312" w:eastAsia="仿宋_GB2312" w:cs="DengXian-Regular"/>
          <w:sz w:val="32"/>
          <w:szCs w:val="32"/>
        </w:rPr>
        <w:t>，单位价值</w:t>
      </w:r>
      <w:r>
        <w:rPr>
          <w:rFonts w:ascii="仿宋_GB2312" w:hAnsi="TimesNewRomanPSMT" w:eastAsia="仿宋_GB2312" w:cs="TimesNewRomanPSMT"/>
          <w:sz w:val="32"/>
          <w:szCs w:val="32"/>
        </w:rPr>
        <w:t>100</w:t>
      </w:r>
      <w:r>
        <w:rPr>
          <w:rFonts w:hint="eastAsia" w:ascii="仿宋_GB2312" w:eastAsia="仿宋_GB2312" w:cs="DengXian-Regular"/>
          <w:sz w:val="32"/>
          <w:szCs w:val="32"/>
        </w:rPr>
        <w:t>万元以上专用设备</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台</w:t>
      </w:r>
      <w:r>
        <w:rPr>
          <w:rFonts w:hint="eastAsia" w:ascii="仿宋_GB2312" w:eastAsia="仿宋_GB2312" w:cs="DengXian-Regular"/>
          <w:sz w:val="32"/>
          <w:szCs w:val="32"/>
          <w:lang w:eastAsia="zh-CN"/>
        </w:rPr>
        <w:t>，</w:t>
      </w:r>
      <w:r>
        <w:rPr>
          <w:rFonts w:hint="eastAsia" w:ascii="仿宋_GB2312" w:eastAsia="仿宋_GB2312" w:cs="DengXian-Regular"/>
          <w:sz w:val="32"/>
          <w:szCs w:val="32"/>
        </w:rPr>
        <w:t>比上年</w:t>
      </w:r>
      <w:r>
        <w:rPr>
          <w:rFonts w:hint="eastAsia" w:ascii="仿宋_GB2312" w:eastAsia="仿宋_GB2312" w:cs="DengXian-Regular"/>
          <w:sz w:val="32"/>
          <w:szCs w:val="32"/>
          <w:lang w:eastAsia="zh-CN"/>
        </w:rPr>
        <w:t>相同</w:t>
      </w:r>
      <w:r>
        <w:rPr>
          <w:rFonts w:ascii="仿宋_GB2312" w:eastAsia="仿宋_GB2312" w:cs="DengXian-Regular"/>
          <w:sz w:val="32"/>
          <w:szCs w:val="32"/>
        </w:rPr>
        <w:t>,</w:t>
      </w:r>
      <w:r>
        <w:rPr>
          <w:rFonts w:hint="eastAsia" w:ascii="仿宋_GB2312" w:eastAsia="仿宋_GB2312" w:cs="DengXian-Regular"/>
          <w:sz w:val="32"/>
          <w:szCs w:val="32"/>
        </w:rPr>
        <w:t>主要是</w:t>
      </w:r>
      <w:r>
        <w:rPr>
          <w:rFonts w:hint="eastAsia" w:ascii="仿宋_GB2312" w:eastAsia="仿宋_GB2312" w:cs="DengXian-Regular"/>
          <w:sz w:val="32"/>
          <w:szCs w:val="32"/>
          <w:lang w:eastAsia="zh-CN"/>
        </w:rPr>
        <w:t>我单位无大额专业设备，且无购置计划</w:t>
      </w:r>
      <w:r>
        <w:rPr>
          <w:rFonts w:hint="eastAsia" w:ascii="仿宋_GB2312" w:eastAsia="仿宋_GB2312" w:cs="DengXian-Regular"/>
          <w:sz w:val="32"/>
          <w:szCs w:val="32"/>
        </w:rPr>
        <w:t>。</w:t>
      </w:r>
    </w:p>
    <w:p>
      <w:pPr>
        <w:adjustRightInd w:val="0"/>
        <w:snapToGrid w:val="0"/>
        <w:spacing w:after="0" w:line="580" w:lineRule="exact"/>
        <w:ind w:firstLine="640" w:firstLineChars="200"/>
        <w:rPr>
          <w:rFonts w:hint="eastAsia" w:ascii="仿宋_GB2312" w:eastAsia="仿宋_GB2312" w:cs="DengXian-Regular"/>
          <w:sz w:val="32"/>
          <w:szCs w:val="32"/>
          <w:lang w:eastAsia="zh-CN"/>
        </w:rPr>
      </w:pPr>
      <w:r>
        <w:rPr>
          <w:rFonts w:hint="eastAsia" w:ascii="仿宋_GB2312" w:eastAsia="仿宋_GB2312" w:cs="DengXian-Regular"/>
          <w:sz w:val="32"/>
          <w:szCs w:val="32"/>
          <w:lang w:eastAsia="zh-CN"/>
        </w:rPr>
        <w:t>我单位201</w:t>
      </w:r>
      <w:r>
        <w:rPr>
          <w:rFonts w:hint="eastAsia" w:ascii="仿宋_GB2312" w:eastAsia="仿宋_GB2312" w:cs="DengXian-Regular"/>
          <w:sz w:val="32"/>
          <w:szCs w:val="32"/>
          <w:lang w:val="en-US" w:eastAsia="zh-CN"/>
        </w:rPr>
        <w:t>8</w:t>
      </w:r>
      <w:r>
        <w:rPr>
          <w:rFonts w:hint="eastAsia" w:ascii="仿宋_GB2312" w:eastAsia="仿宋_GB2312" w:cs="DengXian-Regular"/>
          <w:sz w:val="32"/>
          <w:szCs w:val="32"/>
          <w:lang w:eastAsia="zh-CN"/>
        </w:rPr>
        <w:t>年末固定资产总额为4</w:t>
      </w:r>
      <w:r>
        <w:rPr>
          <w:rFonts w:hint="eastAsia" w:ascii="仿宋_GB2312" w:eastAsia="仿宋_GB2312" w:cs="DengXian-Regular"/>
          <w:sz w:val="32"/>
          <w:szCs w:val="32"/>
          <w:lang w:val="en-US" w:eastAsia="zh-CN"/>
        </w:rPr>
        <w:t>9.71</w:t>
      </w:r>
      <w:r>
        <w:rPr>
          <w:rFonts w:hint="eastAsia" w:ascii="仿宋_GB2312" w:eastAsia="仿宋_GB2312" w:cs="DengXian-Regular"/>
          <w:sz w:val="32"/>
          <w:szCs w:val="32"/>
          <w:lang w:eastAsia="zh-CN"/>
        </w:rPr>
        <w:t>万元，主要包括车辆1辆价值14.68万元及其他固定资产</w:t>
      </w:r>
      <w:r>
        <w:rPr>
          <w:rFonts w:hint="eastAsia" w:ascii="仿宋_GB2312" w:eastAsia="仿宋_GB2312" w:cs="DengXian-Regular"/>
          <w:sz w:val="32"/>
          <w:szCs w:val="32"/>
          <w:lang w:val="en-US" w:eastAsia="zh-CN"/>
        </w:rPr>
        <w:t>35.03</w:t>
      </w:r>
      <w:r>
        <w:rPr>
          <w:rFonts w:hint="eastAsia" w:ascii="仿宋_GB2312" w:eastAsia="仿宋_GB2312" w:cs="DengXian-Regular"/>
          <w:sz w:val="32"/>
          <w:szCs w:val="32"/>
          <w:lang w:eastAsia="zh-CN"/>
        </w:rPr>
        <w:t xml:space="preserve">万元。 </w:t>
      </w:r>
    </w:p>
    <w:p>
      <w:pPr>
        <w:adjustRightInd w:val="0"/>
        <w:snapToGrid w:val="0"/>
        <w:spacing w:after="0" w:line="580" w:lineRule="exact"/>
        <w:ind w:firstLine="640" w:firstLineChars="200"/>
        <w:rPr>
          <w:rFonts w:hint="eastAsia" w:ascii="仿宋_GB2312" w:eastAsia="仿宋_GB2312" w:cs="DengXian-Regular"/>
          <w:sz w:val="32"/>
          <w:szCs w:val="32"/>
          <w:lang w:eastAsia="zh-CN"/>
        </w:rPr>
      </w:pPr>
      <w:r>
        <w:rPr>
          <w:rFonts w:hint="eastAsia" w:ascii="仿宋_GB2312" w:eastAsia="仿宋_GB2312" w:cs="DengXian-Regular"/>
          <w:sz w:val="32"/>
          <w:szCs w:val="32"/>
          <w:lang w:eastAsia="zh-CN"/>
        </w:rPr>
        <w:t>201</w:t>
      </w:r>
      <w:r>
        <w:rPr>
          <w:rFonts w:hint="eastAsia" w:ascii="仿宋_GB2312" w:eastAsia="仿宋_GB2312" w:cs="DengXian-Regular"/>
          <w:sz w:val="32"/>
          <w:szCs w:val="32"/>
          <w:lang w:val="en-US" w:eastAsia="zh-CN"/>
        </w:rPr>
        <w:t>8</w:t>
      </w:r>
      <w:r>
        <w:rPr>
          <w:rFonts w:hint="eastAsia" w:ascii="仿宋_GB2312" w:eastAsia="仿宋_GB2312" w:cs="DengXian-Regular"/>
          <w:sz w:val="32"/>
          <w:szCs w:val="32"/>
          <w:lang w:eastAsia="zh-CN"/>
        </w:rPr>
        <w:t>年资产变动情况：固定资产增加</w:t>
      </w:r>
      <w:r>
        <w:rPr>
          <w:rFonts w:hint="eastAsia" w:ascii="仿宋_GB2312" w:eastAsia="仿宋_GB2312" w:cs="DengXian-Regular"/>
          <w:sz w:val="32"/>
          <w:szCs w:val="32"/>
          <w:lang w:val="en-US" w:eastAsia="zh-CN"/>
        </w:rPr>
        <w:t>9.29</w:t>
      </w:r>
      <w:r>
        <w:rPr>
          <w:rFonts w:hint="eastAsia" w:ascii="仿宋_GB2312" w:eastAsia="仿宋_GB2312" w:cs="DengXian-Regular"/>
          <w:sz w:val="32"/>
          <w:szCs w:val="32"/>
          <w:lang w:eastAsia="zh-CN"/>
        </w:rPr>
        <w:t>万元，为办公设备购置</w:t>
      </w:r>
      <w:r>
        <w:rPr>
          <w:rFonts w:hint="eastAsia" w:ascii="仿宋_GB2312" w:eastAsia="仿宋_GB2312" w:cs="DengXian-Regular"/>
          <w:sz w:val="32"/>
          <w:szCs w:val="32"/>
          <w:lang w:val="en-US" w:eastAsia="zh-CN"/>
        </w:rPr>
        <w:t>9.29</w:t>
      </w:r>
      <w:r>
        <w:rPr>
          <w:rFonts w:hint="eastAsia" w:ascii="仿宋_GB2312" w:eastAsia="仿宋_GB2312" w:cs="DengXian-Regular"/>
          <w:sz w:val="32"/>
          <w:szCs w:val="32"/>
          <w:lang w:eastAsia="zh-CN"/>
        </w:rPr>
        <w:t xml:space="preserve">万元。           </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（四）其他需要说明的情况</w:t>
      </w:r>
    </w:p>
    <w:p>
      <w:pPr>
        <w:adjustRightInd w:val="0"/>
        <w:snapToGrid w:val="0"/>
        <w:spacing w:after="0" w:line="580" w:lineRule="exact"/>
        <w:ind w:firstLine="640" w:firstLineChars="200"/>
        <w:rPr>
          <w:rFonts w:hint="eastAsia" w:ascii="仿宋_GB2312" w:eastAsia="仿宋_GB2312" w:cs="DengXian-Regular"/>
          <w:sz w:val="32"/>
          <w:szCs w:val="32"/>
          <w:lang w:eastAsia="zh-CN"/>
        </w:rPr>
      </w:pPr>
      <w:r>
        <w:rPr>
          <w:rFonts w:ascii="仿宋_GB2312" w:eastAsia="仿宋_GB2312" w:cs="DengXian-Regular"/>
          <w:sz w:val="32"/>
          <w:szCs w:val="32"/>
        </w:rPr>
        <w:t>1</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年度政府性基金预算财政拨款收入支出决算表无收支及结转结余情况，故政府性基金预算财政拨款收入支出决算表以空表列示</w:t>
      </w:r>
      <w:r>
        <w:rPr>
          <w:rFonts w:hint="eastAsia" w:ascii="仿宋_GB2312" w:eastAsia="仿宋_GB2312" w:cs="DengXian-Regular"/>
          <w:sz w:val="32"/>
          <w:szCs w:val="32"/>
          <w:lang w:eastAsia="zh-CN"/>
        </w:rPr>
        <w:t>；</w:t>
      </w:r>
      <w:r>
        <w:rPr>
          <w:rFonts w:hint="eastAsia" w:ascii="仿宋_GB2312" w:eastAsia="仿宋_GB2312" w:cs="DengXian-Regular"/>
          <w:sz w:val="32"/>
          <w:szCs w:val="32"/>
        </w:rPr>
        <w:t>国有资本经营预算财政拨款支出决算表无收支及结转结余情况</w:t>
      </w:r>
      <w:r>
        <w:rPr>
          <w:rFonts w:hint="eastAsia" w:ascii="仿宋_GB2312" w:eastAsia="仿宋_GB2312" w:cs="DengXian-Regular"/>
          <w:sz w:val="32"/>
          <w:szCs w:val="32"/>
          <w:lang w:eastAsia="zh-CN"/>
        </w:rPr>
        <w:t>，</w:t>
      </w:r>
      <w:r>
        <w:rPr>
          <w:rFonts w:hint="eastAsia" w:ascii="仿宋_GB2312" w:eastAsia="仿宋_GB2312" w:cs="DengXian-Regular"/>
          <w:sz w:val="32"/>
          <w:szCs w:val="32"/>
        </w:rPr>
        <w:t>故国有资本经营预算财政拨款支出决算表以空表列示</w:t>
      </w:r>
      <w:r>
        <w:rPr>
          <w:rFonts w:hint="eastAsia" w:ascii="仿宋_GB2312" w:eastAsia="仿宋_GB2312" w:cs="DengXian-Regular"/>
          <w:sz w:val="32"/>
          <w:szCs w:val="32"/>
          <w:lang w:eastAsia="zh-CN"/>
        </w:rPr>
        <w:t>；</w:t>
      </w:r>
      <w:r>
        <w:rPr>
          <w:rFonts w:hint="eastAsia" w:ascii="仿宋_GB2312" w:eastAsia="仿宋_GB2312" w:cs="DengXian-Regular"/>
          <w:sz w:val="32"/>
          <w:szCs w:val="32"/>
        </w:rPr>
        <w:t>政府采购情况表无收支及结转结余情况</w:t>
      </w:r>
      <w:r>
        <w:rPr>
          <w:rFonts w:hint="eastAsia" w:ascii="仿宋_GB2312" w:eastAsia="仿宋_GB2312" w:cs="DengXian-Regular"/>
          <w:sz w:val="32"/>
          <w:szCs w:val="32"/>
          <w:lang w:eastAsia="zh-CN"/>
        </w:rPr>
        <w:t>，</w:t>
      </w:r>
      <w:r>
        <w:rPr>
          <w:rFonts w:hint="eastAsia" w:ascii="仿宋_GB2312" w:eastAsia="仿宋_GB2312" w:cs="DengXian-Regular"/>
          <w:sz w:val="32"/>
          <w:szCs w:val="32"/>
        </w:rPr>
        <w:t>故政府采购情况表以空表列示</w:t>
      </w:r>
      <w:r>
        <w:rPr>
          <w:rFonts w:hint="eastAsia" w:ascii="仿宋_GB2312" w:eastAsia="仿宋_GB2312" w:cs="DengXian-Regular"/>
          <w:sz w:val="32"/>
          <w:szCs w:val="32"/>
          <w:lang w:eastAsia="zh-CN"/>
        </w:rPr>
        <w:t>。</w:t>
      </w:r>
    </w:p>
    <w:p>
      <w:pPr>
        <w:adjustRightInd w:val="0"/>
        <w:snapToGrid w:val="0"/>
        <w:spacing w:after="0" w:line="580" w:lineRule="exact"/>
        <w:ind w:firstLine="640" w:firstLineChars="200"/>
        <w:rPr>
          <w:rFonts w:ascii="仿宋_GB2312" w:eastAsia="仿宋_GB2312" w:cs="DengXian-Regular"/>
          <w:sz w:val="32"/>
          <w:szCs w:val="32"/>
        </w:rPr>
      </w:pPr>
      <w:r>
        <w:rPr>
          <w:rFonts w:ascii="仿宋_GB2312" w:eastAsia="仿宋_GB2312" w:cs="DengXian-Regular"/>
          <w:sz w:val="32"/>
          <w:szCs w:val="32"/>
        </w:rPr>
        <w:t>2</w:t>
      </w:r>
      <w:r>
        <w:rPr>
          <w:rFonts w:hint="eastAsia" w:ascii="仿宋_GB2312" w:eastAsia="仿宋_GB2312" w:cs="DengXian-Regular"/>
          <w:sz w:val="32"/>
          <w:szCs w:val="32"/>
        </w:rPr>
        <w:t>、由于决算公开表格中金额数值应当保留两位小数，公开数据为四舍五入计算结</w:t>
      </w:r>
      <w:r>
        <w:pict>
          <v:group id="_x0000_s1115" o:spid="_x0000_s1115" o:spt="203" style="position:absolute;left:0pt;margin-left:-79.5pt;margin-top:29.3pt;height:43.95pt;width:301.85pt;mso-position-vertical-relative:page;z-index:251688960;mso-width-relative:page;mso-height-relative:page;" coordorigin="4551,52615" coordsize="8546,1398">
            <o:lock v:ext="edit"/>
            <v:rect id="矩形 13" o:spid="_x0000_s1116" o:spt="1" style="position:absolute;left:4551;top:52615;height:1175;width:8546;v-text-anchor:middle;" fillcolor="#96DA9D" filled="t" stroked="f" coordsize="21600,21600">
              <v:path/>
              <v:fill on="t" focussize="0,0"/>
              <v:stroke on="f" weight="2pt"/>
              <v:imagedata o:title=""/>
              <o:lock v:ext="edit"/>
            </v:rect>
            <v:rect id="矩形 14" o:spid="_x0000_s1117"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仿宋_GB2312" w:eastAsia="仿宋_GB2312" w:cs="DengXian-Regular"/>
          <w:sz w:val="32"/>
          <w:szCs w:val="32"/>
        </w:rPr>
        <w:t>果，个别数据合计项与分项之和存在小数点后差额，特此说明。</w:t>
      </w:r>
    </w:p>
    <w:p>
      <w:pPr>
        <w:widowControl/>
        <w:spacing w:after="0" w:line="580" w:lineRule="exact"/>
        <w:ind w:firstLine="883" w:firstLineChars="200"/>
        <w:jc w:val="left"/>
        <w:rPr>
          <w:rFonts w:ascii="宋体" w:cs="MS-UIGothic,Bold"/>
          <w:b/>
          <w:bCs/>
          <w:kern w:val="0"/>
          <w:sz w:val="44"/>
          <w:szCs w:val="44"/>
        </w:rPr>
        <w:sectPr>
          <w:pgSz w:w="11906" w:h="16838"/>
          <w:pgMar w:top="2098" w:right="1474" w:bottom="1984" w:left="1588" w:header="851" w:footer="992" w:gutter="0"/>
          <w:cols w:space="0" w:num="1"/>
          <w:docGrid w:type="lines" w:linePitch="312" w:charSpace="0"/>
        </w:sectPr>
      </w:pPr>
    </w:p>
    <w:p>
      <w:pPr>
        <w:rPr>
          <w:rFonts w:ascii="宋体" w:cs="ArialUnicodeMS"/>
          <w:color w:val="000000"/>
          <w:kern w:val="0"/>
        </w:rPr>
        <w:sectPr>
          <w:pgSz w:w="11906" w:h="16838"/>
          <w:pgMar w:top="2098" w:right="1474" w:bottom="1984" w:left="1588" w:header="851" w:footer="992" w:gutter="0"/>
          <w:cols w:space="0" w:num="1"/>
          <w:docGrid w:type="lines" w:linePitch="312" w:charSpace="0"/>
        </w:sectPr>
      </w:pPr>
      <w:r>
        <w:pict>
          <v:shape id="图片 21" o:spid="_x0000_s1118" o:spt="75" alt="2" type="#_x0000_t75" style="position:absolute;left:0pt;margin-left:-79.45pt;margin-top:-105.35pt;height:840.95pt;width:594.5pt;z-index:-251648000;mso-width-relative:page;mso-height-relative:page;" filled="f" o:preferrelative="t" stroked="f" coordsize="21600,21600">
            <v:path/>
            <v:fill on="f" focussize="0,0"/>
            <v:stroke on="f" joinstyle="miter"/>
            <v:imagedata r:id="rId7" o:title=""/>
            <o:lock v:ext="edit" aspectratio="t"/>
          </v:shape>
        </w:pict>
      </w:r>
      <w:r>
        <w:pict>
          <v:shape id="文本框 22" o:spid="_x0000_s1119" o:spt="202" type="#_x0000_t202" style="position:absolute;left:0pt;margin-left:-78.7pt;margin-top:232.8pt;height:159.1pt;width:596.2pt;z-index:251667456;mso-width-relative:page;mso-height-relative:page;" filled="f" stroked="f" coordsize="21600,21600">
            <v:path/>
            <v:fill on="f" focussize="0,0"/>
            <v:stroke on="f" weight="0.5pt" joinstyle="miter"/>
            <v:imagedata o:title=""/>
            <o:lock v:ext="edit"/>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第四部分</w:t>
                  </w:r>
                </w:p>
                <w:p>
                  <w:pPr>
                    <w:widowControl/>
                    <w:spacing w:line="1200" w:lineRule="exact"/>
                    <w:jc w:val="center"/>
                    <w:rPr>
                      <w:color w:val="FDEFBE"/>
                      <w:sz w:val="96"/>
                      <w:szCs w:val="96"/>
                    </w:rPr>
                  </w:pPr>
                  <w:r>
                    <w:rPr>
                      <w:rFonts w:hint="eastAsia" w:ascii="黑体" w:hAnsi="宋体" w:eastAsia="黑体"/>
                      <w:color w:val="FDEFBE"/>
                      <w:sz w:val="96"/>
                      <w:szCs w:val="96"/>
                    </w:rPr>
                    <w:t>名词解释</w:t>
                  </w:r>
                </w:p>
              </w:txbxContent>
            </v:textbox>
          </v:shape>
        </w:pic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（一）财政拨款收入：</w:t>
      </w:r>
      <w:r>
        <w:rPr>
          <w:rFonts w:hint="eastAsia" w:ascii="仿宋_GB2312" w:hAnsi="宋体" w:eastAsia="仿宋_GB2312"/>
          <w:color w:val="000000"/>
          <w:kern w:val="0"/>
          <w:sz w:val="32"/>
          <w:szCs w:val="32"/>
        </w:rPr>
        <w:t>本年度从本级财政部门取得的财政拨款，包括一般公共预算财政拨款和政府性基金预算财政拨款。</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（二）事业收入：</w:t>
      </w:r>
      <w:r>
        <w:rPr>
          <w:rFonts w:hint="eastAsia" w:ascii="仿宋_GB2312" w:hAnsi="宋体" w:eastAsia="仿宋_GB2312"/>
          <w:color w:val="000000"/>
          <w:kern w:val="0"/>
          <w:sz w:val="32"/>
          <w:szCs w:val="32"/>
        </w:rPr>
        <w:t>指事业单位开展专业业务活动及辅助活动所取得的收入。</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（三）其他收入：</w:t>
      </w:r>
      <w:r>
        <w:rPr>
          <w:rFonts w:hint="eastAsia" w:ascii="仿宋_GB2312" w:hAnsi="宋体" w:eastAsia="仿宋_GB2312"/>
          <w:color w:val="000000"/>
          <w:kern w:val="0"/>
          <w:sz w:val="32"/>
          <w:szCs w:val="32"/>
        </w:rPr>
        <w:t>指除上述“财政拨款收入”“事业收入”“经营收入”等以外的收入。</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（四）用事业基金弥补收支差额：</w:t>
      </w:r>
      <w:r>
        <w:rPr>
          <w:rFonts w:hint="eastAsia" w:ascii="仿宋_GB2312" w:hAnsi="宋体" w:eastAsia="仿宋_GB2312"/>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（五）年初结转和结余：</w:t>
      </w:r>
      <w:r>
        <w:rPr>
          <w:rFonts w:hint="eastAsia" w:ascii="仿宋_GB2312" w:hAnsi="宋体" w:eastAsia="仿宋_GB2312"/>
          <w:color w:val="000000"/>
          <w:kern w:val="0"/>
          <w:sz w:val="32"/>
          <w:szCs w:val="32"/>
        </w:rPr>
        <w:t>指以前年度尚未完成、结转到本年仍按原规定用途继续使用的资金，或项目已完成等产生的结余资金。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（六）结余分配：</w:t>
      </w:r>
      <w:r>
        <w:rPr>
          <w:rFonts w:hint="eastAsia" w:ascii="仿宋_GB2312" w:hAnsi="宋体" w:eastAsia="仿宋_GB2312"/>
          <w:color w:val="000000"/>
          <w:kern w:val="0"/>
          <w:sz w:val="32"/>
          <w:szCs w:val="32"/>
        </w:rPr>
        <w:t>指事业单位按照事业单位会计制度的规定从非财政补助结余中分配的事业基金和职工福利基金等。</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（七）年末结转和结</w:t>
      </w:r>
      <w:r>
        <w:pict>
          <v:group id="组合 149" o:spid="_x0000_s1120" o:spt="203" style="position:absolute;left:0pt;margin-left:-81.05pt;margin-top:39.65pt;height:43.95pt;width:264.85pt;mso-position-vertical-relative:page;z-index:251671552;mso-width-relative:page;mso-height-relative:page;" coordorigin="4551,52615" coordsize="8546,1398">
            <o:lock v:ext="edit"/>
            <v:rect id="矩形 13" o:spid="_x0000_s1121" o:spt="1" style="position:absolute;left:4551;top:52615;height:1175;width:8546;v-text-anchor:middle;" fillcolor="#96DA9D" filled="t" stroked="f" coordsize="21600,21600">
              <v:path/>
              <v:fill on="t" focussize="0,0"/>
              <v:stroke on="f" weight="2pt"/>
              <v:imagedata o:title=""/>
              <o:lock v:ext="edit"/>
            </v:rect>
            <v:rect id="矩形 14" o:spid="_x0000_s1122"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v:textbox>
            </v:rect>
            <w10:anchorlock/>
          </v:group>
        </w:pict>
      </w:r>
      <w:r>
        <w:rPr>
          <w:rFonts w:hint="eastAsia" w:ascii="仿宋_GB2312" w:hAnsi="宋体" w:eastAsia="仿宋_GB2312"/>
          <w:b/>
          <w:bCs/>
          <w:color w:val="000000"/>
          <w:kern w:val="0"/>
          <w:sz w:val="32"/>
          <w:szCs w:val="32"/>
        </w:rPr>
        <w:t>余：</w:t>
      </w:r>
      <w:r>
        <w:rPr>
          <w:rFonts w:hint="eastAsia" w:ascii="仿宋_GB2312" w:hAnsi="宋体" w:eastAsia="仿宋_GB2312"/>
          <w:color w:val="000000"/>
          <w:kern w:val="0"/>
          <w:sz w:val="32"/>
          <w:szCs w:val="32"/>
        </w:rPr>
        <w:t>指单位按有关规定结转到下年或以后年度继续使用的资金，或项目已完成等产生的结余资金。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（八）基本支出：</w:t>
      </w:r>
      <w:r>
        <w:rPr>
          <w:rFonts w:hint="eastAsia" w:ascii="仿宋_GB2312" w:hAnsi="宋体" w:eastAsia="仿宋_GB2312"/>
          <w:color w:val="000000"/>
          <w:kern w:val="0"/>
          <w:sz w:val="32"/>
          <w:szCs w:val="32"/>
        </w:rPr>
        <w:t>填列单位为保障机构正常运转、完成日常工作任务而发生的各项支出。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（九）项目支出：</w:t>
      </w:r>
      <w:r>
        <w:rPr>
          <w:rFonts w:hint="eastAsia" w:ascii="仿宋_GB2312" w:hAnsi="宋体" w:eastAsia="仿宋_GB2312"/>
          <w:color w:val="000000"/>
          <w:kern w:val="0"/>
          <w:sz w:val="32"/>
          <w:szCs w:val="32"/>
        </w:rPr>
        <w:t>填列单位为完成特定的行政工作任务或事业发展目标，在基本支出之外发生的各项支出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（十）资本性支出（基本建设）：</w:t>
      </w:r>
      <w:r>
        <w:rPr>
          <w:rFonts w:hint="eastAsia" w:ascii="仿宋_GB2312" w:hAnsi="宋体" w:eastAsia="仿宋_GB2312"/>
          <w:color w:val="000000"/>
          <w:kern w:val="0"/>
          <w:sz w:val="32"/>
          <w:szCs w:val="32"/>
        </w:rPr>
        <w:t>填列切块由发展改革部门安排的基本建设支出，对企业补助支出不在此科目反映。</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（十一）资本性支出：</w:t>
      </w:r>
      <w:r>
        <w:rPr>
          <w:rFonts w:hint="eastAsia" w:ascii="仿宋_GB2312" w:hAnsi="宋体" w:eastAsia="仿宋_GB2312"/>
          <w:color w:val="000000"/>
          <w:kern w:val="0"/>
          <w:sz w:val="32"/>
          <w:szCs w:val="32"/>
        </w:rPr>
        <w:t>填列各单位安排的资本性支出。切块由发展改革部门安排的基本建设支出不在此科目反映。</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（十二）“三公”经费：</w:t>
      </w:r>
      <w:r>
        <w:rPr>
          <w:rFonts w:hint="eastAsia" w:ascii="仿宋_GB2312" w:hAnsi="宋体" w:eastAsia="仿宋_GB2312"/>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w:t>
      </w:r>
      <w:r>
        <w:pict>
          <v:group id="组合 94" o:spid="_x0000_s1123" o:spt="203" style="position:absolute;left:0pt;margin-left:-81.05pt;margin-top:39.65pt;height:43.95pt;width:264.85pt;mso-position-vertical-relative:page;z-index:251689984;mso-width-relative:page;mso-height-relative:page;" coordorigin="4551,52615" coordsize="8546,1398">
            <o:lock v:ext="edit"/>
            <v:rect id="矩形 13" o:spid="_x0000_s1124" o:spt="1" style="position:absolute;left:4551;top:52615;height:1175;width:8546;v-text-anchor:middle;" fillcolor="#96DA9D" filled="t" stroked="f" coordsize="21600,21600">
              <v:path/>
              <v:fill on="t" focussize="0,0"/>
              <v:stroke on="f" weight="2pt"/>
              <v:imagedata o:title=""/>
              <o:lock v:ext="edit"/>
            </v:rect>
            <v:rect id="矩形 14" o:spid="_x0000_s1125"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v:textbox>
            </v:rect>
            <w10:anchorlock/>
          </v:group>
        </w:pict>
      </w:r>
      <w:r>
        <w:rPr>
          <w:rFonts w:hint="eastAsia" w:ascii="仿宋_GB2312" w:hAnsi="宋体" w:eastAsia="仿宋_GB2312"/>
          <w:color w:val="000000"/>
          <w:kern w:val="0"/>
          <w:sz w:val="32"/>
          <w:szCs w:val="32"/>
        </w:rPr>
        <w:t>待费反映单位按规定开支的各类公务接待（含外宾接待）支出。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（十三）其</w:t>
      </w:r>
      <w:r>
        <w:pict>
          <v:group id="组合 97" o:spid="_x0000_s1126" o:spt="203" style="position:absolute;left:0pt;margin-left:-81.05pt;margin-top:39.65pt;height:43.95pt;width:264.85pt;mso-position-vertical-relative:page;z-index:251691008;mso-width-relative:page;mso-height-relative:page;" coordorigin="4551,52615" coordsize="8546,1398">
            <o:lock v:ext="edit"/>
            <v:rect id="矩形 13" o:spid="_x0000_s1127" o:spt="1" style="position:absolute;left:4551;top:52615;height:1175;width:8546;v-text-anchor:middle;" fillcolor="#96DA9D" filled="t" stroked="f" coordsize="21600,21600">
              <v:path/>
              <v:fill on="t" focussize="0,0"/>
              <v:stroke on="f" weight="2pt"/>
              <v:imagedata o:title=""/>
              <o:lock v:ext="edit"/>
            </v:rect>
            <v:rect id="矩形 14" o:spid="_x0000_s1128"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v:textbox>
            </v:rect>
            <w10:anchorlock/>
          </v:group>
        </w:pict>
      </w:r>
      <w:r>
        <w:rPr>
          <w:rFonts w:hint="eastAsia" w:ascii="仿宋_GB2312" w:hAnsi="宋体" w:eastAsia="仿宋_GB2312"/>
          <w:b/>
          <w:bCs/>
          <w:color w:val="000000"/>
          <w:kern w:val="0"/>
          <w:sz w:val="32"/>
          <w:szCs w:val="32"/>
        </w:rPr>
        <w:t>他交通费用：</w:t>
      </w:r>
      <w:r>
        <w:rPr>
          <w:rFonts w:hint="eastAsia" w:ascii="仿宋_GB2312" w:hAnsi="宋体" w:eastAsia="仿宋_GB2312"/>
          <w:color w:val="000000"/>
          <w:kern w:val="0"/>
          <w:sz w:val="32"/>
          <w:szCs w:val="32"/>
        </w:rPr>
        <w:t>填列单位除公务用车运行维护费以外的其他交通费用。如公务交通补贴、租车费用、出租车费用、飞机、船舶等的燃料费、维修费、保险费等。</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（十四）公务用车购置：</w:t>
      </w:r>
      <w:r>
        <w:rPr>
          <w:rFonts w:hint="eastAsia" w:ascii="仿宋_GB2312" w:hAnsi="宋体" w:eastAsia="仿宋_GB2312"/>
          <w:color w:val="000000"/>
          <w:kern w:val="0"/>
          <w:sz w:val="32"/>
          <w:szCs w:val="32"/>
        </w:rPr>
        <w:t>填列单位公务用车购置支出（含车辆购置税、牌照费）。</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（十五）其他交通工具购置：</w:t>
      </w:r>
      <w:r>
        <w:rPr>
          <w:rFonts w:hint="eastAsia" w:ascii="仿宋_GB2312" w:hAnsi="宋体" w:eastAsia="仿宋_GB2312"/>
          <w:color w:val="000000"/>
          <w:kern w:val="0"/>
          <w:sz w:val="32"/>
          <w:szCs w:val="32"/>
        </w:rPr>
        <w:t>填列单位除公务用车外的其他各类交通工具（如船舶、飞机）购置支出（含车辆购置税、牌照费）。</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（十六）机关运行经费：</w:t>
      </w:r>
      <w:r>
        <w:rPr>
          <w:rFonts w:hint="eastAsia" w:ascii="仿宋_GB2312" w:hAnsi="宋体" w:eastAsia="仿宋_GB2312"/>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widowControl/>
        <w:spacing w:after="0" w:line="560" w:lineRule="exact"/>
        <w:ind w:firstLine="643" w:firstLineChars="200"/>
        <w:rPr>
          <w:rFonts w:ascii="仿宋_GB2312" w:hAnsi="Cambria" w:eastAsia="仿宋_GB2312" w:cs="ArialUnicodeMS"/>
          <w:kern w:val="0"/>
          <w:sz w:val="32"/>
          <w:szCs w:val="32"/>
        </w:rPr>
        <w:sectPr>
          <w:pgSz w:w="11906" w:h="16838"/>
          <w:pgMar w:top="2098" w:right="1474" w:bottom="1985" w:left="1588" w:header="851" w:footer="992" w:gutter="0"/>
          <w:cols w:space="425" w:num="1"/>
          <w:docGrid w:type="lines" w:linePitch="312" w:charSpace="0"/>
        </w:sectPr>
      </w:pPr>
      <w:r>
        <w:rPr>
          <w:rFonts w:hint="eastAsia" w:ascii="仿宋_GB2312" w:hAnsi="宋体" w:eastAsia="仿宋_GB2312"/>
          <w:b/>
          <w:bCs/>
          <w:color w:val="000000"/>
          <w:kern w:val="0"/>
          <w:sz w:val="32"/>
          <w:szCs w:val="32"/>
        </w:rPr>
        <w:t>（十七）经费形式</w:t>
      </w:r>
      <w:r>
        <w:rPr>
          <w:rFonts w:ascii="仿宋_GB2312" w:hAnsi="宋体" w:eastAsia="仿宋_GB2312"/>
          <w:b/>
          <w:bCs/>
          <w:color w:val="000000"/>
          <w:kern w:val="0"/>
          <w:sz w:val="32"/>
          <w:szCs w:val="32"/>
        </w:rPr>
        <w:t>:</w:t>
      </w:r>
      <w:r>
        <w:rPr>
          <w:rFonts w:hint="eastAsia" w:ascii="仿宋_GB2312" w:hAnsi="宋体" w:eastAsia="仿宋_GB2312"/>
          <w:color w:val="000000"/>
          <w:kern w:val="0"/>
          <w:sz w:val="32"/>
          <w:szCs w:val="32"/>
        </w:rPr>
        <w:t>按照经费来源，</w:t>
      </w:r>
      <w:r>
        <w:rPr>
          <w:rFonts w:hint="eastAsia" w:ascii="仿宋_GB2312" w:hAnsi="Cambria" w:eastAsia="仿宋_GB2312" w:cs="ArialUnicodeMS"/>
          <w:kern w:val="0"/>
          <w:sz w:val="32"/>
          <w:szCs w:val="32"/>
        </w:rPr>
        <w:t>可分为财政拨款、财政性资金基本保证、财政性资金定额或定项补助、财政性资金零补助四类。</w:t>
      </w:r>
    </w:p>
    <w:p>
      <w:pPr>
        <w:widowControl/>
        <w:spacing w:after="0" w:line="560" w:lineRule="exact"/>
        <w:ind w:firstLine="420" w:firstLineChars="200"/>
        <w:rPr>
          <w:rFonts w:ascii="仿宋_GB2312" w:hAnsi="Cambria" w:eastAsia="仿宋_GB2312" w:cs="ArialUnicodeMS"/>
          <w:kern w:val="0"/>
          <w:sz w:val="32"/>
          <w:szCs w:val="32"/>
        </w:rPr>
      </w:pPr>
      <w:r>
        <w:pict>
          <v:shape id="图片 101" o:spid="_x0000_s1129" o:spt="75" alt="3" type="#_x0000_t75" style="position:absolute;left:0pt;margin-left:-78pt;margin-top:-106.7pt;height:845.35pt;width:597.65pt;z-index:-251646976;mso-width-relative:page;mso-height-relative:page;" filled="f" o:preferrelative="t" stroked="f" coordsize="21600,21600">
            <v:path/>
            <v:fill on="f" focussize="0,0"/>
            <v:stroke on="f" joinstyle="miter"/>
            <v:imagedata r:id="rId11" o:title=""/>
            <o:lock v:ext="edit" aspectratio="t"/>
          </v:shape>
        </w:pict>
      </w:r>
    </w:p>
    <w:sectPr>
      <w:pgSz w:w="11906" w:h="16838"/>
      <w:pgMar w:top="2098" w:right="1474" w:bottom="1985" w:left="158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85A2453-AB73-4975-98E6-75758E8C183D}"/>
  </w:font>
  <w:font w:name="Arial">
    <w:panose1 w:val="020B0604020202020204"/>
    <w:charset w:val="01"/>
    <w:family w:val="swiss"/>
    <w:pitch w:val="default"/>
    <w:sig w:usb0="E0002AFF" w:usb1="C0007843" w:usb2="00000009" w:usb3="00000000" w:csb0="400001FF" w:csb1="FFFF0000"/>
    <w:embedRegular r:id="rId2" w:fontKey="{09ED0FB5-938B-4974-8600-E43F4D4062C3}"/>
  </w:font>
  <w:font w:name="黑体">
    <w:panose1 w:val="02010609060101010101"/>
    <w:charset w:val="86"/>
    <w:family w:val="auto"/>
    <w:pitch w:val="default"/>
    <w:sig w:usb0="800002BF" w:usb1="38CF7CFA" w:usb2="00000016" w:usb3="00000000" w:csb0="00040001" w:csb1="00000000"/>
    <w:embedRegular r:id="rId3" w:fontKey="{DDA5012A-90A6-44AE-8F65-EA5BF803936C}"/>
  </w:font>
  <w:font w:name="Courier New">
    <w:panose1 w:val="02070309020205020404"/>
    <w:charset w:val="01"/>
    <w:family w:val="modern"/>
    <w:pitch w:val="default"/>
    <w:sig w:usb0="E0002AFF" w:usb1="C0007843" w:usb2="00000009" w:usb3="00000000" w:csb0="400001FF" w:csb1="FFFF0000"/>
    <w:embedRegular r:id="rId4" w:fontKey="{8412D5F4-61DC-4F74-A65D-C858ECA9127A}"/>
  </w:font>
  <w:font w:name="Symbol">
    <w:panose1 w:val="05050102010706020507"/>
    <w:charset w:val="02"/>
    <w:family w:val="roman"/>
    <w:pitch w:val="default"/>
    <w:sig w:usb0="00000000" w:usb1="00000000" w:usb2="00000000" w:usb3="00000000" w:csb0="80000000" w:csb1="00000000"/>
    <w:embedRegular r:id="rId5" w:fontKey="{8A8CAA56-C0E3-4ECA-8DA8-98FDCC9A6E96}"/>
  </w:font>
  <w:font w:name="Calibri">
    <w:panose1 w:val="020F0502020204030204"/>
    <w:charset w:val="00"/>
    <w:family w:val="swiss"/>
    <w:pitch w:val="default"/>
    <w:sig w:usb0="E00002FF" w:usb1="4000ACFF" w:usb2="00000001" w:usb3="00000000" w:csb0="2000019F" w:csb1="00000000"/>
    <w:embedRegular r:id="rId6" w:fontKey="{6C02B91C-F830-40B8-A16D-8CA1A10DB1FD}"/>
  </w:font>
  <w:font w:name="Cambria">
    <w:panose1 w:val="02040503050406030204"/>
    <w:charset w:val="00"/>
    <w:family w:val="roman"/>
    <w:pitch w:val="default"/>
    <w:sig w:usb0="E00002FF" w:usb1="400004FF" w:usb2="00000000" w:usb3="00000000" w:csb0="2000019F" w:csb1="00000000"/>
    <w:embedRegular r:id="rId7" w:fontKey="{C433BA79-F877-4155-9890-53567AFDB704}"/>
  </w:font>
  <w:font w:name="楷体">
    <w:panose1 w:val="02010609060101010101"/>
    <w:charset w:val="86"/>
    <w:family w:val="modern"/>
    <w:pitch w:val="default"/>
    <w:sig w:usb0="800002BF" w:usb1="38CF7CFA" w:usb2="00000016" w:usb3="00000000" w:csb0="00040001" w:csb1="00000000"/>
    <w:embedRegular r:id="rId8" w:fontKey="{843D4DCA-04A7-4B2B-A3C5-ECA4ED8D2130}"/>
  </w:font>
  <w:font w:name="MS Gothic">
    <w:panose1 w:val="020B0609070205080204"/>
    <w:charset w:val="80"/>
    <w:family w:val="modern"/>
    <w:pitch w:val="default"/>
    <w:sig w:usb0="E00002FF" w:usb1="6AC7FDFB" w:usb2="00000012" w:usb3="00000000" w:csb0="4002009F" w:csb1="DFD70000"/>
    <w:embedRegular r:id="rId9" w:fontKey="{F8D0ADC4-85BA-4DEA-806A-BC84714C5EE4}"/>
  </w:font>
  <w:font w:name="仿宋_GB2312">
    <w:panose1 w:val="02010609030101010101"/>
    <w:charset w:val="86"/>
    <w:family w:val="modern"/>
    <w:pitch w:val="default"/>
    <w:sig w:usb0="00000000" w:usb1="00000000" w:usb2="00000000" w:usb3="00000000" w:csb0="00000000" w:csb1="00000000"/>
    <w:embedRegular r:id="rId10" w:fontKey="{E04EE17B-C115-46FC-B76E-9699402E2055}"/>
  </w:font>
  <w:font w:name="ArialUnicodeMS">
    <w:altName w:val="Malgun Gothic"/>
    <w:panose1 w:val="00000000000000000000"/>
    <w:charset w:val="81"/>
    <w:family w:val="auto"/>
    <w:pitch w:val="default"/>
    <w:sig w:usb0="00000000" w:usb1="00000000" w:usb2="00000010" w:usb3="00000000" w:csb0="00080000" w:csb1="00000000"/>
    <w:embedRegular r:id="rId11" w:fontKey="{1B2B69C9-5192-4C08-8BBB-0C777196179F}"/>
  </w:font>
  <w:font w:name="Malgun Gothic">
    <w:panose1 w:val="020B0503020000020004"/>
    <w:charset w:val="81"/>
    <w:family w:val="auto"/>
    <w:pitch w:val="default"/>
    <w:sig w:usb0="900002AF" w:usb1="01D77CFB" w:usb2="00000012" w:usb3="00000000" w:csb0="00080001" w:csb1="00000000"/>
  </w:font>
  <w:font w:name="MS-UIGothic,Bold">
    <w:altName w:val="Malgun Gothic"/>
    <w:panose1 w:val="00000000000000000000"/>
    <w:charset w:val="81"/>
    <w:family w:val="auto"/>
    <w:pitch w:val="default"/>
    <w:sig w:usb0="00000000" w:usb1="00000000" w:usb2="00000010" w:usb3="00000000" w:csb0="00080000" w:csb1="00000000"/>
    <w:embedRegular r:id="rId12" w:fontKey="{FCDCBBFB-FA56-4105-8155-6C0103B6AFDD}"/>
  </w:font>
  <w:font w:name="DengXian-Regular">
    <w:altName w:val="宋体"/>
    <w:panose1 w:val="00000000000000000000"/>
    <w:charset w:val="86"/>
    <w:family w:val="auto"/>
    <w:pitch w:val="default"/>
    <w:sig w:usb0="00000000" w:usb1="00000000" w:usb2="00000010" w:usb3="00000000" w:csb0="00040000" w:csb1="00000000"/>
    <w:embedRegular r:id="rId13" w:fontKey="{D760795B-75FE-418C-8092-A100956870D2}"/>
  </w:font>
  <w:font w:name="仿宋">
    <w:panose1 w:val="02010609060101010101"/>
    <w:charset w:val="86"/>
    <w:family w:val="auto"/>
    <w:pitch w:val="default"/>
    <w:sig w:usb0="800002BF" w:usb1="38CF7CFA" w:usb2="00000016" w:usb3="00000000" w:csb0="00040001" w:csb1="00000000"/>
    <w:embedRegular r:id="rId14" w:fontKey="{0516FE20-C207-4894-A89F-9D9EC4DB2933}"/>
  </w:font>
  <w:font w:name="楷体_GB2312">
    <w:panose1 w:val="02010609030101010101"/>
    <w:charset w:val="86"/>
    <w:family w:val="modern"/>
    <w:pitch w:val="default"/>
    <w:sig w:usb0="00000000" w:usb1="00000000" w:usb2="00000000" w:usb3="00000000" w:csb0="00000000" w:csb1="00000000"/>
    <w:embedRegular r:id="rId15" w:fontKey="{D6281084-60AD-43AC-A4FE-682D5BA0B9F9}"/>
  </w:font>
  <w:font w:name="DengXian-Bold">
    <w:altName w:val="宋体"/>
    <w:panose1 w:val="00000000000000000000"/>
    <w:charset w:val="86"/>
    <w:family w:val="auto"/>
    <w:pitch w:val="default"/>
    <w:sig w:usb0="00000000" w:usb1="00000000" w:usb2="00000010" w:usb3="00000000" w:csb0="00040000" w:csb1="00000000"/>
    <w:embedRegular r:id="rId16" w:fontKey="{8FA56064-A86B-4AC7-B9AE-38EF8E23F22C}"/>
  </w:font>
  <w:font w:name="TimesNewRomanPSMT">
    <w:altName w:val="Arial"/>
    <w:panose1 w:val="00000000000000000000"/>
    <w:charset w:val="00"/>
    <w:family w:val="swiss"/>
    <w:pitch w:val="default"/>
    <w:sig w:usb0="00000000"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5DB9A87"/>
    <w:multiLevelType w:val="singleLevel"/>
    <w:tmpl w:val="45DB9A87"/>
    <w:lvl w:ilvl="0" w:tentative="0">
      <w:start w:val="3"/>
      <w:numFmt w:val="chineseCounting"/>
      <w:suff w:val="nothing"/>
      <w:lvlText w:val="（%1）"/>
      <w:lvlJc w:val="left"/>
      <w:rPr>
        <w:rFonts w:hint="eastAsia"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noLineBreaksAfter w:lang="zh-CN" w:val="$([{£¥·‘“〈《「『【〔〖〝﹙﹛﹝＄（．［｛￡￥"/>
  <w:noLineBreaksBefore w:lang="zh-CN" w:val="!%),.:;&gt;?]}¢¨°·ˇˉ―‖’”…‰′″›℃∶、。〃〉》」』】〕〗〞︶︺︾﹀﹄﹚﹜﹞！＂％＇），．：；？］｀｜｝～￠"/>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C1413"/>
    <w:rsid w:val="00024E7F"/>
    <w:rsid w:val="000475A0"/>
    <w:rsid w:val="000838C3"/>
    <w:rsid w:val="000B2446"/>
    <w:rsid w:val="000D7C65"/>
    <w:rsid w:val="000E2F81"/>
    <w:rsid w:val="00117946"/>
    <w:rsid w:val="00117E2C"/>
    <w:rsid w:val="00146C47"/>
    <w:rsid w:val="00152FB8"/>
    <w:rsid w:val="00176658"/>
    <w:rsid w:val="0018239E"/>
    <w:rsid w:val="001A29BD"/>
    <w:rsid w:val="001B3410"/>
    <w:rsid w:val="001C030D"/>
    <w:rsid w:val="001C4A84"/>
    <w:rsid w:val="001E5902"/>
    <w:rsid w:val="00233705"/>
    <w:rsid w:val="002455AB"/>
    <w:rsid w:val="00275CA2"/>
    <w:rsid w:val="002A65A5"/>
    <w:rsid w:val="002C04C4"/>
    <w:rsid w:val="002D08B0"/>
    <w:rsid w:val="002D1AE3"/>
    <w:rsid w:val="002F2ECE"/>
    <w:rsid w:val="00341C8F"/>
    <w:rsid w:val="0035463A"/>
    <w:rsid w:val="00391D9D"/>
    <w:rsid w:val="003B6C51"/>
    <w:rsid w:val="003C1413"/>
    <w:rsid w:val="003C549F"/>
    <w:rsid w:val="003D5A16"/>
    <w:rsid w:val="003E7DB3"/>
    <w:rsid w:val="00431175"/>
    <w:rsid w:val="004B6E37"/>
    <w:rsid w:val="004C32BA"/>
    <w:rsid w:val="00575922"/>
    <w:rsid w:val="005A6C90"/>
    <w:rsid w:val="005E3FB0"/>
    <w:rsid w:val="005F4B66"/>
    <w:rsid w:val="005F5208"/>
    <w:rsid w:val="00623803"/>
    <w:rsid w:val="00641318"/>
    <w:rsid w:val="0064405D"/>
    <w:rsid w:val="00695557"/>
    <w:rsid w:val="006D4EA7"/>
    <w:rsid w:val="0070012A"/>
    <w:rsid w:val="0070664B"/>
    <w:rsid w:val="007071B8"/>
    <w:rsid w:val="007414DE"/>
    <w:rsid w:val="007905A9"/>
    <w:rsid w:val="007B0E8E"/>
    <w:rsid w:val="007E5500"/>
    <w:rsid w:val="007F055B"/>
    <w:rsid w:val="00811C2F"/>
    <w:rsid w:val="00833D46"/>
    <w:rsid w:val="00840A97"/>
    <w:rsid w:val="008C0149"/>
    <w:rsid w:val="008D5DED"/>
    <w:rsid w:val="008E25CA"/>
    <w:rsid w:val="008F34FC"/>
    <w:rsid w:val="00922643"/>
    <w:rsid w:val="00944CD7"/>
    <w:rsid w:val="009831B2"/>
    <w:rsid w:val="009A1ABE"/>
    <w:rsid w:val="009E21A4"/>
    <w:rsid w:val="009F22C6"/>
    <w:rsid w:val="00A07E50"/>
    <w:rsid w:val="00A15397"/>
    <w:rsid w:val="00A35CE0"/>
    <w:rsid w:val="00A4462E"/>
    <w:rsid w:val="00A44AA4"/>
    <w:rsid w:val="00A61623"/>
    <w:rsid w:val="00A84687"/>
    <w:rsid w:val="00AB0A0E"/>
    <w:rsid w:val="00AD3B6E"/>
    <w:rsid w:val="00B1751F"/>
    <w:rsid w:val="00B3300C"/>
    <w:rsid w:val="00B56722"/>
    <w:rsid w:val="00B74D39"/>
    <w:rsid w:val="00B91DA4"/>
    <w:rsid w:val="00C12630"/>
    <w:rsid w:val="00C34562"/>
    <w:rsid w:val="00C3774E"/>
    <w:rsid w:val="00C57456"/>
    <w:rsid w:val="00C65387"/>
    <w:rsid w:val="00C87FAB"/>
    <w:rsid w:val="00C91FF7"/>
    <w:rsid w:val="00C94E53"/>
    <w:rsid w:val="00CC46BD"/>
    <w:rsid w:val="00D0048E"/>
    <w:rsid w:val="00D23E7A"/>
    <w:rsid w:val="00D61063"/>
    <w:rsid w:val="00DB35AF"/>
    <w:rsid w:val="00DD72D7"/>
    <w:rsid w:val="00DF5B88"/>
    <w:rsid w:val="00E0589E"/>
    <w:rsid w:val="00E241FA"/>
    <w:rsid w:val="00E2595E"/>
    <w:rsid w:val="00E35374"/>
    <w:rsid w:val="00E50C19"/>
    <w:rsid w:val="00E64655"/>
    <w:rsid w:val="00E73081"/>
    <w:rsid w:val="00E856C9"/>
    <w:rsid w:val="00EB6A8B"/>
    <w:rsid w:val="00EF38C6"/>
    <w:rsid w:val="00F679C7"/>
    <w:rsid w:val="00F7711A"/>
    <w:rsid w:val="00FA0D58"/>
    <w:rsid w:val="00FA56F4"/>
    <w:rsid w:val="00FB4EDA"/>
    <w:rsid w:val="00FC4766"/>
    <w:rsid w:val="00FD3BD5"/>
    <w:rsid w:val="00FE3DC8"/>
    <w:rsid w:val="01226984"/>
    <w:rsid w:val="04073F84"/>
    <w:rsid w:val="0AFF7353"/>
    <w:rsid w:val="0B60750A"/>
    <w:rsid w:val="10686488"/>
    <w:rsid w:val="10DF728A"/>
    <w:rsid w:val="10ED4B86"/>
    <w:rsid w:val="1264200E"/>
    <w:rsid w:val="141C5B77"/>
    <w:rsid w:val="18D8339D"/>
    <w:rsid w:val="1A21388F"/>
    <w:rsid w:val="1A570D2F"/>
    <w:rsid w:val="1DF65542"/>
    <w:rsid w:val="25B55BA3"/>
    <w:rsid w:val="28FB0B8D"/>
    <w:rsid w:val="2A4F4D55"/>
    <w:rsid w:val="2D2B7942"/>
    <w:rsid w:val="2D46481D"/>
    <w:rsid w:val="2E733B28"/>
    <w:rsid w:val="31852B5A"/>
    <w:rsid w:val="32D01238"/>
    <w:rsid w:val="330875EB"/>
    <w:rsid w:val="34CB2075"/>
    <w:rsid w:val="34D278B3"/>
    <w:rsid w:val="3DFC59A8"/>
    <w:rsid w:val="3ECF245E"/>
    <w:rsid w:val="3F6B15D8"/>
    <w:rsid w:val="3FB96314"/>
    <w:rsid w:val="41475BAF"/>
    <w:rsid w:val="4B060549"/>
    <w:rsid w:val="502F74B8"/>
    <w:rsid w:val="518E37F0"/>
    <w:rsid w:val="533D3265"/>
    <w:rsid w:val="53A44FAF"/>
    <w:rsid w:val="57F61F68"/>
    <w:rsid w:val="594329EC"/>
    <w:rsid w:val="5BEE1540"/>
    <w:rsid w:val="5DE61A5D"/>
    <w:rsid w:val="63C04243"/>
    <w:rsid w:val="649C01C7"/>
    <w:rsid w:val="64DD240B"/>
    <w:rsid w:val="699A3F60"/>
    <w:rsid w:val="6A4A3226"/>
    <w:rsid w:val="6F9B55F2"/>
    <w:rsid w:val="72902E62"/>
    <w:rsid w:val="73C61104"/>
    <w:rsid w:val="759D5BE2"/>
    <w:rsid w:val="776452EA"/>
    <w:rsid w:val="7DC663B9"/>
    <w:rsid w:val="7FD21032"/>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qFormat="1" w:unhideWhenUsed="0"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6"/>
    <w:qFormat/>
    <w:uiPriority w:val="99"/>
    <w:pPr>
      <w:keepNext/>
      <w:keepLines/>
      <w:spacing w:before="340" w:after="330" w:line="578" w:lineRule="auto"/>
      <w:outlineLvl w:val="0"/>
    </w:pPr>
    <w:rPr>
      <w:b/>
      <w:bCs/>
      <w:kern w:val="44"/>
      <w:sz w:val="44"/>
      <w:szCs w:val="44"/>
    </w:rPr>
  </w:style>
  <w:style w:type="paragraph" w:styleId="3">
    <w:name w:val="heading 2"/>
    <w:basedOn w:val="1"/>
    <w:next w:val="1"/>
    <w:link w:val="17"/>
    <w:qFormat/>
    <w:uiPriority w:val="99"/>
    <w:pPr>
      <w:keepNext/>
      <w:keepLines/>
      <w:spacing w:before="260" w:after="260" w:line="416" w:lineRule="auto"/>
      <w:outlineLvl w:val="1"/>
    </w:pPr>
    <w:rPr>
      <w:rFonts w:ascii="Calibri" w:hAnsi="Calibri"/>
      <w:b/>
      <w:bCs/>
      <w:sz w:val="32"/>
      <w:szCs w:val="32"/>
    </w:rPr>
  </w:style>
  <w:style w:type="paragraph" w:styleId="4">
    <w:name w:val="heading 3"/>
    <w:basedOn w:val="1"/>
    <w:next w:val="1"/>
    <w:link w:val="18"/>
    <w:qFormat/>
    <w:uiPriority w:val="99"/>
    <w:pPr>
      <w:keepNext/>
      <w:keepLines/>
      <w:spacing w:before="260" w:after="260" w:line="416" w:lineRule="auto"/>
      <w:outlineLvl w:val="2"/>
    </w:pPr>
    <w:rPr>
      <w:b/>
      <w:bCs/>
      <w:sz w:val="32"/>
      <w:szCs w:val="32"/>
    </w:rPr>
  </w:style>
  <w:style w:type="paragraph" w:styleId="5">
    <w:name w:val="heading 4"/>
    <w:basedOn w:val="1"/>
    <w:next w:val="1"/>
    <w:link w:val="19"/>
    <w:qFormat/>
    <w:uiPriority w:val="99"/>
    <w:pPr>
      <w:keepNext/>
      <w:keepLines/>
      <w:spacing w:before="280" w:after="290" w:line="376" w:lineRule="auto"/>
      <w:outlineLvl w:val="3"/>
    </w:pPr>
    <w:rPr>
      <w:rFonts w:ascii="Calibri" w:hAnsi="Calibri"/>
      <w:b/>
      <w:bCs/>
      <w:sz w:val="28"/>
      <w:szCs w:val="28"/>
    </w:rPr>
  </w:style>
  <w:style w:type="character" w:default="1" w:styleId="15">
    <w:name w:val="Default Paragraph Font"/>
    <w:semiHidden/>
    <w:qFormat/>
    <w:uiPriority w:val="99"/>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6">
    <w:name w:val="Plain Text"/>
    <w:basedOn w:val="1"/>
    <w:qFormat/>
    <w:uiPriority w:val="0"/>
    <w:rPr>
      <w:rFonts w:ascii="宋体" w:hAnsi="Courier New" w:cs="Courier New"/>
      <w:szCs w:val="21"/>
    </w:rPr>
  </w:style>
  <w:style w:type="paragraph" w:styleId="7">
    <w:name w:val="Date"/>
    <w:basedOn w:val="1"/>
    <w:next w:val="1"/>
    <w:link w:val="20"/>
    <w:semiHidden/>
    <w:qFormat/>
    <w:uiPriority w:val="99"/>
    <w:pPr>
      <w:ind w:left="100" w:leftChars="2500"/>
    </w:pPr>
  </w:style>
  <w:style w:type="paragraph" w:styleId="8">
    <w:name w:val="Balloon Text"/>
    <w:basedOn w:val="1"/>
    <w:link w:val="21"/>
    <w:semiHidden/>
    <w:qFormat/>
    <w:uiPriority w:val="99"/>
    <w:rPr>
      <w:sz w:val="18"/>
      <w:szCs w:val="18"/>
    </w:rPr>
  </w:style>
  <w:style w:type="paragraph" w:styleId="9">
    <w:name w:val="footer"/>
    <w:basedOn w:val="1"/>
    <w:link w:val="22"/>
    <w:qFormat/>
    <w:uiPriority w:val="99"/>
    <w:pPr>
      <w:tabs>
        <w:tab w:val="center" w:pos="4153"/>
        <w:tab w:val="right" w:pos="8306"/>
      </w:tabs>
      <w:snapToGrid w:val="0"/>
      <w:jc w:val="left"/>
    </w:pPr>
    <w:rPr>
      <w:rFonts w:ascii="Cambria" w:hAnsi="Cambria" w:eastAsia="黑体"/>
      <w:sz w:val="18"/>
      <w:szCs w:val="18"/>
    </w:rPr>
  </w:style>
  <w:style w:type="paragraph" w:styleId="10">
    <w:name w:val="header"/>
    <w:basedOn w:val="1"/>
    <w:link w:val="23"/>
    <w:qFormat/>
    <w:uiPriority w:val="99"/>
    <w:pPr>
      <w:pBdr>
        <w:bottom w:val="single" w:color="auto" w:sz="6" w:space="1"/>
      </w:pBdr>
      <w:tabs>
        <w:tab w:val="center" w:pos="4153"/>
        <w:tab w:val="right" w:pos="8306"/>
      </w:tabs>
      <w:snapToGrid w:val="0"/>
      <w:jc w:val="center"/>
    </w:pPr>
    <w:rPr>
      <w:rFonts w:ascii="Cambria" w:hAnsi="Cambria" w:eastAsia="黑体"/>
      <w:sz w:val="18"/>
      <w:szCs w:val="18"/>
    </w:rPr>
  </w:style>
  <w:style w:type="paragraph" w:styleId="11">
    <w:name w:val="Subtitle"/>
    <w:basedOn w:val="1"/>
    <w:next w:val="1"/>
    <w:link w:val="24"/>
    <w:qFormat/>
    <w:uiPriority w:val="99"/>
    <w:pPr>
      <w:widowControl/>
      <w:spacing w:after="200" w:line="276" w:lineRule="auto"/>
      <w:jc w:val="left"/>
    </w:pPr>
    <w:rPr>
      <w:rFonts w:ascii="Calibri" w:hAnsi="Calibri"/>
      <w:i/>
      <w:iCs/>
      <w:color w:val="F0A22E"/>
      <w:spacing w:val="15"/>
      <w:kern w:val="0"/>
      <w:sz w:val="24"/>
    </w:rPr>
  </w:style>
  <w:style w:type="paragraph" w:styleId="12">
    <w:name w:val="Title"/>
    <w:basedOn w:val="1"/>
    <w:next w:val="1"/>
    <w:link w:val="25"/>
    <w:qFormat/>
    <w:uiPriority w:val="99"/>
    <w:pPr>
      <w:widowControl/>
      <w:pBdr>
        <w:bottom w:val="single" w:color="F0A22E" w:sz="8" w:space="4"/>
      </w:pBdr>
      <w:spacing w:after="300"/>
      <w:contextualSpacing/>
      <w:jc w:val="left"/>
    </w:pPr>
    <w:rPr>
      <w:rFonts w:ascii="Calibri" w:hAnsi="Calibri"/>
      <w:color w:val="3A2C24"/>
      <w:spacing w:val="5"/>
      <w:kern w:val="28"/>
      <w:sz w:val="52"/>
      <w:szCs w:val="52"/>
    </w:rPr>
  </w:style>
  <w:style w:type="table" w:styleId="14">
    <w:name w:val="Table Grid"/>
    <w:basedOn w:val="13"/>
    <w:qFormat/>
    <w:uiPriority w:val="99"/>
    <w:rPr>
      <w:kern w:val="0"/>
      <w:sz w:val="22"/>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16">
    <w:name w:val="Heading 1 Char"/>
    <w:basedOn w:val="15"/>
    <w:link w:val="2"/>
    <w:qFormat/>
    <w:locked/>
    <w:uiPriority w:val="99"/>
    <w:rPr>
      <w:rFonts w:ascii="Times New Roman" w:hAnsi="Times New Roman" w:eastAsia="宋体" w:cs="Times New Roman"/>
      <w:b/>
      <w:bCs/>
      <w:kern w:val="44"/>
      <w:sz w:val="44"/>
      <w:szCs w:val="44"/>
    </w:rPr>
  </w:style>
  <w:style w:type="character" w:customStyle="1" w:styleId="17">
    <w:name w:val="Heading 2 Char"/>
    <w:basedOn w:val="15"/>
    <w:link w:val="3"/>
    <w:qFormat/>
    <w:locked/>
    <w:uiPriority w:val="99"/>
    <w:rPr>
      <w:rFonts w:ascii="Calibri" w:hAnsi="Calibri" w:eastAsia="宋体" w:cs="Times New Roman"/>
      <w:b/>
      <w:bCs/>
      <w:sz w:val="32"/>
      <w:szCs w:val="32"/>
    </w:rPr>
  </w:style>
  <w:style w:type="character" w:customStyle="1" w:styleId="18">
    <w:name w:val="Heading 3 Char"/>
    <w:basedOn w:val="15"/>
    <w:link w:val="4"/>
    <w:qFormat/>
    <w:locked/>
    <w:uiPriority w:val="99"/>
    <w:rPr>
      <w:rFonts w:ascii="Times New Roman" w:hAnsi="Times New Roman" w:eastAsia="宋体" w:cs="Times New Roman"/>
      <w:b/>
      <w:bCs/>
      <w:sz w:val="32"/>
      <w:szCs w:val="32"/>
    </w:rPr>
  </w:style>
  <w:style w:type="character" w:customStyle="1" w:styleId="19">
    <w:name w:val="Heading 4 Char"/>
    <w:basedOn w:val="15"/>
    <w:link w:val="5"/>
    <w:qFormat/>
    <w:locked/>
    <w:uiPriority w:val="99"/>
    <w:rPr>
      <w:rFonts w:ascii="Calibri" w:hAnsi="Calibri" w:eastAsia="宋体" w:cs="Times New Roman"/>
      <w:b/>
      <w:bCs/>
      <w:sz w:val="28"/>
      <w:szCs w:val="28"/>
    </w:rPr>
  </w:style>
  <w:style w:type="character" w:customStyle="1" w:styleId="20">
    <w:name w:val="Date Char"/>
    <w:basedOn w:val="15"/>
    <w:link w:val="7"/>
    <w:semiHidden/>
    <w:qFormat/>
    <w:locked/>
    <w:uiPriority w:val="99"/>
    <w:rPr>
      <w:rFonts w:ascii="Times New Roman" w:hAnsi="Times New Roman" w:eastAsia="宋体" w:cs="Times New Roman"/>
      <w:sz w:val="24"/>
      <w:szCs w:val="24"/>
    </w:rPr>
  </w:style>
  <w:style w:type="character" w:customStyle="1" w:styleId="21">
    <w:name w:val="Balloon Text Char"/>
    <w:basedOn w:val="15"/>
    <w:link w:val="8"/>
    <w:semiHidden/>
    <w:qFormat/>
    <w:locked/>
    <w:uiPriority w:val="99"/>
    <w:rPr>
      <w:rFonts w:ascii="Times New Roman" w:hAnsi="Times New Roman" w:eastAsia="宋体" w:cs="Times New Roman"/>
      <w:sz w:val="18"/>
      <w:szCs w:val="18"/>
    </w:rPr>
  </w:style>
  <w:style w:type="character" w:customStyle="1" w:styleId="22">
    <w:name w:val="Footer Char"/>
    <w:basedOn w:val="15"/>
    <w:link w:val="9"/>
    <w:qFormat/>
    <w:locked/>
    <w:uiPriority w:val="99"/>
    <w:rPr>
      <w:rFonts w:cs="Times New Roman"/>
      <w:sz w:val="18"/>
      <w:szCs w:val="18"/>
    </w:rPr>
  </w:style>
  <w:style w:type="character" w:customStyle="1" w:styleId="23">
    <w:name w:val="Header Char"/>
    <w:basedOn w:val="15"/>
    <w:link w:val="10"/>
    <w:qFormat/>
    <w:locked/>
    <w:uiPriority w:val="99"/>
    <w:rPr>
      <w:rFonts w:cs="Times New Roman"/>
      <w:sz w:val="18"/>
      <w:szCs w:val="18"/>
    </w:rPr>
  </w:style>
  <w:style w:type="character" w:customStyle="1" w:styleId="24">
    <w:name w:val="Subtitle Char"/>
    <w:basedOn w:val="15"/>
    <w:link w:val="11"/>
    <w:qFormat/>
    <w:locked/>
    <w:uiPriority w:val="99"/>
    <w:rPr>
      <w:rFonts w:ascii="Calibri" w:hAnsi="Calibri" w:eastAsia="宋体" w:cs="Times New Roman"/>
      <w:i/>
      <w:iCs/>
      <w:color w:val="F0A22E"/>
      <w:spacing w:val="15"/>
      <w:kern w:val="0"/>
      <w:sz w:val="24"/>
      <w:szCs w:val="24"/>
    </w:rPr>
  </w:style>
  <w:style w:type="character" w:customStyle="1" w:styleId="25">
    <w:name w:val="Title Char"/>
    <w:basedOn w:val="15"/>
    <w:link w:val="12"/>
    <w:qFormat/>
    <w:locked/>
    <w:uiPriority w:val="99"/>
    <w:rPr>
      <w:rFonts w:ascii="Calibri" w:hAnsi="Calibri" w:eastAsia="宋体" w:cs="Times New Roman"/>
      <w:color w:val="3A2C24"/>
      <w:spacing w:val="5"/>
      <w:kern w:val="28"/>
      <w:sz w:val="52"/>
      <w:szCs w:val="52"/>
    </w:rPr>
  </w:style>
  <w:style w:type="paragraph" w:styleId="26">
    <w:name w:val="No Spacing"/>
    <w:link w:val="27"/>
    <w:qFormat/>
    <w:uiPriority w:val="99"/>
    <w:pPr>
      <w:spacing w:after="160" w:line="480" w:lineRule="auto"/>
    </w:pPr>
    <w:rPr>
      <w:rFonts w:ascii="Cambria" w:hAnsi="Cambria" w:eastAsia="黑体" w:cs="Times New Roman"/>
      <w:kern w:val="0"/>
      <w:sz w:val="22"/>
      <w:szCs w:val="22"/>
      <w:lang w:val="en-US" w:eastAsia="zh-CN" w:bidi="ar-SA"/>
    </w:rPr>
  </w:style>
  <w:style w:type="character" w:customStyle="1" w:styleId="27">
    <w:name w:val="No Spacing Char"/>
    <w:basedOn w:val="15"/>
    <w:link w:val="26"/>
    <w:qFormat/>
    <w:locked/>
    <w:uiPriority w:val="99"/>
    <w:rPr>
      <w:rFonts w:cs="Times New Roman"/>
      <w:sz w:val="22"/>
      <w:szCs w:val="22"/>
      <w:lang w:val="en-US" w:eastAsia="zh-CN" w:bidi="ar-SA"/>
    </w:rPr>
  </w:style>
  <w:style w:type="character" w:customStyle="1" w:styleId="28">
    <w:name w:val="Style1"/>
    <w:basedOn w:val="15"/>
    <w:qFormat/>
    <w:uiPriority w:val="99"/>
    <w:rPr>
      <w:rFonts w:ascii="Cambria" w:hAnsi="黑体" w:eastAsia="黑体" w:cs="Times New Roman"/>
      <w:sz w:val="22"/>
      <w:szCs w:val="22"/>
      <w:lang w:eastAsia="zh-CN"/>
    </w:rPr>
  </w:style>
  <w:style w:type="character" w:customStyle="1" w:styleId="29">
    <w:name w:val="Style2"/>
    <w:basedOn w:val="15"/>
    <w:qFormat/>
    <w:uiPriority w:val="99"/>
    <w:rPr>
      <w:rFonts w:ascii="Cambria" w:hAnsi="黑体" w:eastAsia="黑体" w:cs="Times New Roman"/>
      <w:sz w:val="22"/>
      <w:szCs w:val="22"/>
      <w:lang w:eastAsia="zh-CN"/>
    </w:rPr>
  </w:style>
  <w:style w:type="character" w:customStyle="1" w:styleId="30">
    <w:name w:val="Style3"/>
    <w:basedOn w:val="15"/>
    <w:qFormat/>
    <w:uiPriority w:val="99"/>
    <w:rPr>
      <w:rFonts w:ascii="Cambria" w:hAnsi="黑体" w:eastAsia="黑体" w:cs="Times New Roman"/>
      <w:sz w:val="22"/>
      <w:szCs w:val="22"/>
      <w:lang w:eastAsia="zh-CN"/>
    </w:rPr>
  </w:style>
  <w:style w:type="character" w:customStyle="1" w:styleId="31">
    <w:name w:val="Style4"/>
    <w:basedOn w:val="15"/>
    <w:qFormat/>
    <w:uiPriority w:val="99"/>
    <w:rPr>
      <w:rFonts w:ascii="Cambria" w:hAnsi="黑体" w:eastAsia="黑体" w:cs="Times New Roman"/>
      <w:sz w:val="22"/>
      <w:szCs w:val="22"/>
      <w:lang w:eastAsia="zh-CN"/>
    </w:rPr>
  </w:style>
  <w:style w:type="character" w:customStyle="1" w:styleId="32">
    <w:name w:val="Style5"/>
    <w:basedOn w:val="15"/>
    <w:qFormat/>
    <w:uiPriority w:val="99"/>
    <w:rPr>
      <w:rFonts w:ascii="Cambria" w:hAnsi="黑体" w:eastAsia="黑体" w:cs="Times New Roman"/>
      <w:sz w:val="22"/>
      <w:szCs w:val="22"/>
      <w:lang w:eastAsia="zh-CN"/>
    </w:rPr>
  </w:style>
  <w:style w:type="paragraph" w:styleId="33">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27"/>
    <customShpInfo spid="_x0000_s1029"/>
    <customShpInfo spid="_x0000_s1030"/>
    <customShpInfo spid="_x0000_s1028"/>
    <customShpInfo spid="_x0000_s1032"/>
    <customShpInfo spid="_x0000_s1033"/>
    <customShpInfo spid="_x0000_s1031"/>
    <customShpInfo spid="_x0000_s1034"/>
    <customShpInfo spid="_x0000_s1035"/>
    <customShpInfo spid="_x0000_s1037"/>
    <customShpInfo spid="_x0000_s1038"/>
    <customShpInfo spid="_x0000_s1036"/>
    <customShpInfo spid="_x0000_s1039"/>
    <customShpInfo spid="_x0000_s1040"/>
    <customShpInfo spid="_x0000_s1042"/>
    <customShpInfo spid="_x0000_s1043"/>
    <customShpInfo spid="_x0000_s1041"/>
    <customShpInfo spid="_x0000_s1045"/>
    <customShpInfo spid="_x0000_s1046"/>
    <customShpInfo spid="_x0000_s1044"/>
    <customShpInfo spid="_x0000_s1048"/>
    <customShpInfo spid="_x0000_s1049"/>
    <customShpInfo spid="_x0000_s1047"/>
    <customShpInfo spid="_x0000_s1051"/>
    <customShpInfo spid="_x0000_s1052"/>
    <customShpInfo spid="_x0000_s1050"/>
    <customShpInfo spid="_x0000_s1054"/>
    <customShpInfo spid="_x0000_s1055"/>
    <customShpInfo spid="_x0000_s1053"/>
    <customShpInfo spid="_x0000_s1057"/>
    <customShpInfo spid="_x0000_s1058"/>
    <customShpInfo spid="_x0000_s1056"/>
    <customShpInfo spid="_x0000_s1060"/>
    <customShpInfo spid="_x0000_s1061"/>
    <customShpInfo spid="_x0000_s1059"/>
    <customShpInfo spid="_x0000_s1063"/>
    <customShpInfo spid="_x0000_s1064"/>
    <customShpInfo spid="_x0000_s1062"/>
    <customShpInfo spid="_x0000_s1066"/>
    <customShpInfo spid="_x0000_s1067"/>
    <customShpInfo spid="_x0000_s1065"/>
    <customShpInfo spid="_x0000_s1069"/>
    <customShpInfo spid="_x0000_s1070"/>
    <customShpInfo spid="_x0000_s1068"/>
    <customShpInfo spid="_x0000_s1071"/>
    <customShpInfo spid="_x0000_s1072"/>
    <customShpInfo spid="_x0000_s1074"/>
    <customShpInfo spid="_x0000_s1075"/>
    <customShpInfo spid="_x0000_s1073"/>
    <customShpInfo spid="_x0000_s1083"/>
    <customShpInfo spid="_x0000_s1084"/>
    <customShpInfo spid="_x0000_s1082"/>
    <customShpInfo spid="_x0000_s1133"/>
    <customShpInfo spid="_x0000_s1135"/>
    <customShpInfo spid="_x0000_s1130"/>
    <customShpInfo spid="_x0000_s1101"/>
    <customShpInfo spid="_x0000_s1102"/>
    <customShpInfo spid="_x0000_s1100"/>
    <customShpInfo spid="_x0000_s1107"/>
    <customShpInfo spid="_x0000_s1108"/>
    <customShpInfo spid="_x0000_s1106"/>
    <customShpInfo spid="_x0000_s1110"/>
    <customShpInfo spid="_x0000_s1111"/>
    <customShpInfo spid="_x0000_s1109"/>
    <customShpInfo spid="_x0000_s1116"/>
    <customShpInfo spid="_x0000_s1117"/>
    <customShpInfo spid="_x0000_s1115"/>
    <customShpInfo spid="_x0000_s1118"/>
    <customShpInfo spid="_x0000_s1119"/>
    <customShpInfo spid="_x0000_s1121"/>
    <customShpInfo spid="_x0000_s1122"/>
    <customShpInfo spid="_x0000_s1120"/>
    <customShpInfo spid="_x0000_s1124"/>
    <customShpInfo spid="_x0000_s1125"/>
    <customShpInfo spid="_x0000_s1123"/>
    <customShpInfo spid="_x0000_s1127"/>
    <customShpInfo spid="_x0000_s1128"/>
    <customShpInfo spid="_x0000_s1126"/>
    <customShpInfo spid="_x0000_s112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Company>Microsoft</Company>
  <Pages>33</Pages>
  <Words>1623</Words>
  <Characters>9257</Characters>
  <Lines>0</Lines>
  <Paragraphs>0</Paragraphs>
  <TotalTime>3</TotalTime>
  <ScaleCrop>false</ScaleCrop>
  <LinksUpToDate>false</LinksUpToDate>
  <CharactersWithSpaces>0</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2019-08-01T09:15:00Z</dcterms:created>
  <dc:creator>User</dc:creator>
  <cp:lastModifiedBy>adizuo</cp:lastModifiedBy>
  <cp:lastPrinted>2019-08-02T01:01:00Z</cp:lastPrinted>
  <dcterms:modified xsi:type="dcterms:W3CDTF">2022-03-12T00:58:25Z</dcterms:modified>
  <dc:subject>石家庄市xxx部门</dc:subject>
  <dc:title>2017年度部门决算</dc:title>
  <cp:revision>54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46EFDA2B45424ABCB00BDB4878AA44C0</vt:lpwstr>
  </property>
</Properties>
</file>