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pict>
          <v:shape id="图片 7" o:spid="_x0000_s1026" o:spt="75" alt="wc ga" type="#_x0000_t75" style="position:absolute;left:0pt;margin-left:-78.75pt;margin-top:-106.7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2.55pt;height:166.95pt;width:617.1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pacing w:val="-30"/>
                      <w:sz w:val="96"/>
                      <w:szCs w:val="96"/>
                    </w:rPr>
                  </w:pPr>
                  <w:r>
                    <w:rPr>
                      <w:rFonts w:hint="eastAsia" w:ascii="黑体" w:hAnsi="宋体" w:eastAsia="黑体"/>
                      <w:color w:val="FDEFBE"/>
                      <w:spacing w:val="-30"/>
                      <w:sz w:val="96"/>
                      <w:szCs w:val="96"/>
                    </w:rPr>
                    <w:t>保定市满城区要庄乡人民政府</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满城区要</w:t>
      </w:r>
      <w:r>
        <w:rPr>
          <w:rFonts w:hint="eastAsia" w:ascii="宋体" w:hAnsi="宋体" w:cs="宋体"/>
          <w:sz w:val="32"/>
          <w:szCs w:val="32"/>
        </w:rPr>
        <w:t>庄</w:t>
      </w:r>
      <w:r>
        <w:rPr>
          <w:rFonts w:hint="eastAsia" w:ascii="仿宋_GB2312" w:hAnsi="仿宋" w:eastAsia="仿宋_GB2312" w:cs="仿宋_GB2312"/>
          <w:sz w:val="32"/>
          <w:szCs w:val="32"/>
        </w:rPr>
        <w:t>乡人民政府由行政编制和事业编制组成。满城区要</w:t>
      </w:r>
      <w:r>
        <w:rPr>
          <w:rFonts w:hint="eastAsia" w:ascii="宋体" w:hAnsi="宋体" w:cs="宋体"/>
          <w:sz w:val="32"/>
          <w:szCs w:val="32"/>
        </w:rPr>
        <w:t>庄</w:t>
      </w:r>
      <w:r>
        <w:rPr>
          <w:rFonts w:hint="eastAsia" w:ascii="仿宋_GB2312" w:hAnsi="仿宋" w:eastAsia="仿宋_GB2312" w:cs="仿宋_GB2312"/>
          <w:sz w:val="32"/>
          <w:szCs w:val="32"/>
        </w:rPr>
        <w:t>乡人民政府内设人大监督、人大代表活动、司法工作、计划生育、统计工作、财政工作民政事务管理、信访活动、安保工作等各部门。主要职责是：</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1.人大监督，围绕政府工作报告监督组织实施。</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2.人大代表活动，对法律实施情况进行检查，开展代表建议督办活动。</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3.会议召开，人大会议，换届选举会议。保证会议顺利召开，完成会议议程。</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4.办案问责，受理信访、举报等案件，组织协调案件的查办，调查、审查违纪违法案件，对案件审理提出处理意见</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5.党风廉政建设及监督检查，加强党风廉政建设，营造风清气正、干事创业的工作氛围，加大问责力度，促进“两个责任”有效落实。</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6.司法工作，开展公民普法教育，调节群众矛盾纠纷，提高群众的法律意识。</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7.计划生育，提供各类计划生育技术服务，建立利益导向机制，开展出生人口性别比的治理及流动人口计划生育管理等各项工作。提高妇女生殖健康水平，降低出生缺陷的发生。</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8.统计工作，组织人口、农业等部门专项统计调查检测。发布普查的主要数据公报，完成普查工作。</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9.财政工作加强财务会计管理工作，依法按照财经制度管理会计事务，做到量入微出。维护财经制度，办理好各项财经事项。</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10.民政事务管理，做好对五保户、低保户、贫困户、大病医疗救助、防灾、减灾、救灾工作。做好对五保户、低保户贫困户、大病医疗救助、防灾、减灾、救灾款项的及时发放。</w:t>
      </w:r>
    </w:p>
    <w:p>
      <w:pPr>
        <w:widowControl/>
        <w:spacing w:line="5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11.信访活动安保工作接待和处理人民群众反映的情况和问题。确保乡治安防控工作到位，社会稳定、政治稳定、治安秩序良好。</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widowControl/>
              <w:rPr>
                <w:rFonts w:ascii="仿宋_GB2312" w:hAnsi="Cambria" w:eastAsia="仿宋_GB2312" w:cs="ArialUnicodeMS"/>
                <w:kern w:val="0"/>
                <w:sz w:val="28"/>
                <w:szCs w:val="28"/>
              </w:rPr>
            </w:pPr>
            <w:r>
              <w:rPr>
                <w:rFonts w:hint="eastAsia" w:ascii="仿宋_GB2312" w:hAnsi="仿宋_GB2312" w:eastAsia="仿宋_GB2312" w:cs="仿宋_GB2312"/>
                <w:b/>
                <w:color w:val="000000"/>
                <w:sz w:val="28"/>
                <w:szCs w:val="28"/>
              </w:rPr>
              <w:t>保定市满城区要庄乡人民政府</w:t>
            </w:r>
          </w:p>
        </w:tc>
        <w:tc>
          <w:tcPr>
            <w:tcW w:w="2445" w:type="dxa"/>
          </w:tcPr>
          <w:p>
            <w:pPr>
              <w:spacing w:line="560" w:lineRule="exact"/>
              <w:jc w:val="center"/>
              <w:rPr>
                <w:rFonts w:ascii="仿宋_GB2312" w:hAnsi="Cambria" w:eastAsia="仿宋_GB2312" w:cs="ArialUnicodeMS"/>
                <w:kern w:val="0"/>
                <w:sz w:val="28"/>
                <w:szCs w:val="28"/>
              </w:rPr>
            </w:pPr>
            <w:r>
              <w:rPr>
                <w:rFonts w:hint="eastAsia" w:ascii="仿宋_GB2312" w:hAnsi="仿宋_GB2312" w:eastAsia="仿宋_GB2312" w:cs="仿宋_GB2312"/>
                <w:b/>
                <w:color w:val="000000"/>
                <w:sz w:val="32"/>
              </w:rPr>
              <w:t>行政单位</w:t>
            </w:r>
          </w:p>
        </w:tc>
        <w:tc>
          <w:tcPr>
            <w:tcW w:w="2665" w:type="dxa"/>
          </w:tcPr>
          <w:p>
            <w:pPr>
              <w:spacing w:line="560" w:lineRule="exact"/>
              <w:jc w:val="center"/>
              <w:rPr>
                <w:rFonts w:ascii="仿宋_GB2312" w:hAnsi="Cambria" w:eastAsia="仿宋_GB2312" w:cs="ArialUnicodeMS"/>
                <w:kern w:val="0"/>
                <w:sz w:val="28"/>
                <w:szCs w:val="28"/>
              </w:rPr>
            </w:pPr>
            <w:r>
              <w:rPr>
                <w:rFonts w:hint="eastAsia" w:ascii="仿宋_GB2312" w:hAnsi="仿宋_GB2312" w:eastAsia="仿宋_GB2312" w:cs="仿宋_GB2312"/>
                <w:b/>
                <w:color w:val="000000"/>
                <w:sz w:val="32"/>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5,965.23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122.40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0"/>
                <w:szCs w:val="20"/>
              </w:rPr>
            </w:pPr>
            <w:r>
              <w:rPr>
                <w:rFonts w:hint="eastAsia" w:ascii="宋体" w:hAnsi="宋体" w:cs="Arial"/>
                <w:color w:val="000000"/>
                <w:kern w:val="0"/>
                <w:sz w:val="20"/>
                <w:szCs w:val="20"/>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5,965.23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5,965.23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5,965.23</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5,965.23</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style="mso-next-textbox:#矩形 14;">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b/>
                <w:color w:val="000000"/>
                <w:sz w:val="18"/>
                <w:szCs w:val="18"/>
              </w:rPr>
            </w:pPr>
            <w:r>
              <w:rPr>
                <w:rFonts w:hint="eastAsia" w:ascii="Arial" w:hAnsi="Arial" w:cs="Arial"/>
                <w:color w:val="000000"/>
                <w:kern w:val="0"/>
                <w:sz w:val="20"/>
                <w:szCs w:val="20"/>
              </w:rPr>
              <w:t>5965.23</w:t>
            </w:r>
            <w:r>
              <w:rPr>
                <w:rFonts w:ascii="Arial" w:hAnsi="Arial" w:cs="Arial"/>
                <w:color w:val="000000"/>
                <w:kern w:val="0"/>
                <w:sz w:val="20"/>
                <w:szCs w:val="20"/>
              </w:rPr>
              <w:t xml:space="preserve"> </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b/>
                <w:color w:val="000000"/>
                <w:sz w:val="18"/>
                <w:szCs w:val="18"/>
              </w:rPr>
            </w:pPr>
            <w:r>
              <w:rPr>
                <w:rFonts w:hint="eastAsia" w:ascii="Arial" w:hAnsi="Arial" w:cs="Arial"/>
                <w:color w:val="000000"/>
                <w:kern w:val="0"/>
                <w:sz w:val="20"/>
                <w:szCs w:val="20"/>
              </w:rPr>
              <w:t>5965.23</w:t>
            </w:r>
            <w:r>
              <w:rPr>
                <w:rFonts w:ascii="Arial" w:hAnsi="Arial" w:cs="Arial"/>
                <w:color w:val="000000"/>
                <w:kern w:val="0"/>
                <w:sz w:val="20"/>
                <w:szCs w:val="20"/>
              </w:rPr>
              <w:t xml:space="preserve">8 </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一般公共服务支出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政府办公厅（室）及相关机构事务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303.04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303.04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一般行政管理事务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279.20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279.20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信访事务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10.54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10.54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2010350</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事业运行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333.21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333.21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教育支出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普通教育</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2050203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初中教育</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教育费附加安排的支出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2050902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农村中小学教学设施</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社会保障和就业支出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行政事业单位离退休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2080501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归口管理的行政单位离退休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7.91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7.91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2080502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事业单位离退休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8.84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8.84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节能环保支出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122.40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122.40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污染防治</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2110301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大气</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自然生态保护</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2110402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农村环境保护</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城乡社区支出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国有土地使用权出让收入及对应专项债务收入安排的支出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2120801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征地和拆迁补偿支出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21214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污水处理费及对应专项债务收入安排的支出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2121499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其他污水处理费安排的支出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农林水支出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21307</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农村综合改革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2130701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对村级一事一议的补助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0.40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0.40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2130705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对村民委员会和村党支部的补助</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221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住房保障支出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22102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住房改革支出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2210201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住房公积金</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jc w:val="left"/>
              <w:rPr>
                <w:rFonts w:ascii="宋体" w:hAnsi="宋体" w:cs="Arial"/>
                <w:color w:val="000000"/>
                <w:kern w:val="0"/>
                <w:sz w:val="22"/>
                <w:szCs w:val="22"/>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jc w:val="left"/>
              <w:rPr>
                <w:rFonts w:ascii="宋体" w:hAnsi="宋体" w:cs="Arial"/>
                <w:color w:val="000000"/>
                <w:kern w:val="0"/>
                <w:sz w:val="22"/>
                <w:szCs w:val="22"/>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jc w:val="left"/>
              <w:rPr>
                <w:rFonts w:ascii="宋体" w:hAnsi="宋体" w:cs="Arial"/>
                <w:color w:val="000000"/>
                <w:kern w:val="0"/>
                <w:sz w:val="22"/>
                <w:szCs w:val="22"/>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jc w:val="left"/>
              <w:rPr>
                <w:rFonts w:ascii="宋体" w:hAnsi="宋体" w:cs="Arial"/>
                <w:color w:val="000000"/>
                <w:kern w:val="0"/>
                <w:sz w:val="22"/>
                <w:szCs w:val="22"/>
              </w:rPr>
            </w:pP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b/>
                <w:color w:val="000000"/>
                <w:szCs w:val="21"/>
              </w:rPr>
            </w:pPr>
            <w:r>
              <w:rPr>
                <w:rFonts w:hint="eastAsia" w:ascii="Arial" w:hAnsi="Arial" w:cs="Arial"/>
                <w:color w:val="000000"/>
                <w:kern w:val="0"/>
                <w:sz w:val="20"/>
                <w:szCs w:val="20"/>
              </w:rPr>
              <w:t>5965.23</w:t>
            </w:r>
            <w:r>
              <w:rPr>
                <w:rFonts w:ascii="Arial" w:hAnsi="Arial" w:cs="Arial"/>
                <w:color w:val="000000"/>
                <w:kern w:val="0"/>
                <w:sz w:val="20"/>
                <w:szCs w:val="20"/>
              </w:rPr>
              <w:t xml:space="preserve"> </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b/>
                <w:color w:val="000000"/>
                <w:szCs w:val="21"/>
              </w:rPr>
            </w:pPr>
            <w:r>
              <w:rPr>
                <w:rFonts w:hint="eastAsia" w:ascii="Arial" w:hAnsi="Arial" w:cs="Arial"/>
                <w:color w:val="000000"/>
                <w:kern w:val="0"/>
                <w:sz w:val="20"/>
                <w:szCs w:val="20"/>
              </w:rPr>
              <w:t>1214.47</w:t>
            </w:r>
            <w:r>
              <w:rPr>
                <w:rFonts w:ascii="Arial" w:hAnsi="Arial" w:cs="Arial"/>
                <w:color w:val="000000"/>
                <w:kern w:val="0"/>
                <w:sz w:val="20"/>
                <w:szCs w:val="20"/>
              </w:rPr>
              <w:t xml:space="preserve"> </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b/>
                <w:color w:val="000000"/>
                <w:szCs w:val="21"/>
              </w:rPr>
            </w:pPr>
            <w:r>
              <w:rPr>
                <w:rFonts w:hint="eastAsia" w:ascii="宋体" w:cs="宋体"/>
                <w:b/>
                <w:color w:val="000000"/>
                <w:szCs w:val="21"/>
              </w:rPr>
              <w:t>4750.76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一般公共服务支出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政府办公厅（室）及相关机构事务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303.04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303.04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一般行政管理事务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279.20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279.20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信访事务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10.54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10.54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2010350</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事业运行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333.21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333.21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教育支出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普通教育</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2050203</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初中教育</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20509</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教育费附加安排的支出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2050902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农村中小学教学设施</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社会保障和就业支出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行政事业单位离退休</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2080501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归口管理的行政单位离退休</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7.91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7.91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2080502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事业单位离退休</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8.84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8.84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节能环保支出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122.40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122.40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21103</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污染防治</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2110301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大气</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自然生态保护</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2110402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农村环境保护</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城乡社区支出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国有土地使用权出让收入及对应专项债务收入安排的支出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2120801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征地和拆迁补偿支出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21214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污水处理费及对应专项债务收入安排的支出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2121499</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其他污水处理费安排的支出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农林水支出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宋体" w:cs="宋体"/>
                <w:color w:val="000000"/>
                <w:szCs w:val="21"/>
              </w:rPr>
              <w:t>0.4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21307</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农村综合改革</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宋体" w:cs="宋体"/>
                <w:color w:val="000000"/>
                <w:szCs w:val="21"/>
              </w:rPr>
              <w:t>0.4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2130701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对村级一事一议的补助</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0.40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宋体" w:hAnsi="宋体" w:cs="Arial"/>
                <w:color w:val="000000"/>
                <w:kern w:val="0"/>
                <w:sz w:val="22"/>
                <w:szCs w:val="22"/>
              </w:rPr>
              <w:t>0.40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2130705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对村民委员会和村党支部的补助</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221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住房保障支出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22102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住房改革支出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2210201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住房公积金</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1,214.87</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122.40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122.40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5,965.23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5,965.23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1,214.87</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5,965.23</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5,965.23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1,214.87</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b/>
                <w:color w:val="000000"/>
                <w:szCs w:val="21"/>
              </w:rPr>
            </w:pPr>
            <w:r>
              <w:rPr>
                <w:rFonts w:hint="eastAsia" w:ascii="Arial" w:hAnsi="Arial" w:cs="Arial"/>
                <w:color w:val="000000"/>
                <w:kern w:val="0"/>
                <w:sz w:val="20"/>
                <w:szCs w:val="20"/>
              </w:rPr>
              <w:t>1214.87</w:t>
            </w:r>
            <w:r>
              <w:rPr>
                <w:rFonts w:ascii="Arial" w:hAnsi="Arial" w:cs="Arial"/>
                <w:color w:val="000000"/>
                <w:kern w:val="0"/>
                <w:sz w:val="20"/>
                <w:szCs w:val="20"/>
              </w:rPr>
              <w:t xml:space="preserve"> </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b/>
                <w:color w:val="000000"/>
                <w:szCs w:val="21"/>
              </w:rPr>
            </w:pPr>
            <w:r>
              <w:rPr>
                <w:rFonts w:hint="eastAsia" w:ascii="Arial" w:hAnsi="Arial" w:cs="Arial"/>
                <w:color w:val="000000"/>
                <w:kern w:val="0"/>
                <w:sz w:val="20"/>
                <w:szCs w:val="20"/>
              </w:rPr>
              <w:t>1214.47</w:t>
            </w:r>
            <w:r>
              <w:rPr>
                <w:rFonts w:ascii="Arial" w:hAnsi="Arial" w:cs="Arial"/>
                <w:color w:val="000000"/>
                <w:kern w:val="0"/>
                <w:sz w:val="20"/>
                <w:szCs w:val="20"/>
              </w:rPr>
              <w:t xml:space="preserve"> </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b/>
                <w:color w:val="000000"/>
                <w:szCs w:val="21"/>
              </w:rPr>
            </w:pPr>
            <w:r>
              <w:rPr>
                <w:rFonts w:hint="eastAsia" w:ascii="Arial" w:hAnsi="Arial" w:cs="Arial"/>
                <w:color w:val="000000"/>
                <w:kern w:val="0"/>
                <w:sz w:val="20"/>
                <w:szCs w:val="20"/>
              </w:rPr>
              <w:t>0.</w:t>
            </w:r>
            <w:r>
              <w:rPr>
                <w:rFonts w:ascii="Arial" w:hAnsi="Arial" w:cs="Arial"/>
                <w:color w:val="000000"/>
                <w:kern w:val="0"/>
                <w:sz w:val="20"/>
                <w:szCs w:val="20"/>
              </w:rPr>
              <w:t>4</w:t>
            </w:r>
            <w:r>
              <w:rPr>
                <w:rFonts w:hint="eastAsia" w:ascii="Arial" w:hAnsi="Arial" w:cs="Arial"/>
                <w:color w:val="000000"/>
                <w:kern w:val="0"/>
                <w:sz w:val="20"/>
                <w:szCs w:val="20"/>
                <w:lang w:val="en-US" w:eastAsia="zh-CN"/>
              </w:rPr>
              <w:t>0</w:t>
            </w:r>
            <w:r>
              <w:rPr>
                <w:rFonts w:ascii="Arial" w:hAnsi="Arial" w:cs="Arial"/>
                <w:color w:val="000000"/>
                <w:kern w:val="0"/>
                <w:sz w:val="20"/>
                <w:szCs w:val="20"/>
              </w:rPr>
              <w:t xml:space="preserve"> </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政府办公厅（室）及相关机构事务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925.99</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303.04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303.04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279.20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279.20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信访事务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10.54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10.54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2010350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事业运行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333.21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333.21</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教育支出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普通教育</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2050203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初中教育</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教育费附加安排的支出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2050902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农村中小学教学设施</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5.00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行政事业单位离退休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归口管理的行政单位离退休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7.91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7.91</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2080502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8.84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8.84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节能环保支出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122.40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122.40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污染防治</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大气</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12.00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自然生态保护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2110402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农村环境保护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110.40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宋体" w:cs="宋体"/>
                <w:color w:val="000000"/>
                <w:szCs w:val="21"/>
              </w:rPr>
              <w:t>0.40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农村综合改革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133.94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宋体" w:cs="宋体"/>
                <w:color w:val="000000"/>
                <w:szCs w:val="21"/>
              </w:rPr>
              <w:t>0.40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2130701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对村级一事一议的补助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0.40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宋体" w:hAnsi="宋体" w:cs="Arial"/>
                <w:color w:val="000000"/>
                <w:kern w:val="0"/>
                <w:sz w:val="22"/>
                <w:szCs w:val="22"/>
              </w:rPr>
              <w:t>0.40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2130705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对村民委员会和村党支部的补助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133.54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住房保障支出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22102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住房改革支出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2210201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住房公积金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974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575.49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64.32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246.08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14.40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92.22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53.50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26.26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56.15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5.86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9.95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2.12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22.74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1.58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9.35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15.51</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57.66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574.65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16.75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0.64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10.78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523.84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5.98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23.28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9.81</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16"/>
                <w:szCs w:val="16"/>
              </w:rPr>
            </w:pPr>
            <w:r>
              <w:rPr>
                <w:rFonts w:hint="eastAsia" w:ascii="宋体" w:hAnsi="宋体" w:cs="Arial"/>
                <w:color w:val="000000"/>
                <w:kern w:val="0"/>
                <w:sz w:val="22"/>
                <w:szCs w:val="22"/>
              </w:rPr>
              <w:t>1,150.14</w:t>
            </w:r>
            <w:r>
              <w:rPr>
                <w:rFonts w:ascii="Arial" w:hAnsi="Arial" w:cs="Arial"/>
                <w:color w:val="000000"/>
                <w:kern w:val="0"/>
                <w:sz w:val="20"/>
                <w:szCs w:val="20"/>
              </w:rPr>
              <w:t xml:space="preserve"> </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 w:val="16"/>
                <w:szCs w:val="16"/>
              </w:rPr>
            </w:pPr>
            <w:r>
              <w:rPr>
                <w:rFonts w:hint="eastAsia" w:ascii="Arial" w:hAnsi="Arial" w:cs="Arial"/>
                <w:color w:val="000000"/>
                <w:kern w:val="0"/>
                <w:sz w:val="20"/>
                <w:szCs w:val="20"/>
              </w:rPr>
              <w:t>64.32</w:t>
            </w:r>
            <w:r>
              <w:rPr>
                <w:rFonts w:ascii="Arial" w:hAnsi="Arial" w:cs="Arial"/>
                <w:color w:val="000000"/>
                <w:kern w:val="0"/>
                <w:sz w:val="20"/>
                <w:szCs w:val="20"/>
              </w:rPr>
              <w:t xml:space="preserve"> </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Arial" w:hAnsi="Arial" w:cs="Arial"/>
                <w:color w:val="000000"/>
                <w:kern w:val="0"/>
                <w:sz w:val="20"/>
                <w:szCs w:val="20"/>
              </w:rPr>
              <w:t>6.0</w:t>
            </w:r>
            <w:r>
              <w:rPr>
                <w:rFonts w:ascii="Arial" w:hAnsi="Arial" w:cs="Arial"/>
                <w:color w:val="000000"/>
                <w:kern w:val="0"/>
                <w:sz w:val="20"/>
                <w:szCs w:val="20"/>
              </w:rPr>
              <w:t xml:space="preserve">0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Arial" w:hAnsi="Arial" w:cs="Arial"/>
                <w:color w:val="000000"/>
                <w:kern w:val="0"/>
                <w:sz w:val="20"/>
                <w:szCs w:val="20"/>
              </w:rPr>
              <w:t>6.0</w:t>
            </w:r>
            <w:r>
              <w:rPr>
                <w:rFonts w:ascii="Arial" w:hAnsi="Arial" w:cs="Arial"/>
                <w:color w:val="000000"/>
                <w:kern w:val="0"/>
                <w:sz w:val="20"/>
                <w:szCs w:val="20"/>
              </w:rPr>
              <w:t xml:space="preserve">0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Arial" w:hAnsi="Arial" w:cs="Arial"/>
                <w:color w:val="000000"/>
                <w:kern w:val="0"/>
                <w:sz w:val="20"/>
                <w:szCs w:val="20"/>
              </w:rPr>
              <w:t>6.0</w:t>
            </w:r>
            <w:r>
              <w:rPr>
                <w:rFonts w:ascii="Arial" w:hAnsi="Arial" w:cs="Arial"/>
                <w:color w:val="000000"/>
                <w:kern w:val="0"/>
                <w:sz w:val="20"/>
                <w:szCs w:val="20"/>
              </w:rPr>
              <w:t xml:space="preserve">0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Arial" w:hAnsi="Arial" w:cs="Arial"/>
                <w:color w:val="000000"/>
                <w:kern w:val="0"/>
                <w:sz w:val="20"/>
                <w:szCs w:val="20"/>
              </w:rPr>
              <w:t>5.98</w:t>
            </w:r>
            <w:r>
              <w:rPr>
                <w:rFonts w:ascii="Arial" w:hAnsi="Arial" w:cs="Arial"/>
                <w:color w:val="000000"/>
                <w:kern w:val="0"/>
                <w:sz w:val="20"/>
                <w:szCs w:val="20"/>
              </w:rPr>
              <w:t xml:space="preserve">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Arial" w:hAnsi="Arial" w:cs="Arial"/>
                <w:color w:val="000000"/>
                <w:kern w:val="0"/>
                <w:sz w:val="20"/>
                <w:szCs w:val="20"/>
              </w:rPr>
              <w:t>5.98</w:t>
            </w:r>
            <w:r>
              <w:rPr>
                <w:rFonts w:ascii="Arial" w:hAnsi="Arial" w:cs="Arial"/>
                <w:color w:val="000000"/>
                <w:kern w:val="0"/>
                <w:sz w:val="20"/>
                <w:szCs w:val="20"/>
              </w:rPr>
              <w:t xml:space="preserve">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Arial" w:hAnsi="Arial" w:cs="Arial"/>
                <w:color w:val="000000"/>
                <w:kern w:val="0"/>
                <w:sz w:val="20"/>
                <w:szCs w:val="20"/>
              </w:rPr>
              <w:t>5.98</w:t>
            </w:r>
            <w:r>
              <w:rPr>
                <w:rFonts w:ascii="Arial" w:hAnsi="Arial" w:cs="Arial"/>
                <w:color w:val="000000"/>
                <w:kern w:val="0"/>
                <w:sz w:val="20"/>
                <w:szCs w:val="20"/>
              </w:rPr>
              <w:t xml:space="preserve">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b/>
                <w:bCs/>
                <w:color w:val="000000"/>
                <w:kern w:val="0"/>
                <w:sz w:val="22"/>
                <w:szCs w:val="22"/>
              </w:rPr>
            </w:pPr>
            <w:r>
              <w:rPr>
                <w:rFonts w:hint="eastAsia" w:ascii="宋体" w:hAnsi="宋体" w:cs="Arial"/>
                <w:b/>
                <w:bCs/>
                <w:color w:val="000000"/>
                <w:kern w:val="0"/>
                <w:sz w:val="22"/>
                <w:szCs w:val="22"/>
              </w:rPr>
              <w:t>4,750.36</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b/>
                <w:bCs/>
                <w:color w:val="000000"/>
                <w:kern w:val="0"/>
                <w:sz w:val="22"/>
                <w:szCs w:val="22"/>
              </w:rPr>
            </w:pPr>
            <w:r>
              <w:rPr>
                <w:rFonts w:hint="eastAsia" w:ascii="宋体" w:hAnsi="宋体" w:cs="Arial"/>
                <w:b/>
                <w:bCs/>
                <w:color w:val="000000"/>
                <w:kern w:val="0"/>
                <w:sz w:val="22"/>
                <w:szCs w:val="22"/>
              </w:rPr>
              <w:t>4,750.36</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b/>
                <w:bCs/>
                <w:color w:val="000000"/>
                <w:kern w:val="0"/>
                <w:sz w:val="22"/>
                <w:szCs w:val="22"/>
              </w:rPr>
            </w:pPr>
            <w:r>
              <w:rPr>
                <w:rFonts w:hint="eastAsia" w:ascii="宋体" w:hAnsi="宋体" w:cs="Arial"/>
                <w:b/>
                <w:bCs/>
                <w:color w:val="000000"/>
                <w:kern w:val="0"/>
                <w:sz w:val="22"/>
                <w:szCs w:val="22"/>
              </w:rPr>
              <w:t>　</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b/>
                <w:bCs/>
                <w:color w:val="000000"/>
                <w:kern w:val="0"/>
                <w:sz w:val="22"/>
                <w:szCs w:val="22"/>
              </w:rPr>
            </w:pPr>
            <w:r>
              <w:rPr>
                <w:rFonts w:hint="eastAsia" w:ascii="宋体" w:hAnsi="宋体" w:cs="Arial"/>
                <w:b/>
                <w:bCs/>
                <w:color w:val="000000"/>
                <w:kern w:val="0"/>
                <w:sz w:val="22"/>
                <w:szCs w:val="22"/>
              </w:rPr>
              <w:t>4,750.36</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 w:val="22"/>
                <w:szCs w:val="22"/>
              </w:rPr>
              <w:t>212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 w:val="22"/>
                <w:szCs w:val="22"/>
              </w:rPr>
              <w:t>城乡社区支出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4,750.36</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 w:val="22"/>
                <w:szCs w:val="22"/>
              </w:rPr>
              <w:t>21208</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 w:val="22"/>
                <w:szCs w:val="22"/>
              </w:rPr>
              <w:t>国有土地使用权出让收入及对应专项债务收入安排的支出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 w:val="22"/>
                <w:szCs w:val="22"/>
              </w:rPr>
              <w:t>2120801</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宋体"/>
                <w:color w:val="000000"/>
                <w:szCs w:val="21"/>
              </w:rPr>
            </w:pPr>
            <w:r>
              <w:rPr>
                <w:rFonts w:hint="eastAsia" w:ascii="宋体" w:hAnsi="宋体" w:cs="宋体"/>
                <w:color w:val="000000"/>
                <w:kern w:val="0"/>
                <w:sz w:val="22"/>
                <w:szCs w:val="22"/>
              </w:rPr>
              <w:t xml:space="preserve">  征地和拆迁补偿支出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4,685.36</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jc w:val="right"/>
              <w:textAlignment w:val="bottom"/>
              <w:rPr>
                <w:rFonts w:ascii="宋体" w:cs="宋体"/>
                <w:color w:val="000000"/>
                <w:szCs w:val="21"/>
              </w:rPr>
            </w:pPr>
            <w:r>
              <w:rPr>
                <w:rFonts w:hint="eastAsia" w:ascii="宋体" w:hAnsi="宋体" w:cs="Arial"/>
                <w:color w:val="000000"/>
                <w:kern w:val="0"/>
                <w:sz w:val="22"/>
                <w:szCs w:val="22"/>
              </w:rPr>
              <w:t>4,685.36</w:t>
            </w:r>
            <w:r>
              <w:rPr>
                <w:rFonts w:ascii="Arial" w:hAnsi="Arial" w:cs="Arial"/>
                <w:color w:val="000000"/>
                <w:kern w:val="0"/>
                <w:sz w:val="20"/>
                <w:szCs w:val="20"/>
              </w:rPr>
              <w:t xml:space="preserve"> </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21214</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污水处理费及对应专项债务收入安排的支出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2121499</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xml:space="preserve">  其他污水处理费安排的支出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65.00</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r>
              <w:rPr>
                <w:rFonts w:hint="eastAsia"/>
              </w:rPr>
              <w:t>本部门本年度无相关支出情况，按要求以空表列示。</w:t>
            </w:r>
            <w:r>
              <w:br w:type="page"/>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hint="eastAsia"/>
              </w:rPr>
              <w:t>本部门本年度无相关支出情况，按要求以空表列示。</w:t>
            </w:r>
            <w:r>
              <w:br w:type="page"/>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1008;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年度收入总计（含结转和结余）5965.23万元。与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年度决算相比，收入减少6054.7万元，</w:t>
      </w:r>
      <w:r>
        <w:rPr>
          <w:rFonts w:hint="eastAsia" w:ascii="仿宋_GB2312" w:eastAsia="仿宋_GB2312" w:cs="DengXian-Regular"/>
          <w:sz w:val="32"/>
          <w:szCs w:val="32"/>
          <w:lang w:val="en-US" w:eastAsia="zh-CN"/>
        </w:rPr>
        <w:t>降低</w:t>
      </w:r>
      <w:r>
        <w:rPr>
          <w:rFonts w:hint="eastAsia" w:ascii="仿宋_GB2312" w:eastAsia="仿宋_GB2312" w:cs="DengXian-Regular"/>
          <w:sz w:val="32"/>
          <w:szCs w:val="32"/>
        </w:rPr>
        <w:t>50.37</w:t>
      </w:r>
      <w:r>
        <w:rPr>
          <w:rFonts w:ascii="仿宋_GB2312" w:eastAsia="仿宋_GB2312" w:cs="DengXian-Regular"/>
          <w:sz w:val="32"/>
          <w:szCs w:val="32"/>
        </w:rPr>
        <w:t>%</w:t>
      </w:r>
      <w:r>
        <w:rPr>
          <w:rFonts w:hint="eastAsia" w:ascii="仿宋_GB2312" w:eastAsia="仿宋_GB2312" w:cs="DengXian-Regular"/>
          <w:sz w:val="32"/>
          <w:szCs w:val="32"/>
        </w:rPr>
        <w:t>，主要原因是2018年度减少了</w:t>
      </w:r>
      <w:r>
        <w:rPr>
          <w:rFonts w:hint="eastAsia" w:ascii="宋体" w:hAnsi="宋体" w:cs="宋体"/>
          <w:sz w:val="32"/>
          <w:szCs w:val="32"/>
        </w:rPr>
        <w:t>土</w:t>
      </w:r>
      <w:r>
        <w:rPr>
          <w:rFonts w:hint="eastAsia" w:ascii="仿宋_GB2312" w:eastAsia="仿宋_GB2312" w:cs="DengXian-Regular"/>
          <w:sz w:val="32"/>
          <w:szCs w:val="32"/>
        </w:rPr>
        <w:t>地收</w:t>
      </w:r>
      <w:r>
        <w:rPr>
          <w:rFonts w:hint="eastAsia" w:ascii="宋体" w:hAnsi="宋体" w:cs="宋体"/>
          <w:sz w:val="32"/>
          <w:szCs w:val="32"/>
        </w:rPr>
        <w:t>储</w:t>
      </w:r>
      <w:r>
        <w:rPr>
          <w:rFonts w:hint="eastAsia" w:ascii="仿宋_GB2312" w:eastAsia="仿宋_GB2312" w:cs="DengXian-Regular"/>
          <w:sz w:val="32"/>
          <w:szCs w:val="32"/>
        </w:rPr>
        <w:t>项目，减少了</w:t>
      </w:r>
      <w:r>
        <w:rPr>
          <w:rFonts w:hint="eastAsia" w:ascii="宋体" w:hAnsi="宋体" w:cs="宋体"/>
          <w:sz w:val="32"/>
          <w:szCs w:val="32"/>
        </w:rPr>
        <w:t>土</w:t>
      </w:r>
      <w:r>
        <w:rPr>
          <w:rFonts w:hint="eastAsia" w:ascii="仿宋_GB2312" w:eastAsia="仿宋_GB2312" w:cs="DengXian-Regular"/>
          <w:sz w:val="32"/>
          <w:szCs w:val="32"/>
        </w:rPr>
        <w:t>地征地款和</w:t>
      </w:r>
      <w:r>
        <w:rPr>
          <w:rFonts w:hint="eastAsia" w:ascii="宋体" w:hAnsi="宋体" w:cs="宋体"/>
          <w:sz w:val="32"/>
          <w:szCs w:val="32"/>
        </w:rPr>
        <w:t>土</w:t>
      </w:r>
      <w:r>
        <w:rPr>
          <w:rFonts w:hint="eastAsia" w:ascii="仿宋_GB2312" w:eastAsia="仿宋_GB2312" w:cs="DengXian-Regular"/>
          <w:sz w:val="32"/>
          <w:szCs w:val="32"/>
        </w:rPr>
        <w:t>地征地经费。本部门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年度支出总计（含结转和结余）5965.23万元。与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年度决算相比，支出减少6054.7万元，</w:t>
      </w:r>
      <w:r>
        <w:rPr>
          <w:rFonts w:hint="eastAsia" w:ascii="仿宋_GB2312" w:eastAsia="仿宋_GB2312" w:cs="DengXian-Regular"/>
          <w:sz w:val="32"/>
          <w:szCs w:val="32"/>
          <w:lang w:val="en-US" w:eastAsia="zh-CN"/>
        </w:rPr>
        <w:t>降低</w:t>
      </w:r>
      <w:r>
        <w:rPr>
          <w:rFonts w:hint="eastAsia" w:ascii="仿宋_GB2312" w:eastAsia="仿宋_GB2312" w:cs="DengXian-Regular"/>
          <w:sz w:val="32"/>
          <w:szCs w:val="32"/>
        </w:rPr>
        <w:t>50.37</w:t>
      </w:r>
      <w:r>
        <w:rPr>
          <w:rFonts w:ascii="仿宋_GB2312" w:eastAsia="仿宋_GB2312" w:cs="DengXian-Regular"/>
          <w:sz w:val="32"/>
          <w:szCs w:val="32"/>
        </w:rPr>
        <w:t>%</w:t>
      </w:r>
      <w:r>
        <w:rPr>
          <w:rFonts w:hint="eastAsia" w:ascii="仿宋_GB2312" w:eastAsia="仿宋_GB2312" w:cs="DengXian-Regular"/>
          <w:sz w:val="32"/>
          <w:szCs w:val="32"/>
        </w:rPr>
        <w:t>，主要原因是2018年度减少了</w:t>
      </w:r>
      <w:r>
        <w:rPr>
          <w:rFonts w:hint="eastAsia" w:ascii="宋体" w:hAnsi="宋体" w:cs="宋体"/>
          <w:sz w:val="32"/>
          <w:szCs w:val="32"/>
        </w:rPr>
        <w:t>土</w:t>
      </w:r>
      <w:r>
        <w:rPr>
          <w:rFonts w:hint="eastAsia" w:ascii="仿宋_GB2312" w:eastAsia="仿宋_GB2312" w:cs="DengXian-Regular"/>
          <w:sz w:val="32"/>
          <w:szCs w:val="32"/>
        </w:rPr>
        <w:t>地收</w:t>
      </w:r>
      <w:r>
        <w:rPr>
          <w:rFonts w:hint="eastAsia" w:ascii="宋体" w:hAnsi="宋体" w:cs="宋体"/>
          <w:sz w:val="32"/>
          <w:szCs w:val="32"/>
        </w:rPr>
        <w:t>储</w:t>
      </w:r>
      <w:r>
        <w:rPr>
          <w:rFonts w:hint="eastAsia" w:ascii="仿宋_GB2312" w:eastAsia="仿宋_GB2312" w:cs="DengXian-Regular"/>
          <w:sz w:val="32"/>
          <w:szCs w:val="32"/>
        </w:rPr>
        <w:t>项目，减少了</w:t>
      </w:r>
      <w:r>
        <w:rPr>
          <w:rFonts w:hint="eastAsia" w:ascii="宋体" w:hAnsi="宋体" w:cs="宋体"/>
          <w:sz w:val="32"/>
          <w:szCs w:val="32"/>
        </w:rPr>
        <w:t>土</w:t>
      </w:r>
      <w:r>
        <w:rPr>
          <w:rFonts w:hint="eastAsia" w:ascii="仿宋_GB2312" w:eastAsia="仿宋_GB2312" w:cs="DengXian-Regular"/>
          <w:sz w:val="32"/>
          <w:szCs w:val="32"/>
        </w:rPr>
        <w:t>地征地款和</w:t>
      </w:r>
      <w:r>
        <w:rPr>
          <w:rFonts w:hint="eastAsia" w:ascii="宋体" w:hAnsi="宋体" w:cs="宋体"/>
          <w:sz w:val="32"/>
          <w:szCs w:val="32"/>
        </w:rPr>
        <w:t>土</w:t>
      </w:r>
      <w:r>
        <w:rPr>
          <w:rFonts w:hint="eastAsia" w:ascii="仿宋_GB2312" w:eastAsia="仿宋_GB2312" w:cs="DengXian-Regular"/>
          <w:sz w:val="32"/>
          <w:szCs w:val="32"/>
        </w:rPr>
        <w:t>地征地经费。</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年度本年收入合计5965.23万元，其中：财政拨款收入5965.23万元，占100</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年度本年支出合计5965.23万元，其中：基本支出1214.47万元，占20.36</w:t>
      </w:r>
      <w:r>
        <w:rPr>
          <w:rFonts w:ascii="仿宋_GB2312" w:eastAsia="仿宋_GB2312" w:cs="DengXian-Regular"/>
          <w:sz w:val="32"/>
          <w:szCs w:val="32"/>
        </w:rPr>
        <w:t>%</w:t>
      </w:r>
      <w:r>
        <w:rPr>
          <w:rFonts w:hint="eastAsia" w:ascii="仿宋_GB2312" w:eastAsia="仿宋_GB2312" w:cs="DengXian-Regular"/>
          <w:sz w:val="32"/>
          <w:szCs w:val="32"/>
        </w:rPr>
        <w:t>；项目支出4750.76万元，占79.64</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年度财政拨款本年收入5965.23万元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年度减少6054.7万元，</w:t>
      </w:r>
      <w:r>
        <w:rPr>
          <w:rFonts w:hint="eastAsia" w:ascii="仿宋_GB2312" w:eastAsia="仿宋_GB2312" w:cs="DengXian-Regular"/>
          <w:sz w:val="32"/>
          <w:szCs w:val="32"/>
          <w:lang w:val="en-US" w:eastAsia="zh-CN"/>
        </w:rPr>
        <w:t>降低</w:t>
      </w:r>
      <w:r>
        <w:rPr>
          <w:rFonts w:hint="eastAsia" w:ascii="仿宋_GB2312" w:eastAsia="仿宋_GB2312" w:cs="DengXian-Regular"/>
          <w:sz w:val="32"/>
          <w:szCs w:val="32"/>
        </w:rPr>
        <w:t>50.37</w:t>
      </w:r>
      <w:r>
        <w:rPr>
          <w:rFonts w:ascii="仿宋_GB2312" w:eastAsia="仿宋_GB2312" w:cs="DengXian-Regular"/>
          <w:sz w:val="32"/>
          <w:szCs w:val="32"/>
        </w:rPr>
        <w:t>%</w:t>
      </w:r>
      <w:r>
        <w:rPr>
          <w:rFonts w:hint="eastAsia" w:ascii="仿宋_GB2312" w:eastAsia="仿宋_GB2312" w:cs="DengXian-Regular"/>
          <w:sz w:val="32"/>
          <w:szCs w:val="32"/>
        </w:rPr>
        <w:t>，主要原因是2018年度减少了</w:t>
      </w:r>
      <w:r>
        <w:rPr>
          <w:rFonts w:hint="eastAsia" w:ascii="宋体" w:hAnsi="宋体" w:cs="宋体"/>
          <w:sz w:val="32"/>
          <w:szCs w:val="32"/>
        </w:rPr>
        <w:t>土</w:t>
      </w:r>
      <w:r>
        <w:rPr>
          <w:rFonts w:hint="eastAsia" w:ascii="仿宋_GB2312" w:eastAsia="仿宋_GB2312" w:cs="DengXian-Regular"/>
          <w:sz w:val="32"/>
          <w:szCs w:val="32"/>
        </w:rPr>
        <w:t>地收</w:t>
      </w:r>
      <w:r>
        <w:rPr>
          <w:rFonts w:hint="eastAsia" w:ascii="宋体" w:hAnsi="宋体" w:cs="宋体"/>
          <w:sz w:val="32"/>
          <w:szCs w:val="32"/>
        </w:rPr>
        <w:t>储</w:t>
      </w:r>
      <w:r>
        <w:rPr>
          <w:rFonts w:hint="eastAsia" w:ascii="仿宋_GB2312" w:eastAsia="仿宋_GB2312" w:cs="DengXian-Regular"/>
          <w:sz w:val="32"/>
          <w:szCs w:val="32"/>
        </w:rPr>
        <w:t>项目，减少了</w:t>
      </w:r>
      <w:r>
        <w:rPr>
          <w:rFonts w:hint="eastAsia" w:ascii="宋体" w:hAnsi="宋体" w:cs="宋体"/>
          <w:sz w:val="32"/>
          <w:szCs w:val="32"/>
        </w:rPr>
        <w:t>土</w:t>
      </w:r>
      <w:r>
        <w:rPr>
          <w:rFonts w:hint="eastAsia" w:ascii="仿宋_GB2312" w:eastAsia="仿宋_GB2312" w:cs="DengXian-Regular"/>
          <w:sz w:val="32"/>
          <w:szCs w:val="32"/>
        </w:rPr>
        <w:t>地征地款和</w:t>
      </w:r>
      <w:r>
        <w:rPr>
          <w:rFonts w:hint="eastAsia" w:ascii="宋体" w:hAnsi="宋体" w:cs="宋体"/>
          <w:sz w:val="32"/>
          <w:szCs w:val="32"/>
        </w:rPr>
        <w:t>土</w:t>
      </w:r>
      <w:r>
        <w:rPr>
          <w:rFonts w:hint="eastAsia" w:ascii="仿宋_GB2312" w:eastAsia="仿宋_GB2312" w:cs="DengXian-Regular"/>
          <w:sz w:val="32"/>
          <w:szCs w:val="32"/>
        </w:rPr>
        <w:t>地征地经费。本年支出5965.23万元，减少6054.7万元，</w:t>
      </w:r>
      <w:r>
        <w:rPr>
          <w:rFonts w:hint="eastAsia" w:ascii="仿宋_GB2312" w:eastAsia="仿宋_GB2312" w:cs="DengXian-Regular"/>
          <w:sz w:val="32"/>
          <w:szCs w:val="32"/>
          <w:lang w:val="en-US" w:eastAsia="zh-CN"/>
        </w:rPr>
        <w:t>降低</w:t>
      </w:r>
      <w:r>
        <w:rPr>
          <w:rFonts w:hint="eastAsia" w:ascii="仿宋_GB2312" w:eastAsia="仿宋_GB2312" w:cs="DengXian-Regular"/>
          <w:sz w:val="32"/>
          <w:szCs w:val="32"/>
        </w:rPr>
        <w:t>50.37</w:t>
      </w:r>
      <w:r>
        <w:rPr>
          <w:rFonts w:ascii="仿宋_GB2312" w:eastAsia="仿宋_GB2312" w:cs="DengXian-Regular"/>
          <w:sz w:val="32"/>
          <w:szCs w:val="32"/>
        </w:rPr>
        <w:t>%</w:t>
      </w:r>
      <w:r>
        <w:rPr>
          <w:rFonts w:hint="eastAsia" w:ascii="仿宋_GB2312" w:eastAsia="仿宋_GB2312" w:cs="DengXian-Regular"/>
          <w:sz w:val="32"/>
          <w:szCs w:val="32"/>
        </w:rPr>
        <w:t>，主要原因是2018年度减少了</w:t>
      </w:r>
      <w:r>
        <w:rPr>
          <w:rFonts w:hint="eastAsia" w:ascii="宋体" w:hAnsi="宋体" w:cs="宋体"/>
          <w:sz w:val="32"/>
          <w:szCs w:val="32"/>
        </w:rPr>
        <w:t>土</w:t>
      </w:r>
      <w:r>
        <w:rPr>
          <w:rFonts w:hint="eastAsia" w:ascii="仿宋_GB2312" w:eastAsia="仿宋_GB2312" w:cs="DengXian-Regular"/>
          <w:sz w:val="32"/>
          <w:szCs w:val="32"/>
        </w:rPr>
        <w:t>地收</w:t>
      </w:r>
      <w:r>
        <w:rPr>
          <w:rFonts w:hint="eastAsia" w:ascii="宋体" w:hAnsi="宋体" w:cs="宋体"/>
          <w:sz w:val="32"/>
          <w:szCs w:val="32"/>
        </w:rPr>
        <w:t>储</w:t>
      </w:r>
      <w:r>
        <w:rPr>
          <w:rFonts w:hint="eastAsia" w:ascii="仿宋_GB2312" w:eastAsia="仿宋_GB2312" w:cs="DengXian-Regular"/>
          <w:sz w:val="32"/>
          <w:szCs w:val="32"/>
        </w:rPr>
        <w:t>项目，减少了</w:t>
      </w:r>
      <w:r>
        <w:rPr>
          <w:rFonts w:hint="eastAsia" w:ascii="宋体" w:hAnsi="宋体" w:cs="宋体"/>
          <w:sz w:val="32"/>
          <w:szCs w:val="32"/>
        </w:rPr>
        <w:t>土</w:t>
      </w:r>
      <w:r>
        <w:rPr>
          <w:rFonts w:hint="eastAsia" w:ascii="仿宋_GB2312" w:eastAsia="仿宋_GB2312" w:cs="DengXian-Regular"/>
          <w:sz w:val="32"/>
          <w:szCs w:val="32"/>
        </w:rPr>
        <w:t>地征地款和</w:t>
      </w:r>
      <w:r>
        <w:rPr>
          <w:rFonts w:hint="eastAsia" w:ascii="宋体" w:hAnsi="宋体" w:cs="宋体"/>
          <w:sz w:val="32"/>
          <w:szCs w:val="32"/>
        </w:rPr>
        <w:t>土</w:t>
      </w:r>
      <w:r>
        <w:rPr>
          <w:rFonts w:hint="eastAsia" w:ascii="仿宋_GB2312" w:eastAsia="仿宋_GB2312" w:cs="DengXian-Regular"/>
          <w:sz w:val="32"/>
          <w:szCs w:val="32"/>
        </w:rPr>
        <w:t>地征地经费。</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其中：一般公共预算财政拨款本年收入1214.87万元，比上年增加205.5万元；主要是人员工资保险变动；本年支出1214.87万元，比上年增加205.5万元，增长20.36</w:t>
      </w:r>
      <w:r>
        <w:rPr>
          <w:rFonts w:ascii="仿宋_GB2312" w:eastAsia="仿宋_GB2312" w:cs="DengXian-Regular"/>
          <w:sz w:val="32"/>
          <w:szCs w:val="32"/>
        </w:rPr>
        <w:t>%</w:t>
      </w:r>
      <w:r>
        <w:rPr>
          <w:rFonts w:hint="eastAsia" w:ascii="仿宋_GB2312" w:eastAsia="仿宋_GB2312" w:cs="DengXian-Regular"/>
          <w:sz w:val="32"/>
          <w:szCs w:val="32"/>
        </w:rPr>
        <w:t>，主要是人员工资保险变动。政府性基金预算财政拨款本年收入4750.36万元，比上年减少6260.26万元，下降56.86</w:t>
      </w:r>
      <w:r>
        <w:rPr>
          <w:rFonts w:ascii="仿宋_GB2312" w:eastAsia="仿宋_GB2312" w:cs="DengXian-Regular"/>
          <w:sz w:val="32"/>
          <w:szCs w:val="32"/>
        </w:rPr>
        <w:t>%</w:t>
      </w:r>
      <w:r>
        <w:rPr>
          <w:rFonts w:hint="eastAsia" w:ascii="仿宋_GB2312" w:eastAsia="仿宋_GB2312" w:cs="DengXian-Regular"/>
          <w:sz w:val="32"/>
          <w:szCs w:val="32"/>
        </w:rPr>
        <w:t>，主要原因是2018年度减少了</w:t>
      </w:r>
      <w:r>
        <w:rPr>
          <w:rFonts w:hint="eastAsia" w:ascii="宋体" w:hAnsi="宋体" w:cs="宋体"/>
          <w:sz w:val="32"/>
          <w:szCs w:val="32"/>
        </w:rPr>
        <w:t>土</w:t>
      </w:r>
      <w:r>
        <w:rPr>
          <w:rFonts w:hint="eastAsia" w:ascii="仿宋_GB2312" w:eastAsia="仿宋_GB2312" w:cs="DengXian-Regular"/>
          <w:sz w:val="32"/>
          <w:szCs w:val="32"/>
        </w:rPr>
        <w:t>地收</w:t>
      </w:r>
      <w:r>
        <w:rPr>
          <w:rFonts w:hint="eastAsia" w:ascii="宋体" w:hAnsi="宋体" w:cs="宋体"/>
          <w:sz w:val="32"/>
          <w:szCs w:val="32"/>
        </w:rPr>
        <w:t>储</w:t>
      </w:r>
      <w:r>
        <w:rPr>
          <w:rFonts w:hint="eastAsia" w:ascii="仿宋_GB2312" w:eastAsia="仿宋_GB2312" w:cs="DengXian-Regular"/>
          <w:sz w:val="32"/>
          <w:szCs w:val="32"/>
        </w:rPr>
        <w:t>项目，减少了</w:t>
      </w:r>
      <w:r>
        <w:rPr>
          <w:rFonts w:hint="eastAsia" w:ascii="宋体" w:hAnsi="宋体" w:cs="宋体"/>
          <w:sz w:val="32"/>
          <w:szCs w:val="32"/>
        </w:rPr>
        <w:t>土</w:t>
      </w:r>
      <w:r>
        <w:rPr>
          <w:rFonts w:hint="eastAsia" w:ascii="仿宋_GB2312" w:eastAsia="仿宋_GB2312" w:cs="DengXian-Regular"/>
          <w:sz w:val="32"/>
          <w:szCs w:val="32"/>
        </w:rPr>
        <w:t>地征地款和</w:t>
      </w:r>
      <w:r>
        <w:rPr>
          <w:rFonts w:hint="eastAsia" w:ascii="宋体" w:hAnsi="宋体" w:cs="宋体"/>
          <w:sz w:val="32"/>
          <w:szCs w:val="32"/>
        </w:rPr>
        <w:t>土</w:t>
      </w:r>
      <w:r>
        <w:rPr>
          <w:rFonts w:hint="eastAsia" w:ascii="仿宋_GB2312" w:eastAsia="仿宋_GB2312" w:cs="DengXian-Regular"/>
          <w:sz w:val="32"/>
          <w:szCs w:val="32"/>
        </w:rPr>
        <w:t>地征地经费；本年支出4750.36万元，比上年减少6260.26万元，下降56.86</w:t>
      </w:r>
      <w:r>
        <w:rPr>
          <w:rFonts w:ascii="仿宋_GB2312" w:eastAsia="仿宋_GB2312" w:cs="DengXian-Regular"/>
          <w:sz w:val="32"/>
          <w:szCs w:val="32"/>
        </w:rPr>
        <w:t>%</w:t>
      </w:r>
      <w:r>
        <w:rPr>
          <w:rFonts w:hint="eastAsia" w:ascii="仿宋_GB2312" w:eastAsia="仿宋_GB2312" w:cs="DengXian-Regular"/>
          <w:sz w:val="32"/>
          <w:szCs w:val="32"/>
        </w:rPr>
        <w:t>，主要原因是2018年度减少了</w:t>
      </w:r>
      <w:r>
        <w:rPr>
          <w:rFonts w:hint="eastAsia" w:ascii="宋体" w:hAnsi="宋体" w:cs="宋体"/>
          <w:sz w:val="32"/>
          <w:szCs w:val="32"/>
        </w:rPr>
        <w:t>土</w:t>
      </w:r>
      <w:r>
        <w:rPr>
          <w:rFonts w:hint="eastAsia" w:ascii="仿宋_GB2312" w:eastAsia="仿宋_GB2312" w:cs="DengXian-Regular"/>
          <w:sz w:val="32"/>
          <w:szCs w:val="32"/>
        </w:rPr>
        <w:t>地收</w:t>
      </w:r>
      <w:r>
        <w:rPr>
          <w:rFonts w:hint="eastAsia" w:ascii="宋体" w:hAnsi="宋体" w:cs="宋体"/>
          <w:sz w:val="32"/>
          <w:szCs w:val="32"/>
        </w:rPr>
        <w:t>储</w:t>
      </w:r>
      <w:r>
        <w:rPr>
          <w:rFonts w:hint="eastAsia" w:ascii="仿宋_GB2312" w:eastAsia="仿宋_GB2312" w:cs="DengXian-Regular"/>
          <w:sz w:val="32"/>
          <w:szCs w:val="32"/>
        </w:rPr>
        <w:t>项目，减少了</w:t>
      </w:r>
      <w:r>
        <w:rPr>
          <w:rFonts w:hint="eastAsia" w:ascii="宋体" w:hAnsi="宋体" w:cs="宋体"/>
          <w:sz w:val="32"/>
          <w:szCs w:val="32"/>
        </w:rPr>
        <w:t>土</w:t>
      </w:r>
      <w:r>
        <w:rPr>
          <w:rFonts w:hint="eastAsia" w:ascii="仿宋_GB2312" w:eastAsia="仿宋_GB2312" w:cs="DengXian-Regular"/>
          <w:sz w:val="32"/>
          <w:szCs w:val="32"/>
        </w:rPr>
        <w:t>地征地款和</w:t>
      </w:r>
      <w:r>
        <w:rPr>
          <w:rFonts w:hint="eastAsia" w:ascii="宋体" w:hAnsi="宋体" w:cs="宋体"/>
          <w:sz w:val="32"/>
          <w:szCs w:val="32"/>
        </w:rPr>
        <w:t>土</w:t>
      </w:r>
      <w:r>
        <w:rPr>
          <w:rFonts w:hint="eastAsia" w:ascii="仿宋_GB2312" w:eastAsia="仿宋_GB2312" w:cs="DengXian-Regular"/>
          <w:sz w:val="32"/>
          <w:szCs w:val="32"/>
        </w:rPr>
        <w:t>地征地经费。</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年度财政拨款本年收入5965.23万元，完成年初预算的532.09</w:t>
      </w:r>
      <w:r>
        <w:rPr>
          <w:rFonts w:ascii="仿宋_GB2312" w:eastAsia="仿宋_GB2312" w:cs="DengXian-Regular"/>
          <w:sz w:val="32"/>
          <w:szCs w:val="32"/>
        </w:rPr>
        <w:t>%,</w:t>
      </w:r>
      <w:r>
        <w:rPr>
          <w:rFonts w:hint="eastAsia" w:ascii="仿宋_GB2312" w:eastAsia="仿宋_GB2312" w:cs="DengXian-Regular"/>
          <w:sz w:val="32"/>
          <w:szCs w:val="32"/>
        </w:rPr>
        <w:t>比年初预算增加4844.13万元，决算数大于预算数主要原因是2018年增加了</w:t>
      </w:r>
      <w:r>
        <w:rPr>
          <w:rFonts w:hint="eastAsia" w:ascii="宋体" w:hAnsi="宋体" w:cs="宋体"/>
          <w:sz w:val="32"/>
          <w:szCs w:val="32"/>
        </w:rPr>
        <w:t>土</w:t>
      </w:r>
      <w:r>
        <w:rPr>
          <w:rFonts w:hint="eastAsia" w:ascii="仿宋_GB2312" w:eastAsia="仿宋_GB2312" w:cs="DengXian-Regular"/>
          <w:sz w:val="32"/>
          <w:szCs w:val="32"/>
        </w:rPr>
        <w:t>地收</w:t>
      </w:r>
      <w:r>
        <w:rPr>
          <w:rFonts w:hint="eastAsia" w:ascii="宋体" w:hAnsi="宋体" w:cs="宋体"/>
          <w:sz w:val="32"/>
          <w:szCs w:val="32"/>
        </w:rPr>
        <w:t>储</w:t>
      </w:r>
      <w:r>
        <w:rPr>
          <w:rFonts w:hint="eastAsia" w:ascii="仿宋_GB2312" w:eastAsia="仿宋_GB2312" w:cs="DengXian-Regular"/>
          <w:sz w:val="32"/>
          <w:szCs w:val="32"/>
        </w:rPr>
        <w:t>项目；本年支出5965.23万元，完成年初预算的532.09</w:t>
      </w:r>
      <w:r>
        <w:rPr>
          <w:rFonts w:ascii="仿宋_GB2312" w:eastAsia="仿宋_GB2312" w:cs="DengXian-Regular"/>
          <w:sz w:val="32"/>
          <w:szCs w:val="32"/>
        </w:rPr>
        <w:t>%,</w:t>
      </w:r>
      <w:r>
        <w:rPr>
          <w:rFonts w:hint="eastAsia" w:ascii="仿宋_GB2312" w:eastAsia="仿宋_GB2312" w:cs="DengXian-Regular"/>
          <w:sz w:val="32"/>
          <w:szCs w:val="32"/>
        </w:rPr>
        <w:t>比年初预算增加4844.13万元，决算数大于预算数主要原因是2018年增加了</w:t>
      </w:r>
      <w:r>
        <w:rPr>
          <w:rFonts w:hint="eastAsia" w:ascii="宋体" w:hAnsi="宋体" w:cs="宋体"/>
          <w:sz w:val="32"/>
          <w:szCs w:val="32"/>
        </w:rPr>
        <w:t>土</w:t>
      </w:r>
      <w:r>
        <w:rPr>
          <w:rFonts w:hint="eastAsia" w:ascii="仿宋_GB2312" w:eastAsia="仿宋_GB2312" w:cs="DengXian-Regular"/>
          <w:sz w:val="32"/>
          <w:szCs w:val="32"/>
        </w:rPr>
        <w:t>地收</w:t>
      </w:r>
      <w:r>
        <w:rPr>
          <w:rFonts w:hint="eastAsia" w:ascii="宋体" w:hAnsi="宋体" w:cs="宋体"/>
          <w:sz w:val="32"/>
          <w:szCs w:val="32"/>
        </w:rPr>
        <w:t>储</w:t>
      </w:r>
      <w:r>
        <w:rPr>
          <w:rFonts w:hint="eastAsia" w:ascii="仿宋_GB2312" w:eastAsia="仿宋_GB2312" w:cs="DengXian-Regular"/>
          <w:sz w:val="32"/>
          <w:szCs w:val="32"/>
        </w:rPr>
        <w:t>项目。</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其中，一般公共预算财政拨款本年收入完成年初预算121.74</w:t>
      </w:r>
      <w:r>
        <w:rPr>
          <w:rFonts w:ascii="仿宋_GB2312" w:eastAsia="仿宋_GB2312" w:cs="DengXian-Regular"/>
          <w:sz w:val="32"/>
          <w:szCs w:val="32"/>
        </w:rPr>
        <w:t>%</w:t>
      </w:r>
      <w:r>
        <w:rPr>
          <w:rFonts w:hint="eastAsia" w:ascii="仿宋_GB2312" w:eastAsia="仿宋_GB2312" w:cs="DengXian-Regular"/>
          <w:sz w:val="32"/>
          <w:szCs w:val="32"/>
        </w:rPr>
        <w:t>，比年初预算增加93.77万元，主要是人员工资保险变动；支出完成年初预算121.74</w:t>
      </w:r>
      <w:r>
        <w:rPr>
          <w:rFonts w:ascii="仿宋_GB2312" w:eastAsia="仿宋_GB2312" w:cs="DengXian-Regular"/>
          <w:sz w:val="32"/>
          <w:szCs w:val="32"/>
        </w:rPr>
        <w:t>%</w:t>
      </w:r>
      <w:r>
        <w:rPr>
          <w:rFonts w:hint="eastAsia" w:ascii="仿宋_GB2312" w:eastAsia="仿宋_GB2312" w:cs="DengXian-Regular"/>
          <w:sz w:val="32"/>
          <w:szCs w:val="32"/>
        </w:rPr>
        <w:t>，比年初预算增加93.77万元，主要是人员工资保险变动。政府性基金预算财政拨款本年收入比年初预算增加4750.36万元，支出比年初预算增加4750.36万元，主要是2018年增加了</w:t>
      </w:r>
      <w:r>
        <w:rPr>
          <w:rFonts w:hint="eastAsia" w:ascii="宋体" w:hAnsi="宋体" w:cs="宋体"/>
          <w:sz w:val="32"/>
          <w:szCs w:val="32"/>
        </w:rPr>
        <w:t>土</w:t>
      </w:r>
      <w:r>
        <w:rPr>
          <w:rFonts w:hint="eastAsia" w:ascii="仿宋_GB2312" w:eastAsia="仿宋_GB2312" w:cs="DengXian-Regular"/>
          <w:sz w:val="32"/>
          <w:szCs w:val="32"/>
        </w:rPr>
        <w:t>地收</w:t>
      </w:r>
      <w:r>
        <w:rPr>
          <w:rFonts w:hint="eastAsia" w:ascii="宋体" w:hAnsi="宋体" w:cs="宋体"/>
          <w:sz w:val="32"/>
          <w:szCs w:val="32"/>
        </w:rPr>
        <w:t>储</w:t>
      </w:r>
      <w:r>
        <w:rPr>
          <w:rFonts w:hint="eastAsia" w:ascii="仿宋_GB2312" w:eastAsia="仿宋_GB2312" w:cs="DengXian-Regular"/>
          <w:sz w:val="32"/>
          <w:szCs w:val="32"/>
        </w:rPr>
        <w:t>项目。</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年度财政拨款支出5965.23万元，主要用于以下方面一般公共服务（类）支出925.99万元，占15.52</w:t>
      </w:r>
      <w:r>
        <w:rPr>
          <w:rFonts w:ascii="仿宋_GB2312" w:eastAsia="仿宋_GB2312" w:cs="DengXian-Regular"/>
          <w:sz w:val="32"/>
          <w:szCs w:val="32"/>
        </w:rPr>
        <w:t>%</w:t>
      </w:r>
      <w:r>
        <w:rPr>
          <w:rFonts w:hint="eastAsia" w:ascii="仿宋_GB2312" w:eastAsia="仿宋_GB2312" w:cs="DengXian-Regular"/>
          <w:sz w:val="32"/>
          <w:szCs w:val="32"/>
        </w:rPr>
        <w:t>；教育（类）支出6.44万元，占0.11</w:t>
      </w:r>
      <w:r>
        <w:rPr>
          <w:rFonts w:ascii="仿宋_GB2312" w:eastAsia="仿宋_GB2312" w:cs="DengXian-Regular"/>
          <w:sz w:val="32"/>
          <w:szCs w:val="32"/>
        </w:rPr>
        <w:t>%</w:t>
      </w:r>
      <w:r>
        <w:rPr>
          <w:rFonts w:hint="eastAsia" w:ascii="仿宋_GB2312" w:eastAsia="仿宋_GB2312" w:cs="DengXian-Regular"/>
          <w:sz w:val="32"/>
          <w:szCs w:val="32"/>
        </w:rPr>
        <w:t>；社会保障和就业（类）支出16.75万元，占</w:t>
      </w:r>
      <w:r>
        <w:rPr>
          <w:rFonts w:ascii="仿宋_GB2312" w:eastAsia="仿宋_GB2312" w:cs="DengXian-Regular"/>
          <w:sz w:val="32"/>
          <w:szCs w:val="32"/>
        </w:rPr>
        <w:t>0.</w:t>
      </w:r>
      <w:r>
        <w:rPr>
          <w:rFonts w:hint="eastAsia" w:ascii="仿宋_GB2312" w:eastAsia="仿宋_GB2312" w:cs="DengXian-Regular"/>
          <w:sz w:val="32"/>
          <w:szCs w:val="32"/>
        </w:rPr>
        <w:t>28</w:t>
      </w:r>
      <w:r>
        <w:rPr>
          <w:rFonts w:ascii="仿宋_GB2312" w:eastAsia="仿宋_GB2312" w:cs="DengXian-Regular"/>
          <w:sz w:val="32"/>
          <w:szCs w:val="32"/>
        </w:rPr>
        <w:t>%</w:t>
      </w:r>
      <w:r>
        <w:rPr>
          <w:rFonts w:hint="eastAsia" w:ascii="仿宋_GB2312" w:eastAsia="仿宋_GB2312" w:cs="DengXian-Regular"/>
          <w:sz w:val="32"/>
          <w:szCs w:val="32"/>
        </w:rPr>
        <w:t>；节能环保（类）支出122.40万元，占2.05</w:t>
      </w:r>
      <w:r>
        <w:rPr>
          <w:rFonts w:ascii="仿宋_GB2312" w:eastAsia="仿宋_GB2312" w:cs="DengXian-Regular"/>
          <w:sz w:val="32"/>
          <w:szCs w:val="32"/>
        </w:rPr>
        <w:t>%</w:t>
      </w:r>
      <w:r>
        <w:rPr>
          <w:rFonts w:hint="eastAsia" w:ascii="仿宋_GB2312" w:eastAsia="仿宋_GB2312" w:cs="DengXian-Regular"/>
          <w:sz w:val="32"/>
          <w:szCs w:val="32"/>
        </w:rPr>
        <w:t>；城乡社区（类）支出住房保障（类）支出4750.36万元，占79.63</w:t>
      </w:r>
      <w:r>
        <w:rPr>
          <w:rFonts w:ascii="仿宋_GB2312" w:eastAsia="仿宋_GB2312" w:cs="DengXian-Regular"/>
          <w:sz w:val="32"/>
          <w:szCs w:val="32"/>
        </w:rPr>
        <w:t>%;</w:t>
      </w:r>
      <w:r>
        <w:rPr>
          <w:rFonts w:hint="eastAsia" w:ascii="仿宋_GB2312" w:eastAsia="仿宋_GB2312" w:cs="DengXian-Regular"/>
          <w:sz w:val="32"/>
          <w:szCs w:val="32"/>
        </w:rPr>
        <w:t>农</w:t>
      </w:r>
      <w:r>
        <w:rPr>
          <w:rFonts w:hint="eastAsia" w:ascii="宋体" w:hAnsi="宋体" w:cs="宋体"/>
          <w:sz w:val="32"/>
          <w:szCs w:val="32"/>
        </w:rPr>
        <w:t>林</w:t>
      </w:r>
      <w:r>
        <w:rPr>
          <w:rFonts w:ascii="仿宋_GB2312" w:eastAsia="仿宋_GB2312" w:cs="DengXian-Regular"/>
          <w:sz w:val="32"/>
          <w:szCs w:val="32"/>
        </w:rPr>
        <w:t>水（</w:t>
      </w:r>
      <w:r>
        <w:rPr>
          <w:rFonts w:hint="eastAsia" w:ascii="仿宋_GB2312" w:eastAsia="仿宋_GB2312" w:cs="DengXian-Regular"/>
          <w:sz w:val="32"/>
          <w:szCs w:val="32"/>
        </w:rPr>
        <w:t>类</w:t>
      </w:r>
      <w:r>
        <w:rPr>
          <w:rFonts w:ascii="仿宋_GB2312" w:eastAsia="仿宋_GB2312" w:cs="DengXian-Regular"/>
          <w:sz w:val="32"/>
          <w:szCs w:val="32"/>
        </w:rPr>
        <w:t>）</w:t>
      </w:r>
      <w:r>
        <w:rPr>
          <w:rFonts w:hint="eastAsia" w:ascii="仿宋_GB2312" w:eastAsia="仿宋_GB2312" w:cs="DengXian-Regular"/>
          <w:sz w:val="32"/>
          <w:szCs w:val="32"/>
        </w:rPr>
        <w:t>支出133.94万元</w:t>
      </w:r>
      <w:r>
        <w:rPr>
          <w:rFonts w:ascii="仿宋_GB2312" w:eastAsia="仿宋_GB2312" w:cs="DengXian-Regular"/>
          <w:sz w:val="32"/>
          <w:szCs w:val="32"/>
        </w:rPr>
        <w:t>，</w:t>
      </w:r>
      <w:r>
        <w:rPr>
          <w:rFonts w:hint="eastAsia" w:ascii="仿宋_GB2312" w:eastAsia="仿宋_GB2312" w:cs="DengXian-Regular"/>
          <w:sz w:val="32"/>
          <w:szCs w:val="32"/>
        </w:rPr>
        <w:t>占2.25</w:t>
      </w:r>
      <w:r>
        <w:rPr>
          <w:rFonts w:ascii="仿宋_GB2312" w:eastAsia="仿宋_GB2312" w:cs="DengXian-Regular"/>
          <w:sz w:val="32"/>
          <w:szCs w:val="32"/>
        </w:rPr>
        <w:t>%；</w:t>
      </w:r>
      <w:r>
        <w:rPr>
          <w:rFonts w:hint="eastAsia" w:ascii="仿宋_GB2312" w:eastAsia="仿宋_GB2312" w:cs="DengXian-Regular"/>
          <w:sz w:val="32"/>
          <w:szCs w:val="32"/>
        </w:rPr>
        <w:t>住房保障（类）支出9.35万元</w:t>
      </w:r>
      <w:r>
        <w:rPr>
          <w:rFonts w:ascii="仿宋_GB2312" w:eastAsia="仿宋_GB2312" w:cs="DengXian-Regular"/>
          <w:sz w:val="32"/>
          <w:szCs w:val="32"/>
        </w:rPr>
        <w:t>，占</w:t>
      </w:r>
      <w:r>
        <w:rPr>
          <w:rFonts w:hint="eastAsia" w:ascii="仿宋_GB2312" w:eastAsia="仿宋_GB2312" w:cs="DengXian-Regular"/>
          <w:sz w:val="32"/>
          <w:szCs w:val="32"/>
        </w:rPr>
        <w:t>0.16</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4864;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1214.47万元，其中：人员经费1150.14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64.32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年度“三公”经费支出共计6.62万元，</w:t>
      </w:r>
      <w:r>
        <w:rPr>
          <w:rFonts w:hint="eastAsia" w:ascii="仿宋_GB2312" w:eastAsia="仿宋_GB2312" w:cs="DengXian-Regular"/>
          <w:bCs/>
          <w:sz w:val="32"/>
          <w:szCs w:val="32"/>
        </w:rPr>
        <w:t>较年初预算减少0.29万元，降低4.20</w:t>
      </w:r>
      <w:r>
        <w:rPr>
          <w:rFonts w:ascii="仿宋_GB2312" w:eastAsia="仿宋_GB2312" w:cs="DengXian-Regular"/>
          <w:bCs/>
          <w:sz w:val="32"/>
          <w:szCs w:val="32"/>
        </w:rPr>
        <w:t>%</w:t>
      </w:r>
      <w:r>
        <w:rPr>
          <w:rFonts w:hint="eastAsia" w:ascii="仿宋_GB2312" w:eastAsia="仿宋_GB2312" w:cs="DengXian-Regular"/>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5888;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无本单位组织的出国（境）团组。因公出国（境）费支出较年初预算增加0万元，增长0</w:t>
      </w:r>
      <w:r>
        <w:rPr>
          <w:rFonts w:ascii="仿宋_GB2312" w:eastAsia="仿宋_GB2312" w:cs="DengXian-Regular"/>
          <w:sz w:val="32"/>
          <w:szCs w:val="32"/>
        </w:rPr>
        <w:t>%</w:t>
      </w:r>
      <w:r>
        <w:rPr>
          <w:rFonts w:hint="eastAsia" w:ascii="仿宋_GB2312" w:eastAsia="仿宋_GB2312" w:cs="DengXian-Regular"/>
          <w:sz w:val="32"/>
          <w:szCs w:val="32"/>
        </w:rPr>
        <w:t>，</w:t>
      </w:r>
      <w:r>
        <w:rPr>
          <w:rFonts w:ascii="仿宋_GB2312" w:eastAsia="仿宋_GB2312" w:cs="DengXian-Regular"/>
          <w:sz w:val="32"/>
          <w:szCs w:val="32"/>
        </w:rPr>
        <w:t>未发生因公出国（</w:t>
      </w:r>
      <w:r>
        <w:rPr>
          <w:rFonts w:hint="eastAsia" w:ascii="仿宋_GB2312" w:eastAsia="仿宋_GB2312" w:cs="DengXian-Regular"/>
          <w:sz w:val="32"/>
          <w:szCs w:val="32"/>
        </w:rPr>
        <w:t>境</w:t>
      </w:r>
      <w:r>
        <w:rPr>
          <w:rFonts w:ascii="仿宋_GB2312" w:eastAsia="仿宋_GB2312" w:cs="DengXian-Regular"/>
          <w:sz w:val="32"/>
          <w:szCs w:val="32"/>
        </w:rPr>
        <w:t>）</w:t>
      </w:r>
      <w:r>
        <w:rPr>
          <w:rFonts w:hint="eastAsia" w:ascii="仿宋_GB2312" w:eastAsia="仿宋_GB2312" w:cs="DengXian-Regular"/>
          <w:sz w:val="32"/>
          <w:szCs w:val="32"/>
        </w:rPr>
        <w:t>费</w:t>
      </w:r>
      <w:r>
        <w:rPr>
          <w:rFonts w:ascii="仿宋_GB2312" w:eastAsia="仿宋_GB2312" w:cs="DengXian-Regular"/>
          <w:sz w:val="32"/>
          <w:szCs w:val="32"/>
        </w:rPr>
        <w:t>支出</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5.98</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ascii="仿宋_GB2312" w:eastAsia="仿宋_GB2312" w:cs="DengXian-Regular"/>
          <w:sz w:val="32"/>
          <w:szCs w:val="32"/>
        </w:rPr>
        <w:t>0.0</w:t>
      </w:r>
      <w:r>
        <w:rPr>
          <w:rFonts w:hint="eastAsia" w:ascii="仿宋_GB2312" w:eastAsia="仿宋_GB2312" w:cs="DengXian-Regular"/>
          <w:sz w:val="32"/>
          <w:szCs w:val="32"/>
        </w:rPr>
        <w:t>2万元，降低0.33</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w:t>
      </w:r>
      <w:r>
        <w:rPr>
          <w:rFonts w:ascii="仿宋_GB2312" w:eastAsia="仿宋_GB2312" w:cs="DengXian-Regular"/>
          <w:sz w:val="32"/>
          <w:szCs w:val="32"/>
        </w:rPr>
        <w:t>0</w:t>
      </w:r>
      <w:r>
        <w:rPr>
          <w:rFonts w:hint="eastAsia" w:ascii="仿宋_GB2312" w:eastAsia="仿宋_GB2312" w:cs="DengXian-Regular"/>
          <w:sz w:val="32"/>
          <w:szCs w:val="32"/>
        </w:rPr>
        <w:t>辆，发生“公务用车购置”经费支出</w:t>
      </w:r>
      <w:r>
        <w:rPr>
          <w:rFonts w:ascii="仿宋_GB2312" w:eastAsia="仿宋_GB2312" w:cs="DengXian-Regular"/>
          <w:sz w:val="32"/>
          <w:szCs w:val="32"/>
        </w:rPr>
        <w:t>0</w:t>
      </w:r>
      <w:r>
        <w:rPr>
          <w:rFonts w:hint="eastAsia" w:ascii="仿宋_GB2312" w:eastAsia="仿宋_GB2312" w:cs="DengXian-Regular"/>
          <w:sz w:val="32"/>
          <w:szCs w:val="32"/>
        </w:rPr>
        <w:t>万元。公务用车购置费支出较年初预算增加0万元，增长0</w:t>
      </w:r>
      <w:r>
        <w:rPr>
          <w:rFonts w:ascii="仿宋_GB2312" w:eastAsia="仿宋_GB2312" w:cs="DengXian-Regular"/>
          <w:sz w:val="32"/>
          <w:szCs w:val="32"/>
        </w:rPr>
        <w:t>%,</w:t>
      </w:r>
      <w:r>
        <w:rPr>
          <w:rFonts w:hint="eastAsia" w:ascii="仿宋_GB2312" w:eastAsia="仿宋_GB2312" w:cs="DengXian-Regular"/>
          <w:sz w:val="32"/>
          <w:szCs w:val="32"/>
        </w:rPr>
        <w:t>未发生公务用车</w:t>
      </w:r>
      <w:r>
        <w:rPr>
          <w:rFonts w:ascii="仿宋_GB2312" w:eastAsia="仿宋_GB2312" w:cs="DengXian-Regular"/>
          <w:sz w:val="32"/>
          <w:szCs w:val="32"/>
        </w:rPr>
        <w:t>购置经费支出</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ascii="仿宋_GB2312" w:eastAsia="仿宋_GB2312" w:cs="DengXian-Regular"/>
          <w:sz w:val="32"/>
          <w:szCs w:val="32"/>
        </w:rPr>
        <w:t>2</w:t>
      </w:r>
      <w:r>
        <w:rPr>
          <w:rFonts w:hint="eastAsia" w:ascii="仿宋_GB2312" w:eastAsia="仿宋_GB2312" w:cs="DengXian-Regular"/>
          <w:sz w:val="32"/>
          <w:szCs w:val="32"/>
        </w:rPr>
        <w:t>辆。公车运行维护费支出较年初预算减少0</w:t>
      </w:r>
      <w:r>
        <w:rPr>
          <w:rFonts w:ascii="仿宋_GB2312" w:eastAsia="仿宋_GB2312" w:cs="DengXian-Regular"/>
          <w:sz w:val="32"/>
          <w:szCs w:val="32"/>
        </w:rPr>
        <w:t>.0</w:t>
      </w:r>
      <w:r>
        <w:rPr>
          <w:rFonts w:hint="eastAsia" w:ascii="仿宋_GB2312" w:eastAsia="仿宋_GB2312" w:cs="DengXian-Regular"/>
          <w:sz w:val="32"/>
          <w:szCs w:val="32"/>
        </w:rPr>
        <w:t>0万元，降低0</w:t>
      </w:r>
      <w:r>
        <w:rPr>
          <w:rFonts w:ascii="仿宋_GB2312" w:eastAsia="仿宋_GB2312" w:cs="DengXian-Regular"/>
          <w:sz w:val="32"/>
          <w:szCs w:val="32"/>
        </w:rPr>
        <w:t>.</w:t>
      </w:r>
      <w:r>
        <w:rPr>
          <w:rFonts w:hint="eastAsia" w:ascii="仿宋_GB2312" w:eastAsia="仿宋_GB2312" w:cs="DengXian-Regular"/>
          <w:sz w:val="32"/>
          <w:szCs w:val="32"/>
        </w:rPr>
        <w:t>33</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0.64</w:t>
      </w:r>
      <w:r>
        <w:rPr>
          <w:rFonts w:hint="eastAsia" w:ascii="楷体_GB2312" w:eastAsia="楷体_GB2312" w:cs="DengXian-Bold"/>
          <w:b/>
          <w:bCs/>
          <w:sz w:val="32"/>
          <w:szCs w:val="32"/>
        </w:rPr>
        <w:t>万元。</w:t>
      </w:r>
      <w:r>
        <w:pict>
          <v:group id="_x0000_s1109" o:spid="_x0000_s1109" o:spt="203" style="position:absolute;left:0pt;margin-left:-79.5pt;margin-top:29.3pt;height:43.95pt;width:301.85pt;mso-position-vertical-relative:page;z-index:251686912;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年度公务接待共8批次、4</w:t>
      </w:r>
      <w:r>
        <w:rPr>
          <w:rFonts w:ascii="仿宋_GB2312" w:eastAsia="仿宋_GB2312" w:cs="DengXian-Regular"/>
          <w:sz w:val="32"/>
          <w:szCs w:val="32"/>
        </w:rPr>
        <w:t>0</w:t>
      </w:r>
      <w:r>
        <w:rPr>
          <w:rFonts w:hint="eastAsia" w:ascii="仿宋_GB2312" w:eastAsia="仿宋_GB2312" w:cs="DengXian-Regular"/>
          <w:sz w:val="32"/>
          <w:szCs w:val="32"/>
        </w:rPr>
        <w:t>人次。公务接待费支出较年初预算减少0.27万元，下降29.67</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ind w:firstLine="643" w:firstLineChars="200"/>
        <w:rPr>
          <w:rFonts w:hint="eastAsia"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监控结果。绩效目标实</w:t>
      </w:r>
      <w:r>
        <w:rPr>
          <w:rFonts w:hint="eastAsia" w:ascii="宋体" w:hAnsi="宋体" w:cs="宋体"/>
          <w:sz w:val="32"/>
          <w:szCs w:val="32"/>
        </w:rPr>
        <w:t>现</w:t>
      </w:r>
      <w:r>
        <w:rPr>
          <w:rFonts w:hint="eastAsia" w:ascii="仿宋_GB2312" w:hAnsi="仿宋_GB2312" w:eastAsia="仿宋_GB2312" w:cs="仿宋_GB2312"/>
          <w:sz w:val="32"/>
          <w:szCs w:val="32"/>
        </w:rPr>
        <w:t>程度</w:t>
      </w:r>
      <w:r>
        <w:rPr>
          <w:rFonts w:hint="eastAsia" w:ascii="宋体" w:hAnsi="宋体" w:cs="宋体"/>
          <w:sz w:val="32"/>
          <w:szCs w:val="32"/>
        </w:rPr>
        <w:t>达</w:t>
      </w:r>
      <w:r>
        <w:rPr>
          <w:rFonts w:hint="eastAsia" w:ascii="仿宋_GB2312" w:hAnsi="仿宋_GB2312" w:eastAsia="仿宋_GB2312" w:cs="仿宋_GB2312"/>
          <w:sz w:val="32"/>
          <w:szCs w:val="32"/>
        </w:rPr>
        <w:t>到100%以上的项目有21个。</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2018年</w:t>
      </w:r>
      <w:r>
        <w:rPr>
          <w:rFonts w:hint="eastAsia" w:ascii="宋体" w:hAnsi="宋体" w:cs="宋体"/>
          <w:sz w:val="32"/>
          <w:szCs w:val="32"/>
        </w:rPr>
        <w:t>底</w:t>
      </w:r>
      <w:r>
        <w:rPr>
          <w:rFonts w:hint="eastAsia" w:ascii="仿宋_GB2312" w:hAnsi="仿宋_GB2312" w:eastAsia="仿宋_GB2312" w:cs="仿宋_GB2312"/>
          <w:sz w:val="32"/>
          <w:szCs w:val="32"/>
        </w:rPr>
        <w:t>实</w:t>
      </w:r>
      <w:r>
        <w:rPr>
          <w:rFonts w:hint="eastAsia" w:ascii="宋体" w:hAnsi="宋体" w:cs="宋体"/>
          <w:sz w:val="32"/>
          <w:szCs w:val="32"/>
        </w:rPr>
        <w:t>现</w:t>
      </w:r>
      <w:r>
        <w:rPr>
          <w:rFonts w:hint="eastAsia" w:ascii="仿宋_GB2312" w:hAnsi="仿宋_GB2312" w:eastAsia="仿宋_GB2312" w:cs="仿宋_GB2312"/>
          <w:sz w:val="32"/>
          <w:szCs w:val="32"/>
        </w:rPr>
        <w:t>绩效目标的项目有</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7个，</w:t>
      </w:r>
      <w:r>
        <w:rPr>
          <w:rFonts w:hint="eastAsia" w:ascii="宋体" w:hAnsi="宋体" w:cs="宋体"/>
          <w:sz w:val="32"/>
          <w:szCs w:val="32"/>
        </w:rPr>
        <w:t>涉</w:t>
      </w:r>
      <w:r>
        <w:rPr>
          <w:rFonts w:hint="eastAsia" w:ascii="仿宋_GB2312" w:hAnsi="仿宋_GB2312" w:eastAsia="仿宋_GB2312" w:cs="仿宋_GB2312"/>
          <w:sz w:val="32"/>
          <w:szCs w:val="32"/>
        </w:rPr>
        <w:t>及资金5204.27万元具体统计表如下：</w:t>
      </w:r>
    </w:p>
    <w:tbl>
      <w:tblPr>
        <w:tblStyle w:val="12"/>
        <w:tblW w:w="8872" w:type="dxa"/>
        <w:tblInd w:w="93" w:type="dxa"/>
        <w:tblLayout w:type="fixed"/>
        <w:tblCellMar>
          <w:top w:w="0" w:type="dxa"/>
          <w:left w:w="108" w:type="dxa"/>
          <w:bottom w:w="0" w:type="dxa"/>
          <w:right w:w="108" w:type="dxa"/>
        </w:tblCellMar>
      </w:tblPr>
      <w:tblGrid>
        <w:gridCol w:w="765"/>
        <w:gridCol w:w="3367"/>
        <w:gridCol w:w="1200"/>
        <w:gridCol w:w="1215"/>
        <w:gridCol w:w="1215"/>
        <w:gridCol w:w="1110"/>
      </w:tblGrid>
      <w:tr>
        <w:tblPrEx>
          <w:tblCellMar>
            <w:top w:w="0" w:type="dxa"/>
            <w:left w:w="108" w:type="dxa"/>
            <w:bottom w:w="0" w:type="dxa"/>
            <w:right w:w="108" w:type="dxa"/>
          </w:tblCellMar>
        </w:tblPrEx>
        <w:trPr>
          <w:trHeight w:val="645" w:hRule="atLeast"/>
        </w:trPr>
        <w:tc>
          <w:tcPr>
            <w:tcW w:w="765"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序号</w:t>
            </w:r>
          </w:p>
        </w:tc>
        <w:tc>
          <w:tcPr>
            <w:tcW w:w="33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项目名称</w:t>
            </w:r>
          </w:p>
        </w:tc>
        <w:tc>
          <w:tcPr>
            <w:tcW w:w="12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资金数额（万元）</w:t>
            </w:r>
          </w:p>
        </w:tc>
        <w:tc>
          <w:tcPr>
            <w:tcW w:w="3540" w:type="dxa"/>
            <w:gridSpan w:val="3"/>
            <w:tcBorders>
              <w:top w:val="single" w:color="auto" w:sz="4" w:space="0"/>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65" w:type="dxa"/>
            <w:vMerge w:val="continue"/>
            <w:tcBorders>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3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cs="宋体"/>
                <w:color w:val="000000"/>
                <w:kern w:val="0"/>
                <w:sz w:val="22"/>
              </w:rPr>
            </w:pPr>
          </w:p>
        </w:tc>
        <w:tc>
          <w:tcPr>
            <w:tcW w:w="121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能实现</w:t>
            </w:r>
          </w:p>
        </w:tc>
        <w:tc>
          <w:tcPr>
            <w:tcW w:w="121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不能完全实现</w:t>
            </w:r>
          </w:p>
        </w:tc>
        <w:tc>
          <w:tcPr>
            <w:tcW w:w="1110"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765"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1</w:t>
            </w:r>
          </w:p>
        </w:tc>
        <w:tc>
          <w:tcPr>
            <w:tcW w:w="3367"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(综)西黄村土地预征款的请示</w:t>
            </w:r>
          </w:p>
        </w:tc>
        <w:tc>
          <w:tcPr>
            <w:tcW w:w="1200" w:type="dxa"/>
            <w:tcBorders>
              <w:top w:val="nil"/>
              <w:left w:val="nil"/>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557.44 </w:t>
            </w:r>
          </w:p>
        </w:tc>
        <w:tc>
          <w:tcPr>
            <w:tcW w:w="121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w:t>
            </w:r>
          </w:p>
        </w:tc>
        <w:tc>
          <w:tcPr>
            <w:tcW w:w="1215"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111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2</w:t>
            </w:r>
          </w:p>
        </w:tc>
        <w:tc>
          <w:tcPr>
            <w:tcW w:w="3367"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九五硼项目、深能西北郊电厂铁路专用线征迁占如期完成经费奖励</w:t>
            </w:r>
          </w:p>
        </w:tc>
        <w:tc>
          <w:tcPr>
            <w:tcW w:w="1200" w:type="dxa"/>
            <w:tcBorders>
              <w:top w:val="nil"/>
              <w:left w:val="nil"/>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1.50 </w:t>
            </w:r>
          </w:p>
        </w:tc>
        <w:tc>
          <w:tcPr>
            <w:tcW w:w="121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w:t>
            </w:r>
          </w:p>
        </w:tc>
        <w:tc>
          <w:tcPr>
            <w:tcW w:w="1215"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c>
          <w:tcPr>
            <w:tcW w:w="1110" w:type="dxa"/>
            <w:tcBorders>
              <w:top w:val="nil"/>
              <w:left w:val="nil"/>
              <w:bottom w:val="single" w:color="auto" w:sz="4" w:space="0"/>
              <w:right w:val="single" w:color="auto" w:sz="4" w:space="0"/>
            </w:tcBorders>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14" w:hRule="atLeast"/>
        </w:trPr>
        <w:tc>
          <w:tcPr>
            <w:tcW w:w="765" w:type="dxa"/>
            <w:tcBorders>
              <w:top w:val="nil"/>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3</w:t>
            </w:r>
          </w:p>
        </w:tc>
        <w:tc>
          <w:tcPr>
            <w:tcW w:w="3367"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"两楼“及外环占地补偿款</w:t>
            </w:r>
          </w:p>
        </w:tc>
        <w:tc>
          <w:tcPr>
            <w:tcW w:w="1200" w:type="dxa"/>
            <w:tcBorders>
              <w:top w:val="nil"/>
              <w:left w:val="nil"/>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24.73 </w:t>
            </w:r>
          </w:p>
        </w:tc>
        <w:tc>
          <w:tcPr>
            <w:tcW w:w="1215" w:type="dxa"/>
            <w:tcBorders>
              <w:top w:val="nil"/>
              <w:left w:val="nil"/>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hAnsi="宋体" w:cs="宋体"/>
                <w:color w:val="000000"/>
                <w:kern w:val="0"/>
                <w:sz w:val="22"/>
              </w:rPr>
              <w:t>√</w:t>
            </w:r>
          </w:p>
        </w:tc>
        <w:tc>
          <w:tcPr>
            <w:tcW w:w="1215"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c>
          <w:tcPr>
            <w:tcW w:w="1110" w:type="dxa"/>
            <w:tcBorders>
              <w:top w:val="nil"/>
              <w:left w:val="nil"/>
              <w:bottom w:val="single" w:color="auto" w:sz="4" w:space="0"/>
              <w:right w:val="single" w:color="auto" w:sz="4" w:space="0"/>
            </w:tcBorders>
            <w:vAlign w:val="center"/>
          </w:tcPr>
          <w:p>
            <w:pPr>
              <w:widowControl/>
              <w:jc w:val="left"/>
              <w:rPr>
                <w:rFonts w:ascii="宋体" w:cs="宋体"/>
                <w:color w:val="FF0000"/>
                <w:kern w:val="0"/>
                <w:sz w:val="22"/>
              </w:rPr>
            </w:pPr>
            <w:r>
              <w:rPr>
                <w:rFonts w:hint="eastAsia" w:ascii="宋体" w:hAnsi="宋体" w:cs="宋体"/>
                <w:color w:val="FF0000"/>
                <w:kern w:val="0"/>
                <w:sz w:val="22"/>
              </w:rPr>
              <w:t>　</w:t>
            </w: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4</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2018村级组织正常运转经费</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24.00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5</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(综)拨付前大留村和西黄村土地预征款</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4127.92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1-9月份大事实事如期完成项目经费奖励</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1.50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 xml:space="preserve">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外环路占地补偿</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12.20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8</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乡镇政府办公楼、马坊路占地补偿</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11.08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9</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拨付整治“散乱污”企业相关费用</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7.00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ind w:firstLine="440" w:firstLineChars="200"/>
              <w:jc w:val="left"/>
              <w:rPr>
                <w:rFonts w:ascii="宋体" w:hAnsi="宋体" w:cs="宋体"/>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拨付农村、河道垃圾清理费用</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78.00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拨付2016年度村村级组织活动场所建设剩余奖补资金</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5.00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拨付2017年景区正常离任村书记、村主任离任生活补贴资金</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1.50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13</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2018年要庄乡农民失地补贴</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255.92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14</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2017年农村保洁员工资补贴</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32.40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color w:val="000000"/>
                <w:kern w:val="0"/>
                <w:sz w:val="22"/>
              </w:rPr>
            </w:pPr>
            <w:r>
              <w:rPr>
                <w:rFonts w:hint="eastAsia" w:ascii="宋体" w:cs="宋体"/>
                <w:color w:val="000000"/>
                <w:kern w:val="0"/>
                <w:sz w:val="22"/>
              </w:rPr>
              <w:t>15</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乡镇中学占地补偿资金</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1.44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16</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基层组织运转和党建提升经费</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42.10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2"/>
              </w:rPr>
            </w:pPr>
            <w:r>
              <w:rPr>
                <w:rFonts w:hint="eastAsia" w:ascii="宋体" w:hAnsi="宋体" w:cs="宋体"/>
                <w:kern w:val="0"/>
                <w:sz w:val="22"/>
              </w:rPr>
              <w:t xml:space="preserve">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17</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(综)环保所专项建设资金</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5.00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r>
              <w:rPr>
                <w:rFonts w:ascii="宋体" w:hAnsi="宋体" w:cs="宋体"/>
                <w:color w:val="000000"/>
                <w:kern w:val="0"/>
                <w:sz w:val="22"/>
              </w:rPr>
              <w:t>8</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拨付驻京值班工作经费</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5.00 </w:t>
            </w:r>
          </w:p>
        </w:tc>
        <w:tc>
          <w:tcPr>
            <w:tcW w:w="1215"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宋体"/>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19</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维稳经费</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0.54 </w:t>
            </w:r>
          </w:p>
        </w:tc>
        <w:tc>
          <w:tcPr>
            <w:tcW w:w="1215"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宋体"/>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信访维稳经费</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5.00 </w:t>
            </w:r>
          </w:p>
        </w:tc>
        <w:tc>
          <w:tcPr>
            <w:tcW w:w="1215"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宋体"/>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21</w:t>
            </w:r>
          </w:p>
        </w:tc>
        <w:tc>
          <w:tcPr>
            <w:tcW w:w="336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大许城村拖欠工程款</w:t>
            </w:r>
          </w:p>
        </w:tc>
        <w:tc>
          <w:tcPr>
            <w:tcW w:w="1200" w:type="dxa"/>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cs="宋体"/>
                <w:kern w:val="0"/>
                <w:sz w:val="18"/>
                <w:szCs w:val="18"/>
              </w:rPr>
            </w:pPr>
            <w:r>
              <w:rPr>
                <w:rFonts w:hint="eastAsia" w:ascii="宋体" w:hAnsi="宋体" w:cs="宋体"/>
                <w:kern w:val="0"/>
                <w:sz w:val="18"/>
                <w:szCs w:val="18"/>
              </w:rPr>
              <w:t xml:space="preserve">5.00 </w:t>
            </w:r>
          </w:p>
        </w:tc>
        <w:tc>
          <w:tcPr>
            <w:tcW w:w="1215" w:type="dxa"/>
            <w:tcBorders>
              <w:top w:val="single" w:color="auto" w:sz="4" w:space="0"/>
              <w:left w:val="single" w:color="auto" w:sz="4" w:space="0"/>
              <w:bottom w:val="single" w:color="auto" w:sz="4" w:space="0"/>
              <w:right w:val="single" w:color="auto" w:sz="4" w:space="0"/>
            </w:tcBorders>
          </w:tcPr>
          <w:p>
            <w:pPr>
              <w:jc w:val="center"/>
            </w:pPr>
            <w:r>
              <w:rPr>
                <w:rFonts w:hint="eastAsia" w:ascii="宋体" w:hAnsi="宋体" w:cs="宋体"/>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r>
    </w:tbl>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3.不存在项目执行绩效与绩效目标发生</w:t>
      </w:r>
      <w:r>
        <w:rPr>
          <w:rFonts w:hint="eastAsia" w:ascii="宋体" w:hAnsi="宋体" w:cs="宋体"/>
          <w:sz w:val="32"/>
          <w:szCs w:val="32"/>
        </w:rPr>
        <w:t>偏</w:t>
      </w:r>
      <w:r>
        <w:rPr>
          <w:rFonts w:hint="eastAsia" w:ascii="仿宋_GB2312" w:hAnsi="仿宋_GB2312" w:eastAsia="仿宋_GB2312" w:cs="仿宋_GB2312"/>
          <w:sz w:val="32"/>
          <w:szCs w:val="32"/>
        </w:rPr>
        <w:t>离情况原因：年初预算数据较大，实际执行数据较小。</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 监控过程中采取的</w:t>
      </w:r>
      <w:r>
        <w:rPr>
          <w:rFonts w:hint="eastAsia" w:ascii="宋体" w:hAnsi="宋体" w:cs="宋体"/>
          <w:color w:val="000000" w:themeColor="text1"/>
          <w:sz w:val="32"/>
          <w:szCs w:val="32"/>
        </w:rPr>
        <w:t>整</w:t>
      </w:r>
      <w:r>
        <w:rPr>
          <w:rFonts w:hint="eastAsia" w:ascii="仿宋_GB2312" w:hAnsi="仿宋_GB2312" w:eastAsia="仿宋_GB2312" w:cs="仿宋_GB2312"/>
          <w:sz w:val="32"/>
          <w:szCs w:val="32"/>
        </w:rPr>
        <w:t>改</w:t>
      </w:r>
      <w:r>
        <w:rPr>
          <w:rFonts w:hint="eastAsia" w:ascii="宋体" w:hAnsi="宋体" w:cs="宋体"/>
          <w:sz w:val="32"/>
          <w:szCs w:val="32"/>
        </w:rPr>
        <w:t>措</w:t>
      </w:r>
      <w:r>
        <w:rPr>
          <w:rFonts w:hint="eastAsia" w:ascii="仿宋_GB2312" w:hAnsi="仿宋_GB2312" w:eastAsia="仿宋_GB2312" w:cs="仿宋_GB2312"/>
          <w:sz w:val="32"/>
          <w:szCs w:val="32"/>
        </w:rPr>
        <w:t>施及</w:t>
      </w:r>
      <w:r>
        <w:rPr>
          <w:rFonts w:hint="eastAsia" w:ascii="宋体" w:hAnsi="宋体" w:cs="宋体"/>
          <w:sz w:val="32"/>
          <w:szCs w:val="32"/>
        </w:rPr>
        <w:t>整</w:t>
      </w:r>
      <w:r>
        <w:rPr>
          <w:rFonts w:hint="eastAsia" w:ascii="仿宋_GB2312" w:hAnsi="仿宋_GB2312" w:eastAsia="仿宋_GB2312" w:cs="仿宋_GB2312"/>
          <w:sz w:val="32"/>
          <w:szCs w:val="32"/>
        </w:rPr>
        <w:t>改结果。</w:t>
      </w:r>
    </w:p>
    <w:p>
      <w:pPr>
        <w:ind w:firstLine="643" w:firstLineChars="200"/>
        <w:rPr>
          <w:rFonts w:hint="eastAsia" w:ascii="仿宋_GB2312" w:hAnsi="仿宋_GB2312" w:eastAsia="仿宋_GB2312" w:cs="仿宋_GB2312"/>
          <w:b/>
          <w:bCs/>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一是主动加强日常自行监控工作。按照预算绩效管理有关规定，对照项目绩效目标，对所</w:t>
      </w:r>
      <w:r>
        <w:rPr>
          <w:rFonts w:hint="eastAsia" w:ascii="宋体" w:hAnsi="宋体" w:cs="宋体"/>
          <w:sz w:val="32"/>
          <w:szCs w:val="32"/>
        </w:rPr>
        <w:t>负</w:t>
      </w:r>
      <w:r>
        <w:rPr>
          <w:rFonts w:hint="eastAsia" w:ascii="仿宋_GB2312" w:hAnsi="仿宋_GB2312" w:eastAsia="仿宋_GB2312" w:cs="仿宋_GB2312"/>
          <w:sz w:val="32"/>
          <w:szCs w:val="32"/>
        </w:rPr>
        <w:t>责项目的执行过程以及资金使用和管理情况进行跟踪监控，及时掌握项目绩效目标的完成情况、项目实施进程和资金支出进度，对于绩效目标执行正常项目，提出下一步保障目标实现的具体措施；对于执行出现偏差的项目，结合原因分析，提出整改措施；对于预计年底无法实现的项目，提出调整意见；对于执行中出现重大问题的，提出绩效问责处理意见。</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是积极配合上级财政部门的重点监控工作。对上级财政部门进行的绩效跟踪管理，进行数据收集、整理工作，撰写监控报告，按要求上报，及时反应监控中的有关问题，加强与上级财政部门的沟通、协调和联系，密切配合，共同促进该项工作规范、有序、顺利开展。</w:t>
      </w:r>
    </w:p>
    <w:p>
      <w:pPr>
        <w:ind w:firstLine="640" w:firstLineChars="200"/>
        <w:rPr>
          <w:rFonts w:eastAsia="方正仿宋_GBK"/>
          <w:sz w:val="32"/>
          <w:szCs w:val="32"/>
        </w:rPr>
      </w:pP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（三）重点项目绩效评价结果。</w:t>
      </w:r>
    </w:p>
    <w:p>
      <w:pPr>
        <w:rPr>
          <w:rFonts w:eastAsia="仿宋_GB2312"/>
        </w:rPr>
      </w:pPr>
      <w:r>
        <w:rPr>
          <w:rFonts w:hint="eastAsia" w:ascii="仿宋_GB2312" w:eastAsia="仿宋_GB2312" w:cs="DengXian-Regular"/>
          <w:sz w:val="32"/>
          <w:szCs w:val="32"/>
        </w:rPr>
        <w:t xml:space="preserve">      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年度机关运行经费支出64.32万元，比年初预算数增加17.68万元，增长37.91</w:t>
      </w:r>
      <w:r>
        <w:rPr>
          <w:rFonts w:ascii="仿宋_GB2312" w:eastAsia="仿宋_GB2312" w:cs="DengXian-Regular"/>
          <w:sz w:val="32"/>
          <w:szCs w:val="32"/>
        </w:rPr>
        <w:t>%</w:t>
      </w:r>
      <w:r>
        <w:rPr>
          <w:rFonts w:hint="eastAsia" w:ascii="仿宋_GB2312" w:eastAsia="仿宋_GB2312" w:cs="DengXian-Regular"/>
          <w:sz w:val="32"/>
          <w:szCs w:val="32"/>
        </w:rPr>
        <w:t>。主要原因是增加了办公楼以及办公设备等的维修、维护费等。</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000000"/>
          <w:kern w:val="0"/>
          <w:sz w:val="32"/>
          <w:szCs w:val="32"/>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w:t>
      </w:r>
      <w:r>
        <w:rPr>
          <w:rFonts w:hint="eastAsia" w:ascii="仿宋_GB2312" w:eastAsia="仿宋_GB2312" w:cs="DengXian-Regular"/>
          <w:b w:val="0"/>
          <w:bCs w:val="0"/>
          <w:sz w:val="32"/>
          <w:szCs w:val="32"/>
          <w:lang w:val="en-US" w:eastAsia="zh-CN"/>
        </w:rPr>
        <w:t>8</w:t>
      </w:r>
      <w:r>
        <w:rPr>
          <w:rFonts w:hint="eastAsia" w:ascii="仿宋_GB2312" w:hAnsi="Times New Roman" w:eastAsia="仿宋_GB2312" w:cs="DengXian-Regular"/>
          <w:b w:val="0"/>
          <w:bCs w:val="0"/>
          <w:sz w:val="32"/>
          <w:szCs w:val="32"/>
        </w:rPr>
        <w:t>年度政府采购支出总额</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ascii="仿宋_GB2312" w:eastAsia="仿宋_GB2312" w:cs="DengXian-Regular"/>
          <w:sz w:val="32"/>
          <w:szCs w:val="32"/>
        </w:rPr>
        <w:t>2</w:t>
      </w:r>
      <w:r>
        <w:rPr>
          <w:rFonts w:hint="eastAsia" w:ascii="仿宋_GB2312" w:eastAsia="仿宋_GB2312" w:cs="DengXian-Regular"/>
          <w:sz w:val="32"/>
          <w:szCs w:val="32"/>
        </w:rPr>
        <w:t>辆，比上年增加0辆，与2017年</w:t>
      </w:r>
      <w:r>
        <w:rPr>
          <w:rFonts w:ascii="仿宋_GB2312" w:eastAsia="仿宋_GB2312" w:cs="DengXian-Regular"/>
          <w:sz w:val="32"/>
          <w:szCs w:val="32"/>
        </w:rPr>
        <w:t>决算数据持平</w:t>
      </w:r>
      <w:r>
        <w:rPr>
          <w:rFonts w:hint="eastAsia" w:ascii="仿宋_GB2312" w:eastAsia="仿宋_GB2312" w:cs="DengXian-Regular"/>
          <w:sz w:val="32"/>
          <w:szCs w:val="32"/>
        </w:rPr>
        <w:t>。其中，副部（省）级及以上领导用车</w:t>
      </w:r>
      <w:r>
        <w:rPr>
          <w:rFonts w:ascii="仿宋_GB2312" w:eastAsia="仿宋_GB2312" w:cs="DengXian-Regular"/>
          <w:sz w:val="32"/>
          <w:szCs w:val="32"/>
        </w:rPr>
        <w:t>0</w:t>
      </w:r>
      <w:r>
        <w:rPr>
          <w:rFonts w:hint="eastAsia" w:ascii="仿宋_GB2312" w:eastAsia="仿宋_GB2312" w:cs="DengXian-Regular"/>
          <w:sz w:val="32"/>
          <w:szCs w:val="32"/>
        </w:rPr>
        <w:t>辆，主要领导干部用车</w:t>
      </w:r>
      <w:r>
        <w:rPr>
          <w:rFonts w:ascii="仿宋_GB2312" w:eastAsia="仿宋_GB2312" w:cs="DengXian-Regular"/>
          <w:sz w:val="32"/>
          <w:szCs w:val="32"/>
        </w:rPr>
        <w:t>0</w:t>
      </w:r>
      <w:r>
        <w:rPr>
          <w:rFonts w:hint="eastAsia" w:ascii="仿宋_GB2312" w:eastAsia="仿宋_GB2312" w:cs="DengXian-Regular"/>
          <w:sz w:val="32"/>
          <w:szCs w:val="32"/>
        </w:rPr>
        <w:t>辆，机要通信用车</w:t>
      </w:r>
      <w:r>
        <w:rPr>
          <w:rFonts w:ascii="仿宋_GB2312" w:eastAsia="仿宋_GB2312" w:cs="DengXian-Regular"/>
          <w:sz w:val="32"/>
          <w:szCs w:val="32"/>
        </w:rPr>
        <w:t>0</w:t>
      </w:r>
      <w:r>
        <w:rPr>
          <w:rFonts w:hint="eastAsia" w:ascii="仿宋_GB2312" w:eastAsia="仿宋_GB2312" w:cs="DengXian-Regular"/>
          <w:sz w:val="32"/>
          <w:szCs w:val="32"/>
        </w:rPr>
        <w:t>辆，应急保障用车</w:t>
      </w:r>
      <w:r>
        <w:rPr>
          <w:rFonts w:ascii="仿宋_GB2312" w:eastAsia="仿宋_GB2312" w:cs="DengXian-Regular"/>
          <w:sz w:val="32"/>
          <w:szCs w:val="32"/>
        </w:rPr>
        <w:t>0</w:t>
      </w:r>
      <w:r>
        <w:rPr>
          <w:rFonts w:hint="eastAsia" w:ascii="仿宋_GB2312" w:eastAsia="仿宋_GB2312" w:cs="DengXian-Regular"/>
          <w:sz w:val="32"/>
          <w:szCs w:val="32"/>
        </w:rPr>
        <w:t>辆，执法执勤用车</w:t>
      </w:r>
      <w:r>
        <w:rPr>
          <w:rFonts w:ascii="仿宋_GB2312" w:eastAsia="仿宋_GB2312" w:cs="DengXian-Regular"/>
          <w:sz w:val="32"/>
          <w:szCs w:val="32"/>
        </w:rPr>
        <w:t>0</w:t>
      </w:r>
      <w:r>
        <w:rPr>
          <w:rFonts w:hint="eastAsia" w:ascii="仿宋_GB2312" w:eastAsia="仿宋_GB2312" w:cs="DengXian-Regular"/>
          <w:sz w:val="32"/>
          <w:szCs w:val="32"/>
        </w:rPr>
        <w:t>辆，特种专业技术用车</w:t>
      </w:r>
      <w:r>
        <w:rPr>
          <w:rFonts w:ascii="仿宋_GB2312" w:eastAsia="仿宋_GB2312" w:cs="DengXian-Regular"/>
          <w:sz w:val="32"/>
          <w:szCs w:val="32"/>
        </w:rPr>
        <w:t>0</w:t>
      </w:r>
      <w:r>
        <w:rPr>
          <w:rFonts w:hint="eastAsia" w:ascii="仿宋_GB2312" w:eastAsia="仿宋_GB2312" w:cs="DengXian-Regular"/>
          <w:sz w:val="32"/>
          <w:szCs w:val="32"/>
        </w:rPr>
        <w:t>辆，离退休干部用车</w:t>
      </w:r>
      <w:r>
        <w:rPr>
          <w:rFonts w:ascii="仿宋_GB2312" w:eastAsia="仿宋_GB2312" w:cs="DengXian-Regular"/>
          <w:sz w:val="32"/>
          <w:szCs w:val="32"/>
        </w:rPr>
        <w:t>0</w:t>
      </w:r>
      <w:r>
        <w:rPr>
          <w:rFonts w:hint="eastAsia" w:ascii="仿宋_GB2312" w:eastAsia="仿宋_GB2312" w:cs="DengXian-Regular"/>
          <w:sz w:val="32"/>
          <w:szCs w:val="32"/>
        </w:rPr>
        <w:t>辆，其他用车</w:t>
      </w:r>
      <w:r>
        <w:rPr>
          <w:rFonts w:ascii="仿宋_GB2312" w:eastAsia="仿宋_GB2312" w:cs="DengXian-Regular"/>
          <w:sz w:val="32"/>
          <w:szCs w:val="32"/>
        </w:rPr>
        <w:t>2</w:t>
      </w:r>
      <w:r>
        <w:rPr>
          <w:rFonts w:hint="eastAsia" w:ascii="仿宋_GB2312" w:eastAsia="仿宋_GB2312" w:cs="DengXian-Regular"/>
          <w:sz w:val="32"/>
          <w:szCs w:val="32"/>
        </w:rPr>
        <w:t>辆，其他用车主要是防火</w:t>
      </w:r>
      <w:r>
        <w:rPr>
          <w:rFonts w:hint="eastAsia" w:ascii="宋体" w:hAnsi="宋体" w:cs="宋体"/>
          <w:sz w:val="32"/>
          <w:szCs w:val="32"/>
        </w:rPr>
        <w:t>巡查</w:t>
      </w:r>
      <w:r>
        <w:rPr>
          <w:rFonts w:ascii="宋体" w:hAnsi="宋体" w:cs="宋体"/>
          <w:sz w:val="32"/>
          <w:szCs w:val="32"/>
        </w:rPr>
        <w:t>车</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万元以上通用设备0台（套），比上年增加0套，与2017年</w:t>
      </w:r>
      <w:r>
        <w:rPr>
          <w:rFonts w:ascii="仿宋_GB2312" w:eastAsia="仿宋_GB2312" w:cs="DengXian-Regular"/>
          <w:sz w:val="32"/>
          <w:szCs w:val="32"/>
        </w:rPr>
        <w:t>决算数据持平</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ascii="仿宋_GB2312" w:eastAsia="仿宋_GB2312" w:cs="DengXian-Regular"/>
          <w:sz w:val="32"/>
          <w:szCs w:val="32"/>
        </w:rPr>
        <w:t>0</w:t>
      </w:r>
      <w:r>
        <w:rPr>
          <w:rFonts w:hint="eastAsia" w:ascii="仿宋_GB2312" w:eastAsia="仿宋_GB2312" w:cs="DengXian-Regular"/>
          <w:sz w:val="32"/>
          <w:szCs w:val="32"/>
        </w:rPr>
        <w:t>台（套）比上年增加0套，主要是无政府采购预算。。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年度“国有资本经营预算财政拨款支出决算表”和“政府采购情况表”无收支及结转结余情况，故比公开09、10表以空表列示。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7936;mso-width-relative:page;mso-height-relative:page;" coordorigin="4551,52615" coordsize="8546,1398">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8960;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89984;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29"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8"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AA366C4-3E4D-47E6-AB40-E6A73F9E97E8}"/>
  </w:font>
  <w:font w:name="Arial">
    <w:panose1 w:val="020B0604020202020204"/>
    <w:charset w:val="01"/>
    <w:family w:val="swiss"/>
    <w:pitch w:val="default"/>
    <w:sig w:usb0="E0002AFF" w:usb1="C0007843" w:usb2="00000009" w:usb3="00000000" w:csb0="400001FF" w:csb1="FFFF0000"/>
    <w:embedRegular r:id="rId2" w:fontKey="{40E8FCC4-4A1D-42CD-A2E0-1E15A3996215}"/>
  </w:font>
  <w:font w:name="黑体">
    <w:panose1 w:val="02010609060101010101"/>
    <w:charset w:val="86"/>
    <w:family w:val="auto"/>
    <w:pitch w:val="default"/>
    <w:sig w:usb0="800002BF" w:usb1="38CF7CFA" w:usb2="00000016" w:usb3="00000000" w:csb0="00040001" w:csb1="00000000"/>
    <w:embedRegular r:id="rId3" w:fontKey="{944F9E97-FC4D-4FB6-8A73-9B09FA81DA5D}"/>
  </w:font>
  <w:font w:name="Courier New">
    <w:panose1 w:val="02070309020205020404"/>
    <w:charset w:val="01"/>
    <w:family w:val="modern"/>
    <w:pitch w:val="default"/>
    <w:sig w:usb0="E0002AFF" w:usb1="C0007843" w:usb2="00000009" w:usb3="00000000" w:csb0="400001FF" w:csb1="FFFF0000"/>
    <w:embedRegular r:id="rId4" w:fontKey="{62691216-3E98-47BD-A6A0-9290B1B96F2A}"/>
  </w:font>
  <w:font w:name="Symbol">
    <w:panose1 w:val="05050102010706020507"/>
    <w:charset w:val="02"/>
    <w:family w:val="roman"/>
    <w:pitch w:val="default"/>
    <w:sig w:usb0="00000000" w:usb1="00000000" w:usb2="00000000" w:usb3="00000000" w:csb0="80000000" w:csb1="00000000"/>
    <w:embedRegular r:id="rId5" w:fontKey="{956E79D6-20B1-4ECD-A866-EAB852891CAD}"/>
  </w:font>
  <w:font w:name="Calibri">
    <w:panose1 w:val="020F0502020204030204"/>
    <w:charset w:val="00"/>
    <w:family w:val="swiss"/>
    <w:pitch w:val="default"/>
    <w:sig w:usb0="E00002FF" w:usb1="4000ACFF" w:usb2="00000001" w:usb3="00000000" w:csb0="2000019F" w:csb1="00000000"/>
    <w:embedRegular r:id="rId6" w:fontKey="{A33103C8-E344-482B-89E2-284B6F354DD2}"/>
  </w:font>
  <w:font w:name="Cambria">
    <w:panose1 w:val="02040503050406030204"/>
    <w:charset w:val="00"/>
    <w:family w:val="roman"/>
    <w:pitch w:val="default"/>
    <w:sig w:usb0="E00002FF" w:usb1="400004FF" w:usb2="00000000" w:usb3="00000000" w:csb0="2000019F" w:csb1="00000000"/>
    <w:embedRegular r:id="rId7" w:fontKey="{CBD0941F-731E-49AC-81E0-CCA162378C3F}"/>
  </w:font>
  <w:font w:name="楷体">
    <w:panose1 w:val="02010609060101010101"/>
    <w:charset w:val="86"/>
    <w:family w:val="modern"/>
    <w:pitch w:val="default"/>
    <w:sig w:usb0="800002BF" w:usb1="38CF7CFA" w:usb2="00000016" w:usb3="00000000" w:csb0="00040001" w:csb1="00000000"/>
    <w:embedRegular r:id="rId8" w:fontKey="{C5CF8F4D-DCBE-46B3-8B7E-EE15E2B57366}"/>
  </w:font>
  <w:font w:name="仿宋_GB2312">
    <w:altName w:val="仿宋"/>
    <w:panose1 w:val="00000000000000000000"/>
    <w:charset w:val="86"/>
    <w:family w:val="modern"/>
    <w:pitch w:val="default"/>
    <w:sig w:usb0="00000000" w:usb1="00000000" w:usb2="00000010" w:usb3="00000000" w:csb0="00040000" w:csb1="00000000"/>
    <w:embedRegular r:id="rId9" w:fontKey="{231EBF6D-5334-475D-906A-AB29756B5077}"/>
  </w:font>
  <w:font w:name="仿宋">
    <w:panose1 w:val="02010609060101010101"/>
    <w:charset w:val="86"/>
    <w:family w:val="auto"/>
    <w:pitch w:val="default"/>
    <w:sig w:usb0="800002BF" w:usb1="38CF7CFA" w:usb2="00000016" w:usb3="00000000" w:csb0="00040001" w:csb1="00000000"/>
    <w:embedRegular r:id="rId10" w:fontKey="{CB064436-C001-4DF8-BF89-1797E91FFF8B}"/>
  </w:font>
  <w:font w:name="MS Gothic">
    <w:panose1 w:val="020B0609070205080204"/>
    <w:charset w:val="80"/>
    <w:family w:val="modern"/>
    <w:pitch w:val="default"/>
    <w:sig w:usb0="E00002FF" w:usb1="6AC7FDFB" w:usb2="00000012" w:usb3="00000000" w:csb0="4002009F" w:csb1="DFD70000"/>
    <w:embedRegular r:id="rId11" w:fontKey="{F9BB13A1-9064-44E8-88E1-9E5261BBC426}"/>
  </w:font>
  <w:font w:name="ArialUnicodeMS">
    <w:altName w:val="Malgun Gothic"/>
    <w:panose1 w:val="00000000000000000000"/>
    <w:charset w:val="81"/>
    <w:family w:val="auto"/>
    <w:pitch w:val="default"/>
    <w:sig w:usb0="00000000" w:usb1="00000000" w:usb2="00000010" w:usb3="00000000" w:csb0="00080000" w:csb1="00000000"/>
    <w:embedRegular r:id="rId12" w:fontKey="{7D030D8B-0149-4117-9CE4-7A0DC2B9BC90}"/>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B292C52D-29FE-4BBC-9CAE-9482BFFABE08}"/>
  </w:font>
  <w:font w:name="DengXian-Regular">
    <w:altName w:val="宋体"/>
    <w:panose1 w:val="00000000000000000000"/>
    <w:charset w:val="86"/>
    <w:family w:val="auto"/>
    <w:pitch w:val="default"/>
    <w:sig w:usb0="00000000" w:usb1="00000000" w:usb2="00000010" w:usb3="00000000" w:csb0="00040000" w:csb1="00000000"/>
    <w:embedRegular r:id="rId14" w:fontKey="{00813D53-7B28-44D6-82B9-1BEAE8FB4841}"/>
  </w:font>
  <w:font w:name="楷体_GB2312">
    <w:altName w:val="楷体"/>
    <w:panose1 w:val="00000000000000000000"/>
    <w:charset w:val="86"/>
    <w:family w:val="modern"/>
    <w:pitch w:val="default"/>
    <w:sig w:usb0="00000000" w:usb1="00000000" w:usb2="00000010" w:usb3="00000000" w:csb0="00040000" w:csb1="00000000"/>
    <w:embedRegular r:id="rId15" w:fontKey="{6904CA23-7213-4374-96E5-8E0D276DA577}"/>
  </w:font>
  <w:font w:name="DengXian-Bold">
    <w:altName w:val="宋体"/>
    <w:panose1 w:val="00000000000000000000"/>
    <w:charset w:val="86"/>
    <w:family w:val="auto"/>
    <w:pitch w:val="default"/>
    <w:sig w:usb0="00000000" w:usb1="00000000" w:usb2="00000010" w:usb3="00000000" w:csb0="00040000" w:csb1="00000000"/>
    <w:embedRegular r:id="rId16" w:fontKey="{ED25229D-9913-4748-8CD1-D6A3728B847C}"/>
  </w:font>
  <w:font w:name="方正仿宋_GBK">
    <w:altName w:val="宋体"/>
    <w:panose1 w:val="00000000000000000000"/>
    <w:charset w:val="86"/>
    <w:family w:val="script"/>
    <w:pitch w:val="default"/>
    <w:sig w:usb0="00000000" w:usb1="00000000" w:usb2="00000010" w:usb3="00000000" w:csb0="00040000" w:csb1="00000000"/>
    <w:embedRegular r:id="rId17" w:fontKey="{D5B977B3-7F2F-4CE0-B71C-EEE36BC3978E}"/>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C1413"/>
    <w:rsid w:val="000002C5"/>
    <w:rsid w:val="00024E7F"/>
    <w:rsid w:val="000475A0"/>
    <w:rsid w:val="00060C69"/>
    <w:rsid w:val="0006242B"/>
    <w:rsid w:val="000838C3"/>
    <w:rsid w:val="000B2446"/>
    <w:rsid w:val="000D7C65"/>
    <w:rsid w:val="000E2F81"/>
    <w:rsid w:val="00106ADA"/>
    <w:rsid w:val="00117946"/>
    <w:rsid w:val="00117E2C"/>
    <w:rsid w:val="00146C47"/>
    <w:rsid w:val="00152FB8"/>
    <w:rsid w:val="00176658"/>
    <w:rsid w:val="0018239E"/>
    <w:rsid w:val="001A271A"/>
    <w:rsid w:val="001A29BD"/>
    <w:rsid w:val="001A556B"/>
    <w:rsid w:val="001B3410"/>
    <w:rsid w:val="001C030D"/>
    <w:rsid w:val="001C0B05"/>
    <w:rsid w:val="001C4719"/>
    <w:rsid w:val="001C4A84"/>
    <w:rsid w:val="001E5902"/>
    <w:rsid w:val="002138B9"/>
    <w:rsid w:val="00233705"/>
    <w:rsid w:val="002455AB"/>
    <w:rsid w:val="002743CE"/>
    <w:rsid w:val="00275CA2"/>
    <w:rsid w:val="002A65A5"/>
    <w:rsid w:val="002C04C4"/>
    <w:rsid w:val="002D08B0"/>
    <w:rsid w:val="002D1AE3"/>
    <w:rsid w:val="002F2ECE"/>
    <w:rsid w:val="00324671"/>
    <w:rsid w:val="00341C8F"/>
    <w:rsid w:val="0035463A"/>
    <w:rsid w:val="00391D9D"/>
    <w:rsid w:val="003B44B3"/>
    <w:rsid w:val="003B6C51"/>
    <w:rsid w:val="003C1413"/>
    <w:rsid w:val="003C549F"/>
    <w:rsid w:val="003D5A16"/>
    <w:rsid w:val="003E7DB3"/>
    <w:rsid w:val="00411122"/>
    <w:rsid w:val="00431175"/>
    <w:rsid w:val="004B6E37"/>
    <w:rsid w:val="004C32BA"/>
    <w:rsid w:val="005101C4"/>
    <w:rsid w:val="00575922"/>
    <w:rsid w:val="005A6C90"/>
    <w:rsid w:val="005E3FB0"/>
    <w:rsid w:val="005F4B66"/>
    <w:rsid w:val="005F5208"/>
    <w:rsid w:val="00602FBE"/>
    <w:rsid w:val="00623803"/>
    <w:rsid w:val="00641318"/>
    <w:rsid w:val="0064405D"/>
    <w:rsid w:val="00661353"/>
    <w:rsid w:val="006700FA"/>
    <w:rsid w:val="00686100"/>
    <w:rsid w:val="00687601"/>
    <w:rsid w:val="00695557"/>
    <w:rsid w:val="006B4618"/>
    <w:rsid w:val="006D4EA7"/>
    <w:rsid w:val="0070012A"/>
    <w:rsid w:val="00702E44"/>
    <w:rsid w:val="0070664B"/>
    <w:rsid w:val="007071B8"/>
    <w:rsid w:val="007414DE"/>
    <w:rsid w:val="007509D8"/>
    <w:rsid w:val="007905A9"/>
    <w:rsid w:val="007B0E8E"/>
    <w:rsid w:val="007E5500"/>
    <w:rsid w:val="007F055B"/>
    <w:rsid w:val="0080470B"/>
    <w:rsid w:val="00811C2F"/>
    <w:rsid w:val="008123B6"/>
    <w:rsid w:val="00833D46"/>
    <w:rsid w:val="00840A97"/>
    <w:rsid w:val="008C0149"/>
    <w:rsid w:val="008C19F5"/>
    <w:rsid w:val="008D5DED"/>
    <w:rsid w:val="008E25CA"/>
    <w:rsid w:val="008F34FC"/>
    <w:rsid w:val="00922643"/>
    <w:rsid w:val="00937AB5"/>
    <w:rsid w:val="00944CD7"/>
    <w:rsid w:val="009831B2"/>
    <w:rsid w:val="009A1ABE"/>
    <w:rsid w:val="009E21A4"/>
    <w:rsid w:val="009F22C6"/>
    <w:rsid w:val="00A07E50"/>
    <w:rsid w:val="00A15397"/>
    <w:rsid w:val="00A35CE0"/>
    <w:rsid w:val="00A4462E"/>
    <w:rsid w:val="00A44AA4"/>
    <w:rsid w:val="00A61623"/>
    <w:rsid w:val="00A84687"/>
    <w:rsid w:val="00AB0A0E"/>
    <w:rsid w:val="00AC33A9"/>
    <w:rsid w:val="00AD3B6E"/>
    <w:rsid w:val="00B1751F"/>
    <w:rsid w:val="00B32465"/>
    <w:rsid w:val="00B3300C"/>
    <w:rsid w:val="00B56722"/>
    <w:rsid w:val="00B650B2"/>
    <w:rsid w:val="00B74B5B"/>
    <w:rsid w:val="00B74D39"/>
    <w:rsid w:val="00B91DA4"/>
    <w:rsid w:val="00BC4E7B"/>
    <w:rsid w:val="00C12630"/>
    <w:rsid w:val="00C32115"/>
    <w:rsid w:val="00C34562"/>
    <w:rsid w:val="00C3774E"/>
    <w:rsid w:val="00C57456"/>
    <w:rsid w:val="00C65387"/>
    <w:rsid w:val="00C77C9A"/>
    <w:rsid w:val="00C87FAB"/>
    <w:rsid w:val="00C91FF7"/>
    <w:rsid w:val="00C94E53"/>
    <w:rsid w:val="00CC46BD"/>
    <w:rsid w:val="00D0048E"/>
    <w:rsid w:val="00D100DA"/>
    <w:rsid w:val="00D23E7A"/>
    <w:rsid w:val="00D334E3"/>
    <w:rsid w:val="00D37FEA"/>
    <w:rsid w:val="00D61063"/>
    <w:rsid w:val="00DA157D"/>
    <w:rsid w:val="00DB35AF"/>
    <w:rsid w:val="00DC0530"/>
    <w:rsid w:val="00DD72D7"/>
    <w:rsid w:val="00DF46A9"/>
    <w:rsid w:val="00DF5B88"/>
    <w:rsid w:val="00DF610D"/>
    <w:rsid w:val="00E0589E"/>
    <w:rsid w:val="00E241FA"/>
    <w:rsid w:val="00E2595E"/>
    <w:rsid w:val="00E35374"/>
    <w:rsid w:val="00E374DB"/>
    <w:rsid w:val="00E50C19"/>
    <w:rsid w:val="00E64655"/>
    <w:rsid w:val="00E73081"/>
    <w:rsid w:val="00E856C9"/>
    <w:rsid w:val="00E92CB5"/>
    <w:rsid w:val="00EB6A8B"/>
    <w:rsid w:val="00EF38C6"/>
    <w:rsid w:val="00F523B0"/>
    <w:rsid w:val="00F679C7"/>
    <w:rsid w:val="00F7711A"/>
    <w:rsid w:val="00FA0D58"/>
    <w:rsid w:val="00FA56F4"/>
    <w:rsid w:val="00FB4EDA"/>
    <w:rsid w:val="00FC4766"/>
    <w:rsid w:val="00FD3BD5"/>
    <w:rsid w:val="00FD4B48"/>
    <w:rsid w:val="00FE3DC8"/>
    <w:rsid w:val="04073F84"/>
    <w:rsid w:val="051B2250"/>
    <w:rsid w:val="0B60750A"/>
    <w:rsid w:val="0E170F21"/>
    <w:rsid w:val="10686488"/>
    <w:rsid w:val="10DF728A"/>
    <w:rsid w:val="1264200E"/>
    <w:rsid w:val="141C5B77"/>
    <w:rsid w:val="1786375E"/>
    <w:rsid w:val="18D8339D"/>
    <w:rsid w:val="1A21388F"/>
    <w:rsid w:val="1A570D2F"/>
    <w:rsid w:val="1CD409A2"/>
    <w:rsid w:val="28FB0B8D"/>
    <w:rsid w:val="2D2B7942"/>
    <w:rsid w:val="2D46481D"/>
    <w:rsid w:val="2E733B28"/>
    <w:rsid w:val="2FCD0F68"/>
    <w:rsid w:val="31852B5A"/>
    <w:rsid w:val="32D01238"/>
    <w:rsid w:val="365C0994"/>
    <w:rsid w:val="3744471A"/>
    <w:rsid w:val="3DFC59A8"/>
    <w:rsid w:val="3ECF245E"/>
    <w:rsid w:val="3FB96314"/>
    <w:rsid w:val="3FBE2618"/>
    <w:rsid w:val="53A44FAF"/>
    <w:rsid w:val="594329EC"/>
    <w:rsid w:val="5BEE1540"/>
    <w:rsid w:val="5BFD05F0"/>
    <w:rsid w:val="5DE61A5D"/>
    <w:rsid w:val="60B5100C"/>
    <w:rsid w:val="63C04243"/>
    <w:rsid w:val="649C01C7"/>
    <w:rsid w:val="699A3F60"/>
    <w:rsid w:val="717661BE"/>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51</Pages>
  <Words>2210</Words>
  <Characters>12598</Characters>
  <Lines>104</Lines>
  <Paragraphs>29</Paragraphs>
  <TotalTime>2</TotalTime>
  <ScaleCrop>false</ScaleCrop>
  <LinksUpToDate>false</LinksUpToDate>
  <CharactersWithSpaces>14779</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adizuo</cp:lastModifiedBy>
  <cp:lastPrinted>2019-08-02T01:01:00Z</cp:lastPrinted>
  <dcterms:modified xsi:type="dcterms:W3CDTF">2022-03-12T01:12:03Z</dcterms:modified>
  <dc:subject>石家庄市xxx部门</dc:subject>
  <dc:title>2017年度部门决算</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FDCCAFA234854DD0AA795C9F1AA21B2A</vt:lpwstr>
  </property>
</Properties>
</file>