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56"/>
          <w:szCs w:val="72"/>
          <w:lang w:eastAsia="zh-CN"/>
        </w:rPr>
      </w:pPr>
      <w:bookmarkStart w:id="0" w:name="_GoBack"/>
      <w:bookmarkEnd w:id="0"/>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r>
        <w:pict>
          <v:shape id="椭圆 9" o:spid="_x0000_s1026" o:spt="3" type="#_x0000_t3" style="position:absolute;left:0pt;margin-left:-247.55pt;margin-top:23.4pt;height:103.45pt;width:103.45pt;z-index:251661312;v-text-anchor:middle;mso-width-relative:page;mso-height-relative:page;" fillcolor="#1F2959" filled="t" stroked="f" coordsize="21600,21600">
            <v:path/>
            <v:fill on="t" focussize="0,0"/>
            <v:stroke on="f" weight="1pt" joinstyle="miter"/>
            <v:imagedata o:title=""/>
            <o:lock v:ext="edit"/>
            <v:textbox>
              <w:txbxContent>
                <w:p/>
              </w:txbxContent>
            </v:textbox>
          </v:shape>
        </w:pict>
      </w: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r>
        <w:pict>
          <v:shape id="文本框 10" o:spid="_x0000_s1027" o:spt="202" type="#_x0000_t202" style="position:absolute;left:0pt;margin-left:27pt;margin-top:39pt;height:43.3pt;width:411.15pt;z-index:251660288;mso-width-relative:page;mso-height-relative:page;" filled="f" stroked="f" coordsize="21600,21600">
            <v:path/>
            <v:fill on="f" focussize="0,0"/>
            <v:stroke on="f" joinstyle="miter"/>
            <v:imagedata o:title=""/>
            <o:lock v:ext="edit"/>
            <v:textbox>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v:textbox>
          </v:shape>
        </w:pict>
      </w:r>
    </w:p>
    <w:p>
      <w:pPr>
        <w:rPr>
          <w:rFonts w:ascii="楷体_GB2312" w:hAnsi="楷体_GB2312" w:eastAsia="楷体_GB2312" w:cs="楷体_GB2312"/>
          <w:color w:val="000000"/>
          <w:kern w:val="0"/>
          <w:sz w:val="44"/>
          <w:szCs w:val="44"/>
        </w:rPr>
      </w:pP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4" w:type="first"/>
          <w:footerReference r:id="rId6" w:type="first"/>
          <w:headerReference r:id="rId3" w:type="default"/>
          <w:footerReference r:id="rId5"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keepNext/>
        <w:keepLines/>
        <w:spacing w:line="580" w:lineRule="exact"/>
        <w:ind w:firstLine="420" w:firstLineChars="200"/>
        <w:jc w:val="left"/>
        <w:outlineLvl w:val="0"/>
        <w:rPr>
          <w:kern w:val="0"/>
        </w:rPr>
      </w:pPr>
      <w:r>
        <w:pict>
          <v:shape id="_x0000_s1028" o:spid="_x0000_s1028" o:spt="202" type="#_x0000_t202" style="position:absolute;left:0pt;margin-left:-85.7pt;margin-top:80.7pt;height:263.1pt;width:613.65pt;z-index:251662336;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r>
        <w:br w:type="page"/>
      </w:r>
      <w:r>
        <w:rPr>
          <w:rFonts w:hint="eastAsia" w:ascii="黑体" w:hAnsi="Calibri" w:eastAsia="黑体" w:cs="黑体"/>
          <w:kern w:val="0"/>
          <w:sz w:val="32"/>
          <w:szCs w:val="32"/>
        </w:rPr>
        <w:t>一、部门职责</w:t>
      </w:r>
    </w:p>
    <w:p>
      <w:pPr>
        <w:pStyle w:val="16"/>
        <w:ind w:firstLine="560" w:firstLineChars="200"/>
        <w:rPr>
          <w:rFonts w:ascii="宋体" w:hAnsi="宋体" w:eastAsia="宋体" w:cs="Times New Roman"/>
          <w:color w:val="auto"/>
          <w:kern w:val="2"/>
          <w:sz w:val="28"/>
          <w:szCs w:val="28"/>
        </w:rPr>
      </w:pPr>
      <w:r>
        <w:rPr>
          <w:rFonts w:hint="eastAsia" w:ascii="宋体" w:hAnsi="宋体" w:eastAsia="宋体" w:cs="Times New Roman"/>
          <w:color w:val="auto"/>
          <w:kern w:val="2"/>
          <w:sz w:val="28"/>
          <w:szCs w:val="28"/>
        </w:rPr>
        <w:t>根据满政办（</w:t>
      </w:r>
      <w:r>
        <w:rPr>
          <w:rFonts w:ascii="宋体" w:hAnsi="宋体" w:eastAsia="宋体" w:cs="Times New Roman"/>
          <w:color w:val="auto"/>
          <w:kern w:val="2"/>
          <w:sz w:val="28"/>
          <w:szCs w:val="28"/>
        </w:rPr>
        <w:t>2010</w:t>
      </w:r>
      <w:r>
        <w:rPr>
          <w:rFonts w:hint="eastAsia" w:ascii="宋体" w:hAnsi="宋体" w:eastAsia="宋体" w:cs="Times New Roman"/>
          <w:color w:val="auto"/>
          <w:kern w:val="2"/>
          <w:sz w:val="28"/>
          <w:szCs w:val="28"/>
        </w:rPr>
        <w:t>）</w:t>
      </w:r>
      <w:r>
        <w:rPr>
          <w:rFonts w:ascii="宋体" w:hAnsi="宋体" w:eastAsia="宋体" w:cs="Times New Roman"/>
          <w:color w:val="auto"/>
          <w:kern w:val="2"/>
          <w:sz w:val="28"/>
          <w:szCs w:val="28"/>
        </w:rPr>
        <w:t>163</w:t>
      </w:r>
      <w:r>
        <w:rPr>
          <w:rFonts w:hint="eastAsia" w:ascii="宋体" w:hAnsi="宋体" w:eastAsia="宋体" w:cs="Times New Roman"/>
          <w:color w:val="auto"/>
          <w:kern w:val="2"/>
          <w:sz w:val="28"/>
          <w:szCs w:val="28"/>
        </w:rPr>
        <w:t>号，满城县人民政府办公室关于《满城县交通运输局主要职责内设和人员编制规定》的通知，满城区交通运输的主要职责是：</w:t>
      </w:r>
      <w:r>
        <w:rPr>
          <w:rFonts w:ascii="宋体" w:hAnsi="宋体" w:eastAsia="宋体" w:cs="Times New Roman"/>
          <w:color w:val="auto"/>
          <w:kern w:val="2"/>
          <w:sz w:val="28"/>
          <w:szCs w:val="28"/>
        </w:rPr>
        <w:t xml:space="preserve"> </w:t>
      </w:r>
    </w:p>
    <w:p>
      <w:pPr>
        <w:pStyle w:val="16"/>
        <w:rPr>
          <w:rFonts w:ascii="宋体" w:hAnsi="宋体" w:eastAsia="宋体" w:cs="Times New Roman"/>
          <w:color w:val="auto"/>
          <w:kern w:val="2"/>
          <w:sz w:val="28"/>
          <w:szCs w:val="28"/>
        </w:rPr>
      </w:pPr>
      <w:r>
        <w:rPr>
          <w:rFonts w:ascii="宋体" w:hAnsi="宋体" w:eastAsia="宋体" w:cs="Times New Roman"/>
          <w:color w:val="auto"/>
          <w:kern w:val="2"/>
          <w:sz w:val="28"/>
          <w:szCs w:val="28"/>
        </w:rPr>
        <w:t xml:space="preserve">    </w:t>
      </w:r>
      <w:r>
        <w:rPr>
          <w:rFonts w:hint="eastAsia" w:ascii="宋体" w:hAnsi="宋体" w:eastAsia="宋体" w:cs="Times New Roman"/>
          <w:color w:val="auto"/>
          <w:kern w:val="2"/>
          <w:sz w:val="28"/>
          <w:szCs w:val="28"/>
        </w:rPr>
        <w:t>（一）承担全区综合运输体系的规划协调，会同有关部门组织编制全区综合运输体系规划、交通运输枢纽规划，培育管理交通运输市场和交通基础设施建设市场，引导交通运输行业优化结构、协调发展。</w:t>
      </w:r>
    </w:p>
    <w:p>
      <w:pPr>
        <w:pStyle w:val="16"/>
        <w:rPr>
          <w:rFonts w:ascii="宋体" w:hAnsi="宋体" w:eastAsia="宋体" w:cs="Times New Roman"/>
          <w:color w:val="auto"/>
          <w:kern w:val="2"/>
          <w:sz w:val="28"/>
          <w:szCs w:val="28"/>
        </w:rPr>
      </w:pPr>
      <w:r>
        <w:rPr>
          <w:rFonts w:ascii="宋体" w:hAnsi="宋体" w:eastAsia="宋体" w:cs="Times New Roman"/>
          <w:color w:val="auto"/>
          <w:kern w:val="2"/>
          <w:sz w:val="28"/>
          <w:szCs w:val="28"/>
        </w:rPr>
        <w:t xml:space="preserve">    </w:t>
      </w:r>
      <w:r>
        <w:rPr>
          <w:rFonts w:hint="eastAsia" w:ascii="宋体" w:hAnsi="宋体" w:eastAsia="宋体" w:cs="Times New Roman"/>
          <w:color w:val="auto"/>
          <w:kern w:val="2"/>
          <w:sz w:val="28"/>
          <w:szCs w:val="28"/>
        </w:rPr>
        <w:t>（二）组织拟订全区公路、水路等交通运输行业规划和标准；拟订交通物流业发展规划，拟订有关标准并监督实施。</w:t>
      </w:r>
    </w:p>
    <w:p>
      <w:pPr>
        <w:pStyle w:val="16"/>
        <w:rPr>
          <w:rFonts w:ascii="宋体" w:hAnsi="宋体" w:eastAsia="宋体" w:cs="Times New Roman"/>
          <w:color w:val="auto"/>
          <w:kern w:val="2"/>
          <w:sz w:val="28"/>
          <w:szCs w:val="28"/>
        </w:rPr>
      </w:pPr>
      <w:r>
        <w:rPr>
          <w:rFonts w:ascii="宋体" w:hAnsi="宋体" w:eastAsia="宋体" w:cs="Times New Roman"/>
          <w:color w:val="auto"/>
          <w:kern w:val="2"/>
          <w:sz w:val="28"/>
          <w:szCs w:val="28"/>
        </w:rPr>
        <w:t xml:space="preserve">    </w:t>
      </w:r>
      <w:r>
        <w:rPr>
          <w:rFonts w:hint="eastAsia" w:ascii="宋体" w:hAnsi="宋体" w:eastAsia="宋体" w:cs="Times New Roman"/>
          <w:color w:val="auto"/>
          <w:kern w:val="2"/>
          <w:sz w:val="28"/>
          <w:szCs w:val="28"/>
        </w:rPr>
        <w:t>（三）制定全区县乡村道路发展规划；组织有关部门做好国、省干线公路、高速公路我县境内段改、扩建的地方协调性工作。</w:t>
      </w:r>
    </w:p>
    <w:p>
      <w:pPr>
        <w:pStyle w:val="16"/>
        <w:rPr>
          <w:rFonts w:ascii="宋体" w:hAnsi="宋体" w:eastAsia="宋体" w:cs="Times New Roman"/>
          <w:color w:val="auto"/>
          <w:kern w:val="2"/>
          <w:sz w:val="28"/>
          <w:szCs w:val="28"/>
        </w:rPr>
      </w:pPr>
      <w:r>
        <w:rPr>
          <w:rFonts w:ascii="宋体" w:hAnsi="宋体" w:eastAsia="宋体" w:cs="Times New Roman"/>
          <w:color w:val="auto"/>
          <w:kern w:val="2"/>
          <w:sz w:val="28"/>
          <w:szCs w:val="28"/>
        </w:rPr>
        <w:t xml:space="preserve">    </w:t>
      </w:r>
      <w:r>
        <w:rPr>
          <w:rFonts w:hint="eastAsia" w:ascii="宋体" w:hAnsi="宋体" w:eastAsia="宋体" w:cs="Times New Roman"/>
          <w:color w:val="auto"/>
          <w:kern w:val="2"/>
          <w:sz w:val="28"/>
          <w:szCs w:val="28"/>
        </w:rPr>
        <w:t>（四）承担全区公路、水路运输组织管理及市场监管责任；组织制定公路、水路运输准入退出制度、技术标准和运营规范并监督实施；负责全区运输市场、运输服务、车辆维修、停车场、机动车性能检测、搬运装卸、机动车驾驶学校和驾驶员培训工作的行业管理。</w:t>
      </w:r>
    </w:p>
    <w:p>
      <w:pPr>
        <w:pStyle w:val="16"/>
        <w:rPr>
          <w:rFonts w:ascii="宋体" w:hAnsi="宋体" w:eastAsia="宋体" w:cs="Times New Roman"/>
          <w:color w:val="auto"/>
          <w:kern w:val="2"/>
          <w:sz w:val="28"/>
          <w:szCs w:val="28"/>
        </w:rPr>
      </w:pPr>
      <w:r>
        <w:rPr>
          <w:rFonts w:ascii="宋体" w:hAnsi="宋体" w:eastAsia="宋体" w:cs="Times New Roman"/>
          <w:color w:val="auto"/>
          <w:kern w:val="2"/>
          <w:sz w:val="28"/>
          <w:szCs w:val="28"/>
        </w:rPr>
        <w:t xml:space="preserve">    </w:t>
      </w:r>
      <w:r>
        <w:rPr>
          <w:rFonts w:hint="eastAsia" w:ascii="宋体" w:hAnsi="宋体" w:eastAsia="宋体" w:cs="Times New Roman"/>
          <w:color w:val="auto"/>
          <w:kern w:val="2"/>
          <w:sz w:val="28"/>
          <w:szCs w:val="28"/>
        </w:rPr>
        <w:t>（五）承担全区公路、水路建设市场监管责任；拟订公路、水路建设相关制度和技术标准并监督实施；组织公路及其设施的建设、养护和管理；负责公路、水路等有关重点工程建设、工程质量和安全生产的监管；负责全区交通基本建设项目招标投标活动的监督管理。</w:t>
      </w:r>
    </w:p>
    <w:p>
      <w:pPr>
        <w:pStyle w:val="16"/>
        <w:rPr>
          <w:rFonts w:ascii="宋体" w:hAnsi="宋体" w:eastAsia="宋体" w:cs="Times New Roman"/>
          <w:color w:val="auto"/>
          <w:kern w:val="2"/>
          <w:sz w:val="28"/>
          <w:szCs w:val="28"/>
        </w:rPr>
      </w:pPr>
      <w:r>
        <w:rPr>
          <w:rFonts w:ascii="宋体" w:hAnsi="宋体" w:eastAsia="宋体" w:cs="Times New Roman"/>
          <w:color w:val="auto"/>
          <w:kern w:val="2"/>
          <w:sz w:val="28"/>
          <w:szCs w:val="28"/>
        </w:rPr>
        <w:t xml:space="preserve">    </w:t>
      </w:r>
      <w:r>
        <w:rPr>
          <w:rFonts w:hint="eastAsia" w:ascii="宋体" w:hAnsi="宋体" w:eastAsia="宋体" w:cs="Times New Roman"/>
          <w:color w:val="auto"/>
          <w:kern w:val="2"/>
          <w:sz w:val="28"/>
          <w:szCs w:val="28"/>
        </w:rPr>
        <w:t>（六）负责城乡客、货运输及有关设施规划和管理；负责出租汽车行业管理；负责对关系国计民生的重点物资和紧急物资的运输保障；承担国防交通战备工作。</w:t>
      </w:r>
    </w:p>
    <w:p>
      <w:pPr>
        <w:pStyle w:val="16"/>
        <w:ind w:firstLine="560" w:firstLineChars="200"/>
        <w:rPr>
          <w:rFonts w:ascii="宋体" w:hAnsi="宋体" w:eastAsia="宋体" w:cs="Times New Roman"/>
          <w:color w:val="auto"/>
          <w:kern w:val="2"/>
          <w:sz w:val="28"/>
          <w:szCs w:val="28"/>
        </w:rPr>
      </w:pPr>
      <w:r>
        <w:rPr>
          <w:rFonts w:hint="eastAsia" w:ascii="宋体" w:hAnsi="宋体" w:eastAsia="宋体" w:cs="Times New Roman"/>
          <w:color w:val="auto"/>
          <w:kern w:val="2"/>
          <w:sz w:val="28"/>
          <w:szCs w:val="28"/>
        </w:rPr>
        <w:t>（七）制定全区交通运输行业技术标准和规范，负责交通工程质量监督；负责全区交通运输行业人才开发、教育、培训、交流和使用工作；负责全区交通运输行业的精神文明建设；负责全区交通运输信息化建设和通讯工作。</w:t>
      </w:r>
    </w:p>
    <w:p>
      <w:pPr>
        <w:pStyle w:val="16"/>
        <w:ind w:firstLine="560" w:firstLineChars="200"/>
        <w:rPr>
          <w:rFonts w:ascii="宋体" w:hAnsi="宋体" w:eastAsia="宋体" w:cs="Times New Roman"/>
          <w:color w:val="auto"/>
          <w:kern w:val="2"/>
          <w:sz w:val="28"/>
          <w:szCs w:val="28"/>
        </w:rPr>
      </w:pPr>
      <w:r>
        <w:rPr>
          <w:rFonts w:hint="eastAsia" w:ascii="宋体" w:hAnsi="宋体" w:eastAsia="宋体" w:cs="Times New Roman"/>
          <w:color w:val="auto"/>
          <w:kern w:val="2"/>
          <w:sz w:val="28"/>
          <w:szCs w:val="28"/>
        </w:rPr>
        <w:t>（八）负责全区交通国有资产管理和交通专项资金的管理、使用；负责全区交通运输行业内部审计工作。</w:t>
      </w:r>
    </w:p>
    <w:p>
      <w:pPr>
        <w:pStyle w:val="16"/>
        <w:ind w:firstLine="560" w:firstLineChars="200"/>
        <w:rPr>
          <w:rFonts w:ascii="宋体" w:hAnsi="宋体" w:eastAsia="宋体" w:cs="Times New Roman"/>
          <w:color w:val="auto"/>
          <w:kern w:val="2"/>
          <w:sz w:val="28"/>
          <w:szCs w:val="28"/>
        </w:rPr>
      </w:pPr>
      <w:r>
        <w:rPr>
          <w:rFonts w:hint="eastAsia" w:ascii="宋体" w:hAnsi="宋体" w:eastAsia="宋体" w:cs="Times New Roman"/>
          <w:color w:val="auto"/>
          <w:kern w:val="2"/>
          <w:sz w:val="28"/>
          <w:szCs w:val="28"/>
        </w:rPr>
        <w:t>（九）负责全区交通运输行业的涉外工作，指导利用外资，开展国际交通经济技术合作与交流。</w:t>
      </w:r>
    </w:p>
    <w:p>
      <w:pPr>
        <w:pStyle w:val="16"/>
        <w:ind w:left="540"/>
        <w:rPr>
          <w:rFonts w:ascii="宋体" w:hAnsi="宋体" w:eastAsia="宋体" w:cs="Times New Roman"/>
          <w:color w:val="auto"/>
          <w:kern w:val="2"/>
          <w:sz w:val="28"/>
          <w:szCs w:val="28"/>
        </w:rPr>
      </w:pPr>
      <w:r>
        <w:rPr>
          <w:rFonts w:hint="eastAsia" w:ascii="宋体" w:hAnsi="宋体" w:eastAsia="宋体" w:cs="Times New Roman"/>
          <w:color w:val="auto"/>
          <w:kern w:val="2"/>
          <w:sz w:val="28"/>
          <w:szCs w:val="28"/>
        </w:rPr>
        <w:t>（十）承办区政府交办的其他事项。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560" w:firstLineChars="200"/>
        <w:rPr>
          <w:rFonts w:ascii="宋体" w:hAnsi="宋体" w:eastAsia="宋体" w:cs="ArialUnicodeMS"/>
          <w:kern w:val="0"/>
          <w:sz w:val="28"/>
          <w:szCs w:val="28"/>
        </w:rPr>
      </w:pPr>
      <w:r>
        <w:rPr>
          <w:rFonts w:hint="eastAsia" w:ascii="宋体" w:hAnsi="宋体" w:eastAsia="宋体" w:cs="ArialUnicodeMS"/>
          <w:kern w:val="0"/>
          <w:sz w:val="28"/>
          <w:szCs w:val="28"/>
        </w:rPr>
        <w:t>从决算编报单位构成看，纳入</w:t>
      </w:r>
      <w:r>
        <w:rPr>
          <w:rFonts w:ascii="宋体" w:hAnsi="宋体" w:eastAsia="宋体" w:cs="ArialUnicodeMS"/>
          <w:kern w:val="0"/>
          <w:sz w:val="28"/>
          <w:szCs w:val="28"/>
        </w:rPr>
        <w:t xml:space="preserve">2019 </w:t>
      </w:r>
      <w:r>
        <w:rPr>
          <w:rFonts w:hint="eastAsia" w:ascii="宋体" w:hAnsi="宋体" w:eastAsia="宋体" w:cs="ArialUnicodeMS"/>
          <w:kern w:val="0"/>
          <w:sz w:val="28"/>
          <w:szCs w:val="28"/>
        </w:rPr>
        <w:t>年度本部门决算汇编范围的独立核算单位（以下简称“单位”）共</w:t>
      </w:r>
      <w:r>
        <w:rPr>
          <w:rFonts w:ascii="宋体" w:hAnsi="宋体" w:eastAsia="宋体" w:cs="ArialUnicodeMS"/>
          <w:kern w:val="0"/>
          <w:sz w:val="28"/>
          <w:szCs w:val="28"/>
        </w:rPr>
        <w:t xml:space="preserve"> </w:t>
      </w:r>
      <w:r>
        <w:rPr>
          <w:rFonts w:hint="eastAsia" w:ascii="宋体" w:hAnsi="宋体" w:eastAsia="宋体" w:cs="ArialUnicodeMS"/>
          <w:kern w:val="0"/>
          <w:sz w:val="28"/>
          <w:szCs w:val="28"/>
          <w:lang w:val="en-US" w:eastAsia="zh-CN"/>
        </w:rPr>
        <w:t>4</w:t>
      </w:r>
      <w:r>
        <w:rPr>
          <w:rFonts w:hint="eastAsia" w:ascii="宋体" w:hAnsi="宋体" w:eastAsia="宋体" w:cs="ArialUnicodeMS"/>
          <w:kern w:val="0"/>
          <w:sz w:val="28"/>
          <w:szCs w:val="28"/>
        </w:rPr>
        <w:t>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4523"/>
        <w:gridCol w:w="1407"/>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4523"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1407"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4523" w:type="dxa"/>
          </w:tcPr>
          <w:p>
            <w:pPr>
              <w:spacing w:line="560" w:lineRule="exact"/>
              <w:rPr>
                <w:rFonts w:ascii="仿宋_GB2312" w:hAnsi="Calibri" w:eastAsia="仿宋_GB2312" w:cs="ArialUnicodeMS"/>
                <w:kern w:val="0"/>
                <w:sz w:val="28"/>
                <w:szCs w:val="28"/>
              </w:rPr>
            </w:pPr>
            <w:r>
              <w:rPr>
                <w:rFonts w:hint="eastAsia" w:ascii="宋体" w:hAnsi="宋体"/>
                <w:szCs w:val="21"/>
              </w:rPr>
              <w:t>保定市满城区交通运输局本级</w:t>
            </w:r>
          </w:p>
        </w:tc>
        <w:tc>
          <w:tcPr>
            <w:tcW w:w="1407" w:type="dxa"/>
          </w:tcPr>
          <w:p>
            <w:pPr>
              <w:spacing w:line="560" w:lineRule="exact"/>
              <w:jc w:val="center"/>
              <w:rPr>
                <w:rFonts w:ascii="宋体" w:hAnsi="宋体" w:eastAsia="宋体" w:cs="ArialUnicodeMS"/>
                <w:kern w:val="0"/>
                <w:sz w:val="24"/>
                <w:szCs w:val="24"/>
              </w:rPr>
            </w:pPr>
            <w:r>
              <w:rPr>
                <w:rFonts w:hint="eastAsia" w:ascii="宋体" w:hAnsi="宋体" w:eastAsia="宋体" w:cs="ArialUnicodeMS"/>
                <w:kern w:val="0"/>
                <w:sz w:val="24"/>
                <w:szCs w:val="24"/>
              </w:rPr>
              <w:t>行政</w:t>
            </w:r>
          </w:p>
        </w:tc>
        <w:tc>
          <w:tcPr>
            <w:tcW w:w="2665" w:type="dxa"/>
          </w:tcPr>
          <w:p>
            <w:pPr>
              <w:spacing w:line="560" w:lineRule="exact"/>
              <w:jc w:val="center"/>
              <w:rPr>
                <w:rFonts w:ascii="仿宋_GB2312" w:hAnsi="Calibri" w:eastAsia="仿宋_GB2312" w:cs="ArialUnicodeMS"/>
                <w:kern w:val="0"/>
                <w:szCs w:val="21"/>
              </w:rPr>
            </w:pPr>
            <w:r>
              <w:rPr>
                <w:rFonts w:hint="eastAsia" w:ascii="仿宋_GB2312" w:hAnsi="Calibri" w:eastAsia="仿宋_GB2312" w:cs="ArialUnicodeMS"/>
                <w:kern w:val="0"/>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2</w:t>
            </w:r>
          </w:p>
        </w:tc>
        <w:tc>
          <w:tcPr>
            <w:tcW w:w="4523" w:type="dxa"/>
          </w:tcPr>
          <w:p>
            <w:pPr>
              <w:spacing w:line="560" w:lineRule="exact"/>
              <w:rPr>
                <w:rFonts w:ascii="仿宋_GB2312" w:hAnsi="Calibri" w:eastAsia="仿宋_GB2312" w:cs="ArialUnicodeMS"/>
                <w:kern w:val="0"/>
                <w:sz w:val="28"/>
                <w:szCs w:val="28"/>
              </w:rPr>
            </w:pPr>
            <w:r>
              <w:rPr>
                <w:rFonts w:hint="eastAsia" w:ascii="宋体" w:hAnsi="宋体"/>
                <w:szCs w:val="21"/>
              </w:rPr>
              <w:t>保定市满城区出租汽车和城市公交管理站</w:t>
            </w:r>
          </w:p>
        </w:tc>
        <w:tc>
          <w:tcPr>
            <w:tcW w:w="1407" w:type="dxa"/>
          </w:tcPr>
          <w:p>
            <w:pPr>
              <w:spacing w:line="560" w:lineRule="exact"/>
              <w:jc w:val="center"/>
              <w:rPr>
                <w:rFonts w:ascii="宋体" w:hAnsi="宋体" w:eastAsia="宋体" w:cs="ArialUnicodeMS"/>
                <w:kern w:val="0"/>
                <w:sz w:val="24"/>
                <w:szCs w:val="24"/>
              </w:rPr>
            </w:pPr>
            <w:r>
              <w:rPr>
                <w:rFonts w:hint="eastAsia" w:ascii="宋体" w:hAnsi="宋体" w:eastAsia="宋体" w:cs="ArialUnicodeMS"/>
                <w:kern w:val="0"/>
                <w:sz w:val="24"/>
                <w:szCs w:val="24"/>
              </w:rPr>
              <w:t>事业</w:t>
            </w:r>
          </w:p>
        </w:tc>
        <w:tc>
          <w:tcPr>
            <w:tcW w:w="2665" w:type="dxa"/>
          </w:tcPr>
          <w:p>
            <w:pPr>
              <w:spacing w:line="560" w:lineRule="exact"/>
              <w:jc w:val="center"/>
              <w:rPr>
                <w:rFonts w:ascii="仿宋_GB2312" w:hAnsi="Calibri" w:eastAsia="仿宋_GB2312" w:cs="ArialUnicodeMS"/>
                <w:kern w:val="0"/>
                <w:sz w:val="28"/>
                <w:szCs w:val="28"/>
              </w:rPr>
            </w:pPr>
            <w:r>
              <w:rPr>
                <w:rFonts w:hint="eastAsia" w:ascii="宋体" w:hAnsi="宋体"/>
                <w:szCs w:val="21"/>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3</w:t>
            </w:r>
          </w:p>
        </w:tc>
        <w:tc>
          <w:tcPr>
            <w:tcW w:w="4523" w:type="dxa"/>
          </w:tcPr>
          <w:p>
            <w:pPr>
              <w:spacing w:line="560" w:lineRule="exact"/>
              <w:rPr>
                <w:rFonts w:ascii="仿宋_GB2312" w:hAnsi="Calibri" w:eastAsia="仿宋_GB2312" w:cs="ArialUnicodeMS"/>
                <w:kern w:val="0"/>
                <w:sz w:val="28"/>
                <w:szCs w:val="28"/>
              </w:rPr>
            </w:pPr>
            <w:r>
              <w:rPr>
                <w:rFonts w:hint="eastAsia" w:ascii="宋体" w:hAnsi="宋体"/>
                <w:szCs w:val="21"/>
              </w:rPr>
              <w:t>保定市满城区交通运输局</w:t>
            </w:r>
            <w:r>
              <w:rPr>
                <w:rFonts w:ascii="宋体" w:hAnsi="宋体"/>
                <w:szCs w:val="21"/>
              </w:rPr>
              <w:t>(</w:t>
            </w:r>
            <w:r>
              <w:rPr>
                <w:rFonts w:hint="eastAsia" w:ascii="宋体" w:hAnsi="宋体"/>
                <w:szCs w:val="21"/>
              </w:rPr>
              <w:t>事业全额</w:t>
            </w:r>
            <w:r>
              <w:rPr>
                <w:rFonts w:ascii="宋体" w:hAnsi="宋体"/>
                <w:szCs w:val="21"/>
              </w:rPr>
              <w:t>/</w:t>
            </w:r>
            <w:r>
              <w:rPr>
                <w:rFonts w:hint="eastAsia" w:ascii="宋体" w:hAnsi="宋体"/>
                <w:szCs w:val="21"/>
              </w:rPr>
              <w:t>事业差额</w:t>
            </w:r>
            <w:r>
              <w:rPr>
                <w:rFonts w:ascii="宋体" w:hAnsi="宋体"/>
                <w:szCs w:val="21"/>
              </w:rPr>
              <w:t>)</w:t>
            </w:r>
          </w:p>
        </w:tc>
        <w:tc>
          <w:tcPr>
            <w:tcW w:w="1407" w:type="dxa"/>
          </w:tcPr>
          <w:p>
            <w:pPr>
              <w:spacing w:line="560" w:lineRule="exact"/>
              <w:jc w:val="center"/>
              <w:rPr>
                <w:rFonts w:ascii="宋体" w:hAnsi="宋体" w:eastAsia="宋体" w:cs="ArialUnicodeMS"/>
                <w:kern w:val="0"/>
                <w:sz w:val="24"/>
                <w:szCs w:val="24"/>
              </w:rPr>
            </w:pPr>
            <w:r>
              <w:rPr>
                <w:rFonts w:hint="eastAsia" w:ascii="宋体" w:hAnsi="宋体" w:eastAsia="宋体" w:cs="ArialUnicodeMS"/>
                <w:kern w:val="0"/>
                <w:sz w:val="24"/>
                <w:szCs w:val="24"/>
              </w:rPr>
              <w:t>事业</w:t>
            </w:r>
          </w:p>
        </w:tc>
        <w:tc>
          <w:tcPr>
            <w:tcW w:w="2665" w:type="dxa"/>
          </w:tcPr>
          <w:p>
            <w:pPr>
              <w:spacing w:line="560" w:lineRule="exact"/>
              <w:jc w:val="center"/>
              <w:rPr>
                <w:rFonts w:ascii="仿宋_GB2312" w:hAnsi="Calibri" w:eastAsia="仿宋_GB2312" w:cs="ArialUnicodeMS"/>
                <w:kern w:val="0"/>
                <w:sz w:val="28"/>
                <w:szCs w:val="28"/>
              </w:rPr>
            </w:pPr>
            <w:r>
              <w:rPr>
                <w:rFonts w:hint="eastAsia" w:ascii="宋体" w:hAnsi="宋体"/>
                <w:szCs w:val="21"/>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4</w:t>
            </w:r>
          </w:p>
        </w:tc>
        <w:tc>
          <w:tcPr>
            <w:tcW w:w="4523" w:type="dxa"/>
          </w:tcPr>
          <w:p>
            <w:pPr>
              <w:spacing w:line="560" w:lineRule="exact"/>
              <w:rPr>
                <w:rFonts w:ascii="仿宋_GB2312" w:hAnsi="Calibri" w:eastAsia="仿宋_GB2312" w:cs="ArialUnicodeMS"/>
                <w:kern w:val="0"/>
                <w:sz w:val="28"/>
                <w:szCs w:val="28"/>
              </w:rPr>
            </w:pPr>
            <w:r>
              <w:rPr>
                <w:rFonts w:hint="eastAsia" w:ascii="宋体" w:hAnsi="宋体"/>
                <w:szCs w:val="21"/>
              </w:rPr>
              <w:t>保定市满城区交通运输局</w:t>
            </w:r>
            <w:r>
              <w:rPr>
                <w:rFonts w:ascii="宋体" w:hAnsi="宋体"/>
                <w:szCs w:val="21"/>
              </w:rPr>
              <w:t>(</w:t>
            </w:r>
            <w:r>
              <w:rPr>
                <w:rFonts w:hint="eastAsia" w:ascii="宋体" w:hAnsi="宋体"/>
                <w:szCs w:val="21"/>
              </w:rPr>
              <w:t>供养人员</w:t>
            </w:r>
            <w:r>
              <w:rPr>
                <w:rFonts w:ascii="宋体" w:hAnsi="宋体"/>
                <w:szCs w:val="21"/>
              </w:rPr>
              <w:t>)</w:t>
            </w:r>
          </w:p>
        </w:tc>
        <w:tc>
          <w:tcPr>
            <w:tcW w:w="1407" w:type="dxa"/>
          </w:tcPr>
          <w:p>
            <w:pPr>
              <w:spacing w:line="560" w:lineRule="exact"/>
              <w:jc w:val="center"/>
              <w:rPr>
                <w:rFonts w:ascii="宋体" w:hAnsi="宋体" w:eastAsia="宋体" w:cs="ArialUnicodeMS"/>
                <w:kern w:val="0"/>
                <w:sz w:val="24"/>
                <w:szCs w:val="24"/>
              </w:rPr>
            </w:pPr>
            <w:r>
              <w:rPr>
                <w:rFonts w:hint="eastAsia" w:ascii="宋体" w:hAnsi="宋体" w:eastAsia="宋体" w:cs="ArialUnicodeMS"/>
                <w:kern w:val="0"/>
                <w:sz w:val="24"/>
                <w:szCs w:val="24"/>
              </w:rPr>
              <w:t>事业</w:t>
            </w:r>
          </w:p>
        </w:tc>
        <w:tc>
          <w:tcPr>
            <w:tcW w:w="2665" w:type="dxa"/>
          </w:tcPr>
          <w:p>
            <w:pPr>
              <w:spacing w:line="560" w:lineRule="exact"/>
              <w:jc w:val="center"/>
              <w:rPr>
                <w:rFonts w:ascii="仿宋_GB2312" w:hAnsi="Calibri" w:eastAsia="仿宋_GB2312" w:cs="ArialUnicodeMS"/>
                <w:kern w:val="0"/>
                <w:sz w:val="28"/>
                <w:szCs w:val="28"/>
              </w:rPr>
            </w:pPr>
            <w:r>
              <w:rPr>
                <w:rFonts w:hint="eastAsia" w:ascii="宋体" w:hAnsi="宋体"/>
                <w:szCs w:val="21"/>
              </w:rPr>
              <w:t>财政性资金基本保障</w:t>
            </w:r>
          </w:p>
        </w:tc>
      </w:tr>
    </w:tbl>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pict>
          <v:shape id="_x0000_s1029" o:spid="_x0000_s1029" o:spt="202" type="#_x0000_t202" style="position:absolute;left:0pt;margin-left:-85.7pt;margin-top:238.15pt;height:173.25pt;width:613.65pt;z-index:251663360;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30" o:spid="_x0000_s1030" o:spt="202" type="#_x0000_t202" style="position:absolute;left:0pt;margin-left:-90.8pt;margin-top:4.35pt;height:263.1pt;width:613.65pt;z-index:251665408;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560" w:firstLineChars="200"/>
        <w:rPr>
          <w:rFonts w:ascii="宋体" w:hAnsi="宋体" w:eastAsia="宋体"/>
          <w:sz w:val="28"/>
          <w:szCs w:val="28"/>
        </w:rPr>
      </w:pPr>
      <w:r>
        <w:rPr>
          <w:rFonts w:hint="eastAsia" w:ascii="宋体" w:hAnsi="宋体" w:eastAsia="宋体" w:cs="DengXian-Regular"/>
          <w:sz w:val="28"/>
          <w:szCs w:val="28"/>
        </w:rPr>
        <w:t>本部门</w:t>
      </w:r>
      <w:r>
        <w:rPr>
          <w:rFonts w:ascii="宋体" w:hAnsi="宋体" w:eastAsia="宋体" w:cs="DengXian-Regular"/>
          <w:sz w:val="28"/>
          <w:szCs w:val="28"/>
        </w:rPr>
        <w:t>2019</w:t>
      </w:r>
      <w:r>
        <w:rPr>
          <w:rFonts w:hint="eastAsia" w:ascii="宋体" w:hAnsi="宋体" w:eastAsia="宋体" w:cs="DengXian-Regular"/>
          <w:sz w:val="28"/>
          <w:szCs w:val="28"/>
        </w:rPr>
        <w:t>年度收入总计（含结转和结余）</w:t>
      </w:r>
      <w:r>
        <w:rPr>
          <w:rFonts w:ascii="宋体" w:hAnsi="宋体" w:eastAsia="宋体" w:cs="DengXian-Regular"/>
          <w:sz w:val="28"/>
          <w:szCs w:val="28"/>
        </w:rPr>
        <w:t>13210.74</w:t>
      </w:r>
      <w:r>
        <w:rPr>
          <w:rFonts w:hint="eastAsia" w:ascii="宋体" w:hAnsi="宋体" w:eastAsia="宋体" w:cs="DengXian-Regular"/>
          <w:sz w:val="28"/>
          <w:szCs w:val="28"/>
        </w:rPr>
        <w:t>万元。与</w:t>
      </w:r>
      <w:r>
        <w:rPr>
          <w:rFonts w:ascii="宋体" w:hAnsi="宋体" w:eastAsia="宋体" w:cs="DengXian-Regular"/>
          <w:sz w:val="28"/>
          <w:szCs w:val="28"/>
        </w:rPr>
        <w:t>2018</w:t>
      </w:r>
      <w:r>
        <w:rPr>
          <w:rFonts w:hint="eastAsia" w:ascii="宋体" w:hAnsi="宋体" w:eastAsia="宋体" w:cs="DengXian-Regular"/>
          <w:sz w:val="28"/>
          <w:szCs w:val="28"/>
        </w:rPr>
        <w:t>年度决算相比，收入增加</w:t>
      </w:r>
      <w:r>
        <w:rPr>
          <w:rFonts w:ascii="宋体" w:hAnsi="宋体" w:eastAsia="宋体" w:cs="DengXian-Regular"/>
          <w:sz w:val="28"/>
          <w:szCs w:val="28"/>
        </w:rPr>
        <w:t>1167.42</w:t>
      </w:r>
      <w:r>
        <w:rPr>
          <w:rFonts w:hint="eastAsia" w:ascii="宋体" w:hAnsi="宋体" w:eastAsia="宋体" w:cs="DengXian-Regular"/>
          <w:sz w:val="28"/>
          <w:szCs w:val="28"/>
        </w:rPr>
        <w:t>万元，增长</w:t>
      </w:r>
      <w:r>
        <w:rPr>
          <w:rFonts w:ascii="宋体" w:hAnsi="宋体" w:eastAsia="宋体" w:cs="DengXian-Regular"/>
          <w:sz w:val="28"/>
          <w:szCs w:val="28"/>
        </w:rPr>
        <w:t>9.69%</w:t>
      </w:r>
      <w:r>
        <w:rPr>
          <w:rFonts w:hint="eastAsia" w:ascii="宋体" w:hAnsi="宋体" w:eastAsia="宋体" w:cs="DengXian-Regular"/>
          <w:sz w:val="28"/>
          <w:szCs w:val="28"/>
        </w:rPr>
        <w:t>，主要原因是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r>
        <w:rPr>
          <w:rFonts w:hint="eastAsia" w:ascii="宋体" w:hAnsi="宋体" w:eastAsia="宋体" w:cs="DengXian-Regular"/>
          <w:sz w:val="28"/>
          <w:szCs w:val="28"/>
        </w:rPr>
        <w:t>支出总计（含结转和结余）</w:t>
      </w:r>
      <w:r>
        <w:rPr>
          <w:rFonts w:ascii="宋体" w:hAnsi="宋体" w:eastAsia="宋体" w:cs="DengXian-Regular"/>
          <w:sz w:val="28"/>
          <w:szCs w:val="28"/>
        </w:rPr>
        <w:t>13210.74</w:t>
      </w:r>
      <w:r>
        <w:rPr>
          <w:rFonts w:hint="eastAsia" w:ascii="宋体" w:hAnsi="宋体" w:eastAsia="宋体" w:cs="DengXian-Regular"/>
          <w:sz w:val="28"/>
          <w:szCs w:val="28"/>
        </w:rPr>
        <w:t>万元。与</w:t>
      </w:r>
      <w:r>
        <w:rPr>
          <w:rFonts w:ascii="宋体" w:hAnsi="宋体" w:eastAsia="宋体" w:cs="DengXian-Regular"/>
          <w:sz w:val="28"/>
          <w:szCs w:val="28"/>
        </w:rPr>
        <w:t>2018</w:t>
      </w:r>
      <w:r>
        <w:rPr>
          <w:rFonts w:hint="eastAsia" w:ascii="宋体" w:hAnsi="宋体" w:eastAsia="宋体" w:cs="DengXian-Regular"/>
          <w:sz w:val="28"/>
          <w:szCs w:val="28"/>
        </w:rPr>
        <w:t>年度决算相比，支出增加</w:t>
      </w:r>
      <w:r>
        <w:rPr>
          <w:rFonts w:ascii="宋体" w:hAnsi="宋体" w:eastAsia="宋体" w:cs="DengXian-Regular"/>
          <w:sz w:val="28"/>
          <w:szCs w:val="28"/>
        </w:rPr>
        <w:t>1167.42</w:t>
      </w:r>
      <w:r>
        <w:rPr>
          <w:rFonts w:hint="eastAsia" w:ascii="宋体" w:hAnsi="宋体" w:eastAsia="宋体" w:cs="DengXian-Regular"/>
          <w:sz w:val="28"/>
          <w:szCs w:val="28"/>
        </w:rPr>
        <w:t>万元，增长</w:t>
      </w:r>
      <w:r>
        <w:rPr>
          <w:rFonts w:ascii="宋体" w:hAnsi="宋体" w:eastAsia="宋体" w:cs="DengXian-Regular"/>
          <w:sz w:val="28"/>
          <w:szCs w:val="28"/>
        </w:rPr>
        <w:t>9.69%</w:t>
      </w:r>
      <w:r>
        <w:rPr>
          <w:rFonts w:hint="eastAsia" w:ascii="宋体" w:hAnsi="宋体" w:eastAsia="宋体" w:cs="DengXian-Regular"/>
          <w:sz w:val="28"/>
          <w:szCs w:val="28"/>
        </w:rPr>
        <w:t>，主要原因是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560" w:firstLineChars="200"/>
        <w:rPr>
          <w:rFonts w:ascii="宋体" w:hAnsi="宋体" w:eastAsia="宋体"/>
          <w:b/>
          <w:bCs/>
          <w:sz w:val="28"/>
          <w:szCs w:val="28"/>
        </w:rPr>
      </w:pPr>
      <w:r>
        <w:rPr>
          <w:rFonts w:hint="eastAsia" w:ascii="宋体" w:hAnsi="宋体" w:eastAsia="宋体" w:cs="DengXian-Regular"/>
          <w:sz w:val="28"/>
          <w:szCs w:val="28"/>
        </w:rPr>
        <w:t>本部门</w:t>
      </w:r>
      <w:r>
        <w:rPr>
          <w:rFonts w:ascii="宋体" w:hAnsi="宋体" w:eastAsia="宋体" w:cs="DengXian-Regular"/>
          <w:sz w:val="28"/>
          <w:szCs w:val="28"/>
        </w:rPr>
        <w:t>2019</w:t>
      </w:r>
      <w:r>
        <w:rPr>
          <w:rFonts w:hint="eastAsia" w:ascii="宋体" w:hAnsi="宋体" w:eastAsia="宋体" w:cs="DengXian-Regular"/>
          <w:sz w:val="28"/>
          <w:szCs w:val="28"/>
        </w:rPr>
        <w:t>年度本年收入合计</w:t>
      </w:r>
      <w:r>
        <w:rPr>
          <w:rFonts w:ascii="宋体" w:hAnsi="宋体" w:eastAsia="宋体" w:cs="DengXian-Regular"/>
          <w:sz w:val="28"/>
          <w:szCs w:val="28"/>
        </w:rPr>
        <w:t>10368.57</w:t>
      </w:r>
      <w:r>
        <w:rPr>
          <w:rFonts w:hint="eastAsia" w:ascii="宋体" w:hAnsi="宋体" w:eastAsia="宋体" w:cs="DengXian-Regular"/>
          <w:sz w:val="28"/>
          <w:szCs w:val="28"/>
        </w:rPr>
        <w:t>万元，其中：财政拨款收入</w:t>
      </w:r>
      <w:r>
        <w:rPr>
          <w:rFonts w:ascii="宋体" w:hAnsi="宋体" w:eastAsia="宋体" w:cs="DengXian-Regular"/>
          <w:sz w:val="28"/>
          <w:szCs w:val="28"/>
        </w:rPr>
        <w:t>10368</w:t>
      </w:r>
      <w:r>
        <w:rPr>
          <w:rFonts w:hint="eastAsia" w:ascii="宋体" w:hAnsi="宋体" w:eastAsia="宋体" w:cs="DengXian-Regular"/>
          <w:sz w:val="28"/>
          <w:szCs w:val="28"/>
          <w:lang w:val="en-US" w:eastAsia="zh-CN"/>
        </w:rPr>
        <w:t>.</w:t>
      </w:r>
      <w:r>
        <w:rPr>
          <w:rFonts w:ascii="宋体" w:hAnsi="宋体" w:eastAsia="宋体" w:cs="DengXian-Regular"/>
          <w:sz w:val="28"/>
          <w:szCs w:val="28"/>
        </w:rPr>
        <w:t>57</w:t>
      </w:r>
      <w:r>
        <w:rPr>
          <w:rFonts w:hint="eastAsia" w:ascii="宋体" w:hAnsi="宋体" w:eastAsia="宋体" w:cs="DengXian-Regular"/>
          <w:sz w:val="28"/>
          <w:szCs w:val="28"/>
        </w:rPr>
        <w:t>万元，占</w:t>
      </w:r>
      <w:r>
        <w:rPr>
          <w:rFonts w:ascii="宋体" w:hAnsi="宋体" w:eastAsia="宋体" w:cs="DengXian-Regular"/>
          <w:sz w:val="28"/>
          <w:szCs w:val="28"/>
        </w:rPr>
        <w:t>100%</w:t>
      </w:r>
      <w:r>
        <w:rPr>
          <w:rFonts w:hint="eastAsia" w:ascii="宋体" w:hAnsi="宋体" w:eastAsia="宋体" w:cs="DengXian-Regular"/>
          <w:sz w:val="28"/>
          <w:szCs w:val="28"/>
          <w:lang w:eastAsia="zh-CN"/>
        </w:rPr>
        <w:t>；</w:t>
      </w:r>
      <w:r>
        <w:rPr>
          <w:rFonts w:hint="eastAsia" w:ascii="宋体" w:hAnsi="宋体" w:eastAsia="宋体"/>
          <w:sz w:val="28"/>
          <w:szCs w:val="28"/>
        </w:rPr>
        <w:t>事业收入</w:t>
      </w:r>
      <w:r>
        <w:rPr>
          <w:rFonts w:hint="eastAsia" w:ascii="宋体" w:hAnsi="宋体" w:eastAsia="宋体"/>
          <w:sz w:val="28"/>
          <w:szCs w:val="28"/>
          <w:lang w:val="en-US" w:eastAsia="zh-CN"/>
        </w:rPr>
        <w:t>0</w:t>
      </w:r>
      <w:r>
        <w:rPr>
          <w:rFonts w:hint="eastAsia" w:ascii="宋体" w:hAnsi="宋体" w:eastAsia="宋体"/>
          <w:sz w:val="28"/>
          <w:szCs w:val="28"/>
        </w:rPr>
        <w:t>万元，占</w:t>
      </w:r>
      <w:r>
        <w:rPr>
          <w:rFonts w:hint="eastAsia" w:ascii="宋体" w:hAnsi="宋体" w:eastAsia="宋体"/>
          <w:sz w:val="28"/>
          <w:szCs w:val="28"/>
          <w:lang w:val="en-US" w:eastAsia="zh-CN"/>
        </w:rPr>
        <w:t>0</w:t>
      </w:r>
      <w:r>
        <w:rPr>
          <w:rFonts w:hint="eastAsia" w:ascii="宋体" w:hAnsi="宋体" w:eastAsia="宋体"/>
          <w:sz w:val="28"/>
          <w:szCs w:val="28"/>
        </w:rPr>
        <w:t>%；经营收入</w:t>
      </w:r>
      <w:r>
        <w:rPr>
          <w:rFonts w:hint="eastAsia" w:ascii="宋体" w:hAnsi="宋体" w:eastAsia="宋体"/>
          <w:sz w:val="28"/>
          <w:szCs w:val="28"/>
          <w:lang w:val="en-US" w:eastAsia="zh-CN"/>
        </w:rPr>
        <w:t>0</w:t>
      </w:r>
      <w:r>
        <w:rPr>
          <w:rFonts w:hint="eastAsia" w:ascii="宋体" w:hAnsi="宋体" w:eastAsia="宋体"/>
          <w:sz w:val="28"/>
          <w:szCs w:val="28"/>
        </w:rPr>
        <w:t>万元，占</w:t>
      </w:r>
      <w:r>
        <w:rPr>
          <w:rFonts w:hint="eastAsia" w:ascii="宋体" w:hAnsi="宋体" w:eastAsia="宋体"/>
          <w:sz w:val="28"/>
          <w:szCs w:val="28"/>
          <w:lang w:val="en-US" w:eastAsia="zh-CN"/>
        </w:rPr>
        <w:t>0</w:t>
      </w:r>
      <w:r>
        <w:rPr>
          <w:rFonts w:hint="eastAsia" w:ascii="宋体" w:hAnsi="宋体" w:eastAsia="宋体"/>
          <w:sz w:val="28"/>
          <w:szCs w:val="28"/>
        </w:rPr>
        <w:t>%；其他收入</w:t>
      </w:r>
      <w:r>
        <w:rPr>
          <w:rFonts w:hint="eastAsia" w:ascii="宋体" w:hAnsi="宋体" w:eastAsia="宋体"/>
          <w:sz w:val="28"/>
          <w:szCs w:val="28"/>
          <w:lang w:val="en-US" w:eastAsia="zh-CN"/>
        </w:rPr>
        <w:t>0</w:t>
      </w:r>
      <w:r>
        <w:rPr>
          <w:rFonts w:hint="eastAsia" w:ascii="宋体" w:hAnsi="宋体" w:eastAsia="宋体"/>
          <w:sz w:val="28"/>
          <w:szCs w:val="28"/>
        </w:rPr>
        <w:t>万元，占</w:t>
      </w:r>
      <w:r>
        <w:rPr>
          <w:rFonts w:hint="eastAsia" w:ascii="宋体" w:hAnsi="宋体" w:eastAsia="宋体"/>
          <w:sz w:val="28"/>
          <w:szCs w:val="28"/>
          <w:lang w:val="en-US" w:eastAsia="zh-CN"/>
        </w:rPr>
        <w:t>0</w:t>
      </w:r>
      <w:r>
        <w:rPr>
          <w:rFonts w:hint="eastAsia" w:ascii="宋体" w:hAnsi="宋体" w:eastAsia="宋体"/>
          <w:sz w:val="28"/>
          <w:szCs w:val="28"/>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560" w:firstLineChars="200"/>
        <w:rPr>
          <w:rFonts w:ascii="仿宋_GB2312" w:hAnsi="Times New Roman" w:eastAsia="仿宋_GB2312" w:cs="DengXian-Regular"/>
          <w:sz w:val="32"/>
          <w:szCs w:val="32"/>
        </w:rPr>
      </w:pPr>
      <w:r>
        <w:rPr>
          <w:rFonts w:hint="eastAsia" w:ascii="宋体" w:hAnsi="宋体" w:eastAsia="宋体" w:cs="DengXian-Regular"/>
          <w:sz w:val="28"/>
          <w:szCs w:val="28"/>
        </w:rPr>
        <w:t>本部门</w:t>
      </w:r>
      <w:r>
        <w:rPr>
          <w:rFonts w:ascii="宋体" w:hAnsi="宋体" w:eastAsia="宋体" w:cs="DengXian-Regular"/>
          <w:sz w:val="28"/>
          <w:szCs w:val="28"/>
        </w:rPr>
        <w:t>2019</w:t>
      </w:r>
      <w:r>
        <w:rPr>
          <w:rFonts w:hint="eastAsia" w:ascii="宋体" w:hAnsi="宋体" w:eastAsia="宋体" w:cs="DengXian-Regular"/>
          <w:sz w:val="28"/>
          <w:szCs w:val="28"/>
        </w:rPr>
        <w:t>年度本年支出合计</w:t>
      </w:r>
      <w:r>
        <w:rPr>
          <w:rFonts w:ascii="宋体" w:hAnsi="宋体" w:eastAsia="宋体" w:cs="DengXian-Regular"/>
          <w:sz w:val="28"/>
          <w:szCs w:val="28"/>
        </w:rPr>
        <w:t>8714.74</w:t>
      </w:r>
      <w:r>
        <w:rPr>
          <w:rFonts w:hint="eastAsia" w:ascii="宋体" w:hAnsi="宋体" w:eastAsia="宋体" w:cs="DengXian-Regular"/>
          <w:sz w:val="28"/>
          <w:szCs w:val="28"/>
        </w:rPr>
        <w:t>万元，其中：基本支出</w:t>
      </w:r>
      <w:r>
        <w:rPr>
          <w:rFonts w:ascii="宋体" w:hAnsi="宋体" w:eastAsia="宋体" w:cs="DengXian-Regular"/>
          <w:sz w:val="28"/>
          <w:szCs w:val="28"/>
        </w:rPr>
        <w:t>3567.86</w:t>
      </w:r>
      <w:r>
        <w:rPr>
          <w:rFonts w:hint="eastAsia" w:ascii="宋体" w:hAnsi="宋体" w:eastAsia="宋体" w:cs="DengXian-Regular"/>
          <w:sz w:val="28"/>
          <w:szCs w:val="28"/>
        </w:rPr>
        <w:t>万元，占</w:t>
      </w:r>
      <w:r>
        <w:rPr>
          <w:rFonts w:ascii="宋体" w:hAnsi="宋体" w:eastAsia="宋体" w:cs="DengXian-Regular"/>
          <w:sz w:val="28"/>
          <w:szCs w:val="28"/>
        </w:rPr>
        <w:t>40.94%</w:t>
      </w:r>
      <w:r>
        <w:rPr>
          <w:rFonts w:hint="eastAsia" w:ascii="宋体" w:hAnsi="宋体" w:eastAsia="宋体" w:cs="DengXian-Regular"/>
          <w:sz w:val="28"/>
          <w:szCs w:val="28"/>
        </w:rPr>
        <w:t>；项目支出</w:t>
      </w:r>
      <w:r>
        <w:rPr>
          <w:rFonts w:ascii="宋体" w:hAnsi="宋体" w:eastAsia="宋体" w:cs="DengXian-Regular"/>
          <w:sz w:val="28"/>
          <w:szCs w:val="28"/>
        </w:rPr>
        <w:t>5146.88</w:t>
      </w:r>
      <w:r>
        <w:rPr>
          <w:rFonts w:hint="eastAsia" w:ascii="宋体" w:hAnsi="宋体" w:eastAsia="宋体" w:cs="DengXian-Regular"/>
          <w:sz w:val="28"/>
          <w:szCs w:val="28"/>
        </w:rPr>
        <w:t>万元，占</w:t>
      </w:r>
      <w:r>
        <w:rPr>
          <w:rFonts w:ascii="宋体" w:hAnsi="宋体" w:eastAsia="宋体" w:cs="DengXian-Regular"/>
          <w:sz w:val="28"/>
          <w:szCs w:val="28"/>
        </w:rPr>
        <w:t>59.06%</w:t>
      </w:r>
      <w:r>
        <w:rPr>
          <w:rFonts w:hint="eastAsia" w:ascii="宋体" w:hAnsi="宋体" w:eastAsia="宋体" w:cs="DengXian-Regular"/>
          <w:sz w:val="28"/>
          <w:szCs w:val="28"/>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560" w:firstLineChars="200"/>
        <w:rPr>
          <w:rFonts w:ascii="宋体" w:hAnsi="宋体" w:eastAsia="宋体" w:cs="DengXian-Regular"/>
          <w:sz w:val="28"/>
          <w:szCs w:val="28"/>
        </w:rPr>
      </w:pPr>
      <w:r>
        <w:rPr>
          <w:rFonts w:hint="eastAsia" w:ascii="宋体" w:hAnsi="宋体" w:eastAsia="宋体" w:cs="DengXian-Regular"/>
          <w:sz w:val="28"/>
          <w:szCs w:val="28"/>
        </w:rPr>
        <w:t>本部门</w:t>
      </w:r>
      <w:r>
        <w:rPr>
          <w:rFonts w:ascii="宋体" w:hAnsi="宋体" w:eastAsia="宋体" w:cs="DengXian-Regular"/>
          <w:sz w:val="28"/>
          <w:szCs w:val="28"/>
        </w:rPr>
        <w:t>2019</w:t>
      </w:r>
      <w:r>
        <w:rPr>
          <w:rFonts w:hint="eastAsia" w:ascii="宋体" w:hAnsi="宋体" w:eastAsia="宋体" w:cs="DengXian-Regular"/>
          <w:sz w:val="28"/>
          <w:szCs w:val="28"/>
        </w:rPr>
        <w:t>年度财政拨款本年收入</w:t>
      </w:r>
      <w:r>
        <w:rPr>
          <w:rFonts w:ascii="宋体" w:hAnsi="宋体" w:eastAsia="宋体" w:cs="DengXian-Regular"/>
          <w:sz w:val="28"/>
          <w:szCs w:val="28"/>
        </w:rPr>
        <w:t>10368.57</w:t>
      </w:r>
      <w:r>
        <w:rPr>
          <w:rFonts w:hint="eastAsia" w:ascii="宋体" w:hAnsi="宋体" w:eastAsia="宋体" w:cs="DengXian-Regular"/>
          <w:sz w:val="28"/>
          <w:szCs w:val="28"/>
        </w:rPr>
        <w:t>万元</w:t>
      </w:r>
      <w:r>
        <w:rPr>
          <w:rFonts w:ascii="宋体" w:hAnsi="宋体" w:eastAsia="宋体" w:cs="DengXian-Regular"/>
          <w:sz w:val="28"/>
          <w:szCs w:val="28"/>
        </w:rPr>
        <w:t>,</w:t>
      </w:r>
      <w:r>
        <w:rPr>
          <w:rFonts w:hint="eastAsia" w:ascii="宋体" w:hAnsi="宋体" w:eastAsia="宋体" w:cs="DengXian-Regular"/>
          <w:sz w:val="28"/>
          <w:szCs w:val="28"/>
        </w:rPr>
        <w:t>比</w:t>
      </w:r>
      <w:r>
        <w:rPr>
          <w:rFonts w:ascii="宋体" w:hAnsi="宋体" w:eastAsia="宋体" w:cs="DengXian-Regular"/>
          <w:sz w:val="28"/>
          <w:szCs w:val="28"/>
        </w:rPr>
        <w:t>2018</w:t>
      </w:r>
      <w:r>
        <w:rPr>
          <w:rFonts w:hint="eastAsia" w:ascii="宋体" w:hAnsi="宋体" w:eastAsia="宋体" w:cs="DengXian-Regular"/>
          <w:sz w:val="28"/>
          <w:szCs w:val="28"/>
        </w:rPr>
        <w:t>年度减少</w:t>
      </w:r>
      <w:r>
        <w:rPr>
          <w:rFonts w:ascii="宋体" w:hAnsi="宋体" w:eastAsia="宋体" w:cs="DengXian-Regular"/>
          <w:sz w:val="28"/>
          <w:szCs w:val="28"/>
        </w:rPr>
        <w:t>1674.75</w:t>
      </w:r>
      <w:r>
        <w:rPr>
          <w:rFonts w:hint="eastAsia" w:ascii="宋体" w:hAnsi="宋体" w:eastAsia="宋体" w:cs="DengXian-Regular"/>
          <w:sz w:val="28"/>
          <w:szCs w:val="28"/>
        </w:rPr>
        <w:t>万元，降低</w:t>
      </w:r>
      <w:r>
        <w:rPr>
          <w:rFonts w:ascii="宋体" w:hAnsi="宋体" w:eastAsia="宋体" w:cs="DengXian-Regular"/>
          <w:sz w:val="28"/>
          <w:szCs w:val="28"/>
        </w:rPr>
        <w:t>13.91%</w:t>
      </w:r>
      <w:r>
        <w:rPr>
          <w:rFonts w:hint="eastAsia" w:ascii="宋体" w:hAnsi="宋体" w:eastAsia="宋体" w:cs="DengXian-Regular"/>
          <w:sz w:val="28"/>
          <w:szCs w:val="28"/>
        </w:rPr>
        <w:t>，主要原因是</w:t>
      </w:r>
      <w:r>
        <w:rPr>
          <w:rFonts w:ascii="宋体" w:hAnsi="宋体" w:eastAsia="宋体"/>
          <w:sz w:val="28"/>
          <w:szCs w:val="28"/>
        </w:rPr>
        <w:t>2019</w:t>
      </w:r>
      <w:r>
        <w:rPr>
          <w:rFonts w:hint="eastAsia" w:ascii="宋体" w:hAnsi="宋体" w:eastAsia="宋体"/>
          <w:sz w:val="28"/>
          <w:szCs w:val="28"/>
        </w:rPr>
        <w:t>年我区公路建设项目比上年减少</w:t>
      </w:r>
      <w:r>
        <w:rPr>
          <w:rFonts w:hint="eastAsia" w:ascii="宋体" w:hAnsi="宋体" w:eastAsia="宋体" w:cs="DengXian-Regular"/>
          <w:sz w:val="28"/>
          <w:szCs w:val="28"/>
        </w:rPr>
        <w:t>；本年支出</w:t>
      </w:r>
      <w:r>
        <w:rPr>
          <w:rFonts w:ascii="宋体" w:hAnsi="宋体" w:eastAsia="宋体" w:cs="DengXian-Regular"/>
          <w:sz w:val="28"/>
          <w:szCs w:val="28"/>
        </w:rPr>
        <w:t>8714.74</w:t>
      </w:r>
      <w:r>
        <w:rPr>
          <w:rFonts w:hint="eastAsia" w:ascii="宋体" w:hAnsi="宋体" w:eastAsia="宋体" w:cs="DengXian-Regular"/>
          <w:sz w:val="28"/>
          <w:szCs w:val="28"/>
        </w:rPr>
        <w:t>万元，减少</w:t>
      </w:r>
      <w:r>
        <w:rPr>
          <w:rFonts w:ascii="宋体" w:hAnsi="宋体" w:eastAsia="宋体" w:cs="DengXian-Regular"/>
          <w:sz w:val="28"/>
          <w:szCs w:val="28"/>
        </w:rPr>
        <w:t>486.41</w:t>
      </w:r>
      <w:r>
        <w:rPr>
          <w:rFonts w:hint="eastAsia" w:ascii="宋体" w:hAnsi="宋体" w:eastAsia="宋体" w:cs="DengXian-Regular"/>
          <w:sz w:val="28"/>
          <w:szCs w:val="28"/>
        </w:rPr>
        <w:t>万元，降低</w:t>
      </w:r>
      <w:r>
        <w:rPr>
          <w:rFonts w:ascii="宋体" w:hAnsi="宋体" w:eastAsia="宋体" w:cs="DengXian-Regular"/>
          <w:sz w:val="28"/>
          <w:szCs w:val="28"/>
        </w:rPr>
        <w:t>5.29%</w:t>
      </w:r>
      <w:r>
        <w:rPr>
          <w:rFonts w:hint="eastAsia" w:ascii="宋体" w:hAnsi="宋体" w:eastAsia="宋体" w:cs="DengXian-Regular"/>
          <w:sz w:val="28"/>
          <w:szCs w:val="28"/>
        </w:rPr>
        <w:t>，主要原因是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r>
        <w:rPr>
          <w:rFonts w:hint="eastAsia" w:ascii="宋体" w:hAnsi="宋体" w:eastAsia="宋体" w:cs="DengXian-Regular"/>
          <w:sz w:val="28"/>
          <w:szCs w:val="28"/>
        </w:rPr>
        <w:t>具体情况如下：</w:t>
      </w:r>
    </w:p>
    <w:p>
      <w:pPr>
        <w:numPr>
          <w:ilvl w:val="0"/>
          <w:numId w:val="1"/>
        </w:numPr>
        <w:adjustRightInd w:val="0"/>
        <w:snapToGrid w:val="0"/>
        <w:spacing w:line="580" w:lineRule="exact"/>
        <w:ind w:firstLine="560" w:firstLineChars="200"/>
        <w:rPr>
          <w:rFonts w:ascii="宋体" w:hAnsi="宋体" w:eastAsia="宋体" w:cs="DengXian-Regular"/>
          <w:sz w:val="28"/>
          <w:szCs w:val="28"/>
        </w:rPr>
      </w:pPr>
      <w:r>
        <w:rPr>
          <w:rFonts w:hint="eastAsia" w:ascii="宋体" w:hAnsi="宋体" w:eastAsia="宋体" w:cs="DengXian-Regular"/>
          <w:sz w:val="28"/>
          <w:szCs w:val="28"/>
        </w:rPr>
        <w:t>一般公共预算财政拨款本年收入</w:t>
      </w:r>
      <w:r>
        <w:rPr>
          <w:rFonts w:ascii="宋体" w:hAnsi="宋体" w:eastAsia="宋体" w:cs="DengXian-Regular"/>
          <w:sz w:val="28"/>
          <w:szCs w:val="28"/>
        </w:rPr>
        <w:t>6895.72</w:t>
      </w:r>
      <w:r>
        <w:rPr>
          <w:rFonts w:hint="eastAsia" w:ascii="宋体" w:hAnsi="宋体" w:eastAsia="宋体" w:cs="DengXian-Regular"/>
          <w:sz w:val="28"/>
          <w:szCs w:val="28"/>
        </w:rPr>
        <w:t>万元，比上年减少</w:t>
      </w:r>
      <w:r>
        <w:rPr>
          <w:rFonts w:ascii="宋体" w:hAnsi="宋体" w:eastAsia="宋体" w:cs="DengXian-Regular"/>
          <w:sz w:val="28"/>
          <w:szCs w:val="28"/>
        </w:rPr>
        <w:t>1606.33</w:t>
      </w:r>
      <w:r>
        <w:rPr>
          <w:rFonts w:hint="eastAsia" w:ascii="宋体" w:hAnsi="宋体" w:eastAsia="宋体" w:cs="DengXian-Regular"/>
          <w:sz w:val="28"/>
          <w:szCs w:val="28"/>
        </w:rPr>
        <w:t>万元；主要原因是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r>
        <w:rPr>
          <w:rFonts w:hint="eastAsia" w:ascii="宋体" w:hAnsi="宋体" w:eastAsia="宋体" w:cs="DengXian-Regular"/>
          <w:sz w:val="28"/>
          <w:szCs w:val="28"/>
        </w:rPr>
        <w:t>；本年支出</w:t>
      </w:r>
      <w:r>
        <w:rPr>
          <w:rFonts w:ascii="宋体" w:hAnsi="宋体" w:eastAsia="宋体" w:cs="DengXian-Regular"/>
          <w:sz w:val="28"/>
          <w:szCs w:val="28"/>
        </w:rPr>
        <w:t>6941.89</w:t>
      </w:r>
      <w:r>
        <w:rPr>
          <w:rFonts w:hint="eastAsia" w:ascii="宋体" w:hAnsi="宋体" w:eastAsia="宋体" w:cs="DengXian-Regular"/>
          <w:sz w:val="28"/>
          <w:szCs w:val="28"/>
        </w:rPr>
        <w:t>万元，比上年增加</w:t>
      </w:r>
      <w:r>
        <w:rPr>
          <w:rFonts w:ascii="宋体" w:hAnsi="宋体" w:eastAsia="宋体" w:cs="DengXian-Regular"/>
          <w:sz w:val="28"/>
          <w:szCs w:val="28"/>
        </w:rPr>
        <w:t>1282.01</w:t>
      </w:r>
      <w:r>
        <w:rPr>
          <w:rFonts w:hint="eastAsia" w:ascii="宋体" w:hAnsi="宋体" w:eastAsia="宋体" w:cs="DengXian-Regular"/>
          <w:sz w:val="28"/>
          <w:szCs w:val="28"/>
        </w:rPr>
        <w:t>万元，增长</w:t>
      </w:r>
      <w:r>
        <w:rPr>
          <w:rFonts w:ascii="宋体" w:hAnsi="宋体" w:eastAsia="宋体" w:cs="DengXian-Regular"/>
          <w:sz w:val="28"/>
          <w:szCs w:val="28"/>
        </w:rPr>
        <w:t>22.65%</w:t>
      </w:r>
      <w:r>
        <w:rPr>
          <w:rFonts w:hint="eastAsia" w:ascii="宋体" w:hAnsi="宋体" w:eastAsia="宋体" w:cs="DengXian-Regular"/>
          <w:sz w:val="28"/>
          <w:szCs w:val="28"/>
        </w:rPr>
        <w:t>，主要是主要原因是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p>
    <w:p>
      <w:pPr>
        <w:numPr>
          <w:ilvl w:val="0"/>
          <w:numId w:val="1"/>
        </w:numPr>
        <w:adjustRightInd w:val="0"/>
        <w:snapToGrid w:val="0"/>
        <w:spacing w:line="580" w:lineRule="exact"/>
        <w:ind w:firstLine="560" w:firstLineChars="200"/>
        <w:rPr>
          <w:rFonts w:ascii="宋体" w:hAnsi="宋体" w:eastAsia="宋体" w:cs="DengXian-Regular"/>
          <w:sz w:val="28"/>
          <w:szCs w:val="28"/>
        </w:rPr>
      </w:pPr>
      <w:r>
        <w:rPr>
          <w:rFonts w:hint="eastAsia" w:ascii="宋体" w:hAnsi="宋体" w:eastAsia="宋体" w:cs="DengXian-Regular"/>
          <w:sz w:val="28"/>
          <w:szCs w:val="28"/>
        </w:rPr>
        <w:t>政府性基金预算财政拨款本年收入</w:t>
      </w:r>
      <w:r>
        <w:rPr>
          <w:rFonts w:ascii="宋体" w:hAnsi="宋体" w:eastAsia="宋体" w:cs="DengXian-Regular"/>
          <w:sz w:val="28"/>
          <w:szCs w:val="28"/>
        </w:rPr>
        <w:t>3472.85</w:t>
      </w:r>
      <w:r>
        <w:rPr>
          <w:rFonts w:hint="eastAsia" w:ascii="宋体" w:hAnsi="宋体" w:eastAsia="宋体" w:cs="DengXian-Regular"/>
          <w:sz w:val="28"/>
          <w:szCs w:val="28"/>
        </w:rPr>
        <w:t>万元，比上年减少</w:t>
      </w:r>
      <w:r>
        <w:rPr>
          <w:rFonts w:ascii="宋体" w:hAnsi="宋体" w:eastAsia="宋体" w:cs="DengXian-Regular"/>
          <w:sz w:val="28"/>
          <w:szCs w:val="28"/>
        </w:rPr>
        <w:t>68.42</w:t>
      </w:r>
      <w:r>
        <w:rPr>
          <w:rFonts w:hint="eastAsia" w:ascii="宋体" w:hAnsi="宋体" w:eastAsia="宋体" w:cs="DengXian-Regular"/>
          <w:sz w:val="28"/>
          <w:szCs w:val="28"/>
        </w:rPr>
        <w:t>万元，降低</w:t>
      </w:r>
      <w:r>
        <w:rPr>
          <w:rFonts w:ascii="宋体" w:hAnsi="宋体" w:eastAsia="宋体" w:cs="DengXian-Regular"/>
          <w:sz w:val="28"/>
          <w:szCs w:val="28"/>
        </w:rPr>
        <w:t>1.93%</w:t>
      </w:r>
      <w:r>
        <w:rPr>
          <w:rFonts w:hint="eastAsia" w:ascii="宋体" w:hAnsi="宋体" w:eastAsia="宋体" w:cs="DengXian-Regular"/>
          <w:sz w:val="28"/>
          <w:szCs w:val="28"/>
        </w:rPr>
        <w:t>，主要原因是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r>
        <w:rPr>
          <w:rFonts w:hint="eastAsia" w:ascii="宋体" w:hAnsi="宋体" w:eastAsia="宋体" w:cs="DengXian-Regular"/>
          <w:sz w:val="28"/>
          <w:szCs w:val="28"/>
        </w:rPr>
        <w:t>；本年支出</w:t>
      </w:r>
      <w:r>
        <w:rPr>
          <w:rFonts w:ascii="宋体" w:hAnsi="宋体" w:eastAsia="宋体" w:cs="DengXian-Regular"/>
          <w:sz w:val="28"/>
          <w:szCs w:val="28"/>
        </w:rPr>
        <w:t>1772.85</w:t>
      </w:r>
      <w:r>
        <w:rPr>
          <w:rFonts w:hint="eastAsia" w:ascii="宋体" w:hAnsi="宋体" w:eastAsia="宋体" w:cs="DengXian-Regular"/>
          <w:sz w:val="28"/>
          <w:szCs w:val="28"/>
        </w:rPr>
        <w:t>万元，比上年减少</w:t>
      </w:r>
      <w:r>
        <w:rPr>
          <w:rFonts w:ascii="宋体" w:hAnsi="宋体" w:eastAsia="宋体" w:cs="DengXian-Regular"/>
          <w:sz w:val="28"/>
          <w:szCs w:val="28"/>
        </w:rPr>
        <w:t>1768.42</w:t>
      </w:r>
      <w:r>
        <w:rPr>
          <w:rFonts w:hint="eastAsia" w:ascii="宋体" w:hAnsi="宋体" w:eastAsia="宋体" w:cs="DengXian-Regular"/>
          <w:sz w:val="28"/>
          <w:szCs w:val="28"/>
        </w:rPr>
        <w:t>万元，降低</w:t>
      </w:r>
      <w:r>
        <w:rPr>
          <w:rFonts w:ascii="宋体" w:hAnsi="宋体" w:eastAsia="宋体" w:cs="DengXian-Regular"/>
          <w:sz w:val="28"/>
          <w:szCs w:val="28"/>
        </w:rPr>
        <w:t>49.94%</w:t>
      </w:r>
      <w:r>
        <w:rPr>
          <w:rFonts w:hint="eastAsia" w:ascii="宋体" w:hAnsi="宋体" w:eastAsia="宋体" w:cs="DengXian-Regular"/>
          <w:sz w:val="28"/>
          <w:szCs w:val="28"/>
        </w:rPr>
        <w:t>，主要是主要原因是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560" w:firstLineChars="200"/>
        <w:rPr>
          <w:rFonts w:ascii="宋体" w:hAnsi="宋体" w:eastAsia="宋体" w:cs="DengXian-Regular"/>
          <w:sz w:val="28"/>
          <w:szCs w:val="28"/>
        </w:rPr>
      </w:pPr>
      <w:r>
        <w:rPr>
          <w:rFonts w:hint="eastAsia" w:ascii="宋体" w:hAnsi="宋体" w:eastAsia="宋体" w:cs="DengXian-Regular"/>
          <w:sz w:val="28"/>
          <w:szCs w:val="28"/>
        </w:rPr>
        <w:t>本部门</w:t>
      </w:r>
      <w:r>
        <w:rPr>
          <w:rFonts w:ascii="宋体" w:hAnsi="宋体" w:eastAsia="宋体" w:cs="DengXian-Regular"/>
          <w:sz w:val="28"/>
          <w:szCs w:val="28"/>
        </w:rPr>
        <w:t>2019</w:t>
      </w:r>
      <w:r>
        <w:rPr>
          <w:rFonts w:hint="eastAsia" w:ascii="宋体" w:hAnsi="宋体" w:eastAsia="宋体" w:cs="DengXian-Regular"/>
          <w:sz w:val="28"/>
          <w:szCs w:val="28"/>
        </w:rPr>
        <w:t>年度财政拨款本年收入</w:t>
      </w:r>
      <w:r>
        <w:rPr>
          <w:rFonts w:ascii="宋体" w:hAnsi="宋体" w:eastAsia="宋体" w:cs="DengXian-Regular"/>
          <w:sz w:val="28"/>
          <w:szCs w:val="28"/>
        </w:rPr>
        <w:t>10368.57</w:t>
      </w:r>
      <w:r>
        <w:rPr>
          <w:rFonts w:hint="eastAsia" w:ascii="宋体" w:hAnsi="宋体" w:eastAsia="宋体" w:cs="DengXian-Regular"/>
          <w:sz w:val="28"/>
          <w:szCs w:val="28"/>
        </w:rPr>
        <w:t>万元，完成年初预算的</w:t>
      </w:r>
      <w:r>
        <w:rPr>
          <w:rFonts w:ascii="宋体" w:hAnsi="宋体" w:eastAsia="宋体" w:cs="DengXian-Regular"/>
          <w:sz w:val="28"/>
          <w:szCs w:val="28"/>
        </w:rPr>
        <w:t>139%,</w:t>
      </w:r>
      <w:r>
        <w:rPr>
          <w:rFonts w:hint="eastAsia" w:ascii="宋体" w:hAnsi="宋体" w:eastAsia="宋体" w:cs="DengXian-Regular"/>
          <w:sz w:val="28"/>
          <w:szCs w:val="28"/>
        </w:rPr>
        <w:t>比年初预算增加</w:t>
      </w:r>
      <w:r>
        <w:rPr>
          <w:rFonts w:ascii="宋体" w:hAnsi="宋体" w:eastAsia="宋体" w:cs="DengXian-Regular"/>
          <w:sz w:val="28"/>
          <w:szCs w:val="28"/>
        </w:rPr>
        <w:t>2915.78</w:t>
      </w:r>
      <w:r>
        <w:rPr>
          <w:rFonts w:hint="eastAsia" w:ascii="宋体" w:hAnsi="宋体" w:eastAsia="宋体" w:cs="DengXian-Regular"/>
          <w:sz w:val="28"/>
          <w:szCs w:val="28"/>
        </w:rPr>
        <w:t>万元，决算数大于预算数主要原因是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r>
        <w:rPr>
          <w:rFonts w:hint="eastAsia" w:ascii="宋体" w:hAnsi="宋体" w:eastAsia="宋体" w:cs="DengXian-Regular"/>
          <w:sz w:val="28"/>
          <w:szCs w:val="28"/>
        </w:rPr>
        <w:t>本年支出</w:t>
      </w:r>
      <w:r>
        <w:rPr>
          <w:rFonts w:ascii="宋体" w:hAnsi="宋体" w:eastAsia="宋体" w:cs="DengXian-Regular"/>
          <w:sz w:val="28"/>
          <w:szCs w:val="28"/>
        </w:rPr>
        <w:t>8714.74</w:t>
      </w:r>
      <w:r>
        <w:rPr>
          <w:rFonts w:hint="eastAsia" w:ascii="宋体" w:hAnsi="宋体" w:eastAsia="宋体" w:cs="DengXian-Regular"/>
          <w:sz w:val="28"/>
          <w:szCs w:val="28"/>
        </w:rPr>
        <w:t>万元，完成年初预算的</w:t>
      </w:r>
      <w:r>
        <w:rPr>
          <w:rFonts w:ascii="宋体" w:hAnsi="宋体" w:eastAsia="宋体" w:cs="DengXian-Regular"/>
          <w:sz w:val="28"/>
          <w:szCs w:val="28"/>
        </w:rPr>
        <w:t>117%,</w:t>
      </w:r>
      <w:r>
        <w:rPr>
          <w:rFonts w:hint="eastAsia" w:ascii="宋体" w:hAnsi="宋体" w:eastAsia="宋体" w:cs="DengXian-Regular"/>
          <w:sz w:val="28"/>
          <w:szCs w:val="28"/>
        </w:rPr>
        <w:t>比年初预算增加</w:t>
      </w:r>
      <w:r>
        <w:rPr>
          <w:rFonts w:ascii="宋体" w:hAnsi="宋体" w:eastAsia="宋体" w:cs="DengXian-Regular"/>
          <w:sz w:val="28"/>
          <w:szCs w:val="28"/>
        </w:rPr>
        <w:t>1261.95</w:t>
      </w:r>
      <w:r>
        <w:rPr>
          <w:rFonts w:hint="eastAsia" w:ascii="宋体" w:hAnsi="宋体" w:eastAsia="宋体" w:cs="DengXian-Regular"/>
          <w:sz w:val="28"/>
          <w:szCs w:val="28"/>
        </w:rPr>
        <w:t>万元，决算数大于预算数主要原因是主要是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p>
    <w:p>
      <w:pPr>
        <w:adjustRightInd w:val="0"/>
        <w:snapToGrid w:val="0"/>
        <w:spacing w:line="580" w:lineRule="exact"/>
        <w:ind w:firstLine="560" w:firstLineChars="200"/>
        <w:rPr>
          <w:rFonts w:ascii="宋体" w:hAnsi="宋体" w:eastAsia="宋体" w:cs="DengXian-Regular"/>
          <w:sz w:val="28"/>
          <w:szCs w:val="28"/>
        </w:rPr>
      </w:pPr>
      <w:r>
        <w:rPr>
          <w:rFonts w:hint="eastAsia" w:ascii="宋体" w:hAnsi="宋体" w:eastAsia="宋体" w:cs="DengXian-Regular"/>
          <w:sz w:val="28"/>
          <w:szCs w:val="28"/>
        </w:rPr>
        <w:t>具体情况如下：</w:t>
      </w:r>
    </w:p>
    <w:p>
      <w:pPr>
        <w:numPr>
          <w:ilvl w:val="0"/>
          <w:numId w:val="2"/>
        </w:numPr>
        <w:adjustRightInd w:val="0"/>
        <w:snapToGrid w:val="0"/>
        <w:spacing w:line="580" w:lineRule="exact"/>
        <w:ind w:firstLine="560" w:firstLineChars="200"/>
        <w:rPr>
          <w:rFonts w:hint="eastAsia" w:ascii="宋体" w:hAnsi="宋体" w:eastAsia="宋体"/>
          <w:sz w:val="28"/>
          <w:szCs w:val="28"/>
        </w:rPr>
      </w:pPr>
      <w:r>
        <w:rPr>
          <w:rFonts w:hint="eastAsia" w:ascii="宋体" w:hAnsi="宋体" w:eastAsia="宋体" w:cs="DengXian-Regular"/>
          <w:sz w:val="28"/>
          <w:szCs w:val="28"/>
        </w:rPr>
        <w:t>一般公共预算财政拨款本年收入完成年初预算</w:t>
      </w:r>
      <w:r>
        <w:rPr>
          <w:rFonts w:ascii="宋体" w:hAnsi="宋体" w:eastAsia="宋体" w:cs="DengXian-Regular"/>
          <w:sz w:val="28"/>
          <w:szCs w:val="28"/>
        </w:rPr>
        <w:t>199%</w:t>
      </w:r>
      <w:r>
        <w:rPr>
          <w:rFonts w:hint="eastAsia" w:ascii="宋体" w:hAnsi="宋体" w:eastAsia="宋体" w:cs="DengXian-Regular"/>
          <w:sz w:val="28"/>
          <w:szCs w:val="28"/>
        </w:rPr>
        <w:t>，比年初预算增加</w:t>
      </w:r>
      <w:r>
        <w:rPr>
          <w:rFonts w:ascii="宋体" w:hAnsi="宋体" w:eastAsia="宋体" w:cs="DengXian-Regular"/>
          <w:sz w:val="28"/>
          <w:szCs w:val="28"/>
        </w:rPr>
        <w:t>3442.93</w:t>
      </w:r>
      <w:r>
        <w:rPr>
          <w:rFonts w:hint="eastAsia" w:ascii="宋体" w:hAnsi="宋体" w:eastAsia="宋体" w:cs="DengXian-Regular"/>
          <w:sz w:val="28"/>
          <w:szCs w:val="28"/>
        </w:rPr>
        <w:t>万元，主要原因是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r>
        <w:rPr>
          <w:rFonts w:hint="eastAsia" w:ascii="宋体" w:hAnsi="宋体" w:eastAsia="宋体" w:cs="DengXian-Regular"/>
          <w:sz w:val="28"/>
          <w:szCs w:val="28"/>
        </w:rPr>
        <w:t>支出完成年初预算</w:t>
      </w:r>
      <w:r>
        <w:rPr>
          <w:rFonts w:ascii="宋体" w:hAnsi="宋体" w:eastAsia="宋体" w:cs="DengXian-Regular"/>
          <w:sz w:val="28"/>
          <w:szCs w:val="28"/>
        </w:rPr>
        <w:t>201%</w:t>
      </w:r>
      <w:r>
        <w:rPr>
          <w:rFonts w:hint="eastAsia" w:ascii="宋体" w:hAnsi="宋体" w:eastAsia="宋体" w:cs="DengXian-Regular"/>
          <w:sz w:val="28"/>
          <w:szCs w:val="28"/>
        </w:rPr>
        <w:t>，比年初预算增加</w:t>
      </w:r>
      <w:r>
        <w:rPr>
          <w:rFonts w:ascii="宋体" w:hAnsi="宋体" w:eastAsia="宋体" w:cs="DengXian-Regular"/>
          <w:sz w:val="28"/>
          <w:szCs w:val="28"/>
        </w:rPr>
        <w:t>3489.10</w:t>
      </w:r>
      <w:r>
        <w:rPr>
          <w:rFonts w:hint="eastAsia" w:ascii="宋体" w:hAnsi="宋体" w:eastAsia="宋体" w:cs="DengXian-Regular"/>
          <w:sz w:val="28"/>
          <w:szCs w:val="28"/>
        </w:rPr>
        <w:t>万元，主要原因是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p>
    <w:p>
      <w:pPr>
        <w:numPr>
          <w:ilvl w:val="0"/>
          <w:numId w:val="0"/>
        </w:numPr>
        <w:adjustRightInd w:val="0"/>
        <w:snapToGrid w:val="0"/>
        <w:spacing w:line="580" w:lineRule="exact"/>
        <w:ind w:firstLine="560" w:firstLineChars="200"/>
        <w:rPr>
          <w:rFonts w:ascii="楷体_GB2312" w:hAnsi="Times New Roman" w:eastAsia="楷体_GB2312" w:cs="DengXian-Bold"/>
          <w:b/>
          <w:bCs/>
          <w:sz w:val="32"/>
          <w:szCs w:val="32"/>
        </w:rPr>
      </w:pPr>
      <w:r>
        <w:rPr>
          <w:rFonts w:hint="eastAsia" w:ascii="宋体" w:hAnsi="宋体" w:eastAsia="宋体" w:cs="DengXian-Regular"/>
          <w:sz w:val="28"/>
          <w:szCs w:val="28"/>
          <w:lang w:val="en-US" w:eastAsia="zh-CN"/>
        </w:rPr>
        <w:t>2、</w:t>
      </w:r>
      <w:r>
        <w:rPr>
          <w:rFonts w:hint="eastAsia" w:ascii="宋体" w:hAnsi="宋体" w:eastAsia="宋体" w:cs="DengXian-Regular"/>
          <w:sz w:val="28"/>
          <w:szCs w:val="28"/>
        </w:rPr>
        <w:t>政府性基金预算财政拨款本年收入完成年初预算</w:t>
      </w:r>
      <w:r>
        <w:rPr>
          <w:rFonts w:ascii="宋体" w:hAnsi="宋体" w:eastAsia="宋体" w:cs="DengXian-Regular"/>
          <w:sz w:val="28"/>
          <w:szCs w:val="28"/>
        </w:rPr>
        <w:t>87%</w:t>
      </w:r>
      <w:r>
        <w:rPr>
          <w:rFonts w:hint="eastAsia" w:ascii="宋体" w:hAnsi="宋体" w:eastAsia="宋体" w:cs="DengXian-Regular"/>
          <w:sz w:val="28"/>
          <w:szCs w:val="28"/>
        </w:rPr>
        <w:t>，比年初预算减少</w:t>
      </w:r>
      <w:r>
        <w:rPr>
          <w:rFonts w:ascii="宋体" w:hAnsi="宋体" w:eastAsia="宋体" w:cs="DengXian-Regular"/>
          <w:sz w:val="28"/>
          <w:szCs w:val="28"/>
        </w:rPr>
        <w:t>527.15</w:t>
      </w:r>
      <w:r>
        <w:rPr>
          <w:rFonts w:hint="eastAsia" w:ascii="宋体" w:hAnsi="宋体" w:eastAsia="宋体" w:cs="DengXian-Regular"/>
          <w:sz w:val="28"/>
          <w:szCs w:val="28"/>
        </w:rPr>
        <w:t>万元，主要原因是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r>
        <w:rPr>
          <w:rFonts w:hint="eastAsia" w:ascii="宋体" w:hAnsi="宋体" w:eastAsia="宋体" w:cs="DengXian-Regular"/>
          <w:sz w:val="28"/>
          <w:szCs w:val="28"/>
        </w:rPr>
        <w:t>支出完成年初预算</w:t>
      </w:r>
      <w:r>
        <w:rPr>
          <w:rFonts w:ascii="宋体" w:hAnsi="宋体" w:eastAsia="宋体" w:cs="DengXian-Regular"/>
          <w:sz w:val="28"/>
          <w:szCs w:val="28"/>
        </w:rPr>
        <w:t>44%</w:t>
      </w:r>
      <w:r>
        <w:rPr>
          <w:rFonts w:hint="eastAsia" w:ascii="宋体" w:hAnsi="宋体" w:eastAsia="宋体" w:cs="DengXian-Regular"/>
          <w:sz w:val="28"/>
          <w:szCs w:val="28"/>
        </w:rPr>
        <w:t>，比年初预算减少</w:t>
      </w:r>
      <w:r>
        <w:rPr>
          <w:rFonts w:ascii="宋体" w:hAnsi="宋体" w:eastAsia="宋体" w:cs="DengXian-Regular"/>
          <w:sz w:val="28"/>
          <w:szCs w:val="28"/>
        </w:rPr>
        <w:t>2227.15</w:t>
      </w:r>
      <w:r>
        <w:rPr>
          <w:rFonts w:hint="eastAsia" w:ascii="宋体" w:hAnsi="宋体" w:eastAsia="宋体" w:cs="DengXian-Regular"/>
          <w:sz w:val="28"/>
          <w:szCs w:val="28"/>
        </w:rPr>
        <w:t>万元，主要原因是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p>
    <w:p>
      <w:pPr>
        <w:numPr>
          <w:ilvl w:val="0"/>
          <w:numId w:val="3"/>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560" w:firstLineChars="200"/>
        <w:rPr>
          <w:rFonts w:ascii="楷体_GB2312" w:hAnsi="Times New Roman" w:eastAsia="楷体_GB2312" w:cs="DengXian-Bold"/>
          <w:b/>
          <w:bCs/>
          <w:sz w:val="32"/>
          <w:szCs w:val="32"/>
        </w:rPr>
      </w:pPr>
      <w:r>
        <w:rPr>
          <w:rFonts w:ascii="宋体" w:hAnsi="宋体" w:eastAsia="宋体" w:cs="DengXian-Regular"/>
          <w:sz w:val="28"/>
          <w:szCs w:val="28"/>
        </w:rPr>
        <w:t xml:space="preserve">2019 </w:t>
      </w:r>
      <w:r>
        <w:rPr>
          <w:rFonts w:hint="eastAsia" w:ascii="宋体" w:hAnsi="宋体" w:eastAsia="宋体" w:cs="DengXian-Regular"/>
          <w:sz w:val="28"/>
          <w:szCs w:val="28"/>
        </w:rPr>
        <w:t>年度财政拨款支出</w:t>
      </w:r>
      <w:r>
        <w:rPr>
          <w:rFonts w:ascii="宋体" w:hAnsi="宋体" w:eastAsia="宋体" w:cs="DengXian-Regular"/>
          <w:sz w:val="28"/>
          <w:szCs w:val="28"/>
        </w:rPr>
        <w:t>8714.74</w:t>
      </w:r>
      <w:r>
        <w:rPr>
          <w:rFonts w:hint="eastAsia" w:ascii="宋体" w:hAnsi="宋体" w:eastAsia="宋体" w:cs="DengXian-Regular"/>
          <w:sz w:val="28"/>
          <w:szCs w:val="28"/>
        </w:rPr>
        <w:t>万元，主要用于以下方面：一般公共服务支出</w:t>
      </w:r>
      <w:r>
        <w:rPr>
          <w:rFonts w:ascii="宋体" w:hAnsi="宋体" w:eastAsia="宋体" w:cs="DengXian-Regular"/>
          <w:sz w:val="28"/>
          <w:szCs w:val="28"/>
        </w:rPr>
        <w:t>3</w:t>
      </w:r>
      <w:r>
        <w:rPr>
          <w:rFonts w:hint="eastAsia" w:ascii="宋体" w:hAnsi="宋体" w:eastAsia="宋体" w:cs="DengXian-Regular"/>
          <w:sz w:val="28"/>
          <w:szCs w:val="28"/>
        </w:rPr>
        <w:t>万元，占</w:t>
      </w:r>
      <w:r>
        <w:rPr>
          <w:rFonts w:ascii="宋体" w:hAnsi="宋体" w:eastAsia="宋体" w:cs="DengXian-Regular"/>
          <w:sz w:val="28"/>
          <w:szCs w:val="28"/>
        </w:rPr>
        <w:t>0.04%</w:t>
      </w:r>
      <w:r>
        <w:rPr>
          <w:rFonts w:hint="eastAsia" w:ascii="宋体" w:hAnsi="宋体" w:eastAsia="宋体" w:cs="DengXian-Regular"/>
          <w:sz w:val="28"/>
          <w:szCs w:val="28"/>
        </w:rPr>
        <w:t>；社会保障和就业支出</w:t>
      </w:r>
      <w:r>
        <w:rPr>
          <w:rFonts w:ascii="宋体" w:hAnsi="宋体" w:eastAsia="宋体" w:cs="DengXian-Regular"/>
          <w:sz w:val="28"/>
          <w:szCs w:val="28"/>
        </w:rPr>
        <w:t>349.11</w:t>
      </w:r>
      <w:r>
        <w:rPr>
          <w:rFonts w:hint="eastAsia" w:ascii="宋体" w:hAnsi="宋体" w:eastAsia="宋体" w:cs="DengXian-Regular"/>
          <w:sz w:val="28"/>
          <w:szCs w:val="28"/>
        </w:rPr>
        <w:t>万元，占</w:t>
      </w:r>
      <w:r>
        <w:rPr>
          <w:rFonts w:ascii="宋体" w:hAnsi="宋体" w:eastAsia="宋体" w:cs="DengXian-Regular"/>
          <w:sz w:val="28"/>
          <w:szCs w:val="28"/>
        </w:rPr>
        <w:t>4.01%</w:t>
      </w:r>
      <w:r>
        <w:rPr>
          <w:rFonts w:hint="eastAsia" w:ascii="宋体" w:hAnsi="宋体" w:eastAsia="宋体" w:cs="DengXian-Regular"/>
          <w:sz w:val="28"/>
          <w:szCs w:val="28"/>
        </w:rPr>
        <w:t>；卫生健康支出</w:t>
      </w:r>
      <w:r>
        <w:rPr>
          <w:rFonts w:ascii="宋体" w:hAnsi="宋体" w:eastAsia="宋体" w:cs="DengXian-Regular"/>
          <w:sz w:val="28"/>
          <w:szCs w:val="28"/>
        </w:rPr>
        <w:t>88.23</w:t>
      </w:r>
      <w:r>
        <w:rPr>
          <w:rFonts w:hint="eastAsia" w:ascii="宋体" w:hAnsi="宋体" w:eastAsia="宋体" w:cs="DengXian-Regular"/>
          <w:sz w:val="28"/>
          <w:szCs w:val="28"/>
        </w:rPr>
        <w:t>万元，占</w:t>
      </w:r>
      <w:r>
        <w:rPr>
          <w:rFonts w:ascii="宋体" w:hAnsi="宋体" w:eastAsia="宋体" w:cs="DengXian-Regular"/>
          <w:sz w:val="28"/>
          <w:szCs w:val="28"/>
        </w:rPr>
        <w:t>1.01%</w:t>
      </w:r>
      <w:r>
        <w:rPr>
          <w:rFonts w:hint="eastAsia" w:ascii="宋体" w:hAnsi="宋体" w:eastAsia="宋体" w:cs="DengXian-Regular"/>
          <w:sz w:val="28"/>
          <w:szCs w:val="28"/>
        </w:rPr>
        <w:t>；城乡社区支出</w:t>
      </w:r>
      <w:r>
        <w:rPr>
          <w:rFonts w:ascii="宋体" w:hAnsi="宋体" w:eastAsia="宋体" w:cs="DengXian-Regular"/>
          <w:sz w:val="28"/>
          <w:szCs w:val="28"/>
        </w:rPr>
        <w:t>1772.85</w:t>
      </w:r>
      <w:r>
        <w:rPr>
          <w:rFonts w:hint="eastAsia" w:ascii="宋体" w:hAnsi="宋体" w:eastAsia="宋体" w:cs="DengXian-Regular"/>
          <w:sz w:val="28"/>
          <w:szCs w:val="28"/>
        </w:rPr>
        <w:t>万元，占</w:t>
      </w:r>
      <w:r>
        <w:rPr>
          <w:rFonts w:ascii="宋体" w:hAnsi="宋体" w:eastAsia="宋体" w:cs="DengXian-Regular"/>
          <w:sz w:val="28"/>
          <w:szCs w:val="28"/>
        </w:rPr>
        <w:t>20.34%</w:t>
      </w:r>
      <w:r>
        <w:rPr>
          <w:rFonts w:hint="eastAsia" w:ascii="宋体" w:hAnsi="宋体" w:eastAsia="宋体" w:cs="DengXian-Regular"/>
          <w:sz w:val="28"/>
          <w:szCs w:val="28"/>
        </w:rPr>
        <w:t>；交通运输支出</w:t>
      </w:r>
      <w:r>
        <w:rPr>
          <w:rFonts w:ascii="宋体" w:hAnsi="宋体" w:eastAsia="宋体" w:cs="DengXian-Regular"/>
          <w:sz w:val="28"/>
          <w:szCs w:val="28"/>
        </w:rPr>
        <w:t>6360.28</w:t>
      </w:r>
      <w:r>
        <w:rPr>
          <w:rFonts w:hint="eastAsia" w:ascii="宋体" w:hAnsi="宋体" w:eastAsia="宋体" w:cs="DengXian-Regular"/>
          <w:sz w:val="28"/>
          <w:szCs w:val="28"/>
        </w:rPr>
        <w:t>万元，占</w:t>
      </w:r>
      <w:r>
        <w:rPr>
          <w:rFonts w:ascii="宋体" w:hAnsi="宋体" w:eastAsia="宋体" w:cs="DengXian-Regular"/>
          <w:sz w:val="28"/>
          <w:szCs w:val="28"/>
        </w:rPr>
        <w:t>72.98%</w:t>
      </w:r>
      <w:r>
        <w:rPr>
          <w:rFonts w:hint="eastAsia" w:ascii="宋体" w:hAnsi="宋体" w:eastAsia="宋体" w:cs="DengXian-Regular"/>
          <w:sz w:val="28"/>
          <w:szCs w:val="28"/>
        </w:rPr>
        <w:t>；住房保障支出</w:t>
      </w:r>
      <w:r>
        <w:rPr>
          <w:rFonts w:ascii="宋体" w:hAnsi="宋体" w:eastAsia="宋体" w:cs="DengXian-Regular"/>
          <w:sz w:val="28"/>
          <w:szCs w:val="28"/>
        </w:rPr>
        <w:t>141.27</w:t>
      </w:r>
      <w:r>
        <w:rPr>
          <w:rFonts w:hint="eastAsia" w:ascii="宋体" w:hAnsi="宋体" w:eastAsia="宋体" w:cs="DengXian-Regular"/>
          <w:sz w:val="28"/>
          <w:szCs w:val="28"/>
        </w:rPr>
        <w:t>万元，占</w:t>
      </w:r>
      <w:r>
        <w:rPr>
          <w:rFonts w:ascii="宋体" w:hAnsi="宋体" w:eastAsia="宋体" w:cs="DengXian-Regular"/>
          <w:sz w:val="28"/>
          <w:szCs w:val="28"/>
        </w:rPr>
        <w:t>1.62%</w:t>
      </w:r>
      <w:r>
        <w:rPr>
          <w:rFonts w:hint="eastAsia" w:ascii="宋体" w:hAnsi="宋体" w:eastAsia="宋体" w:cs="DengXian-Regular"/>
          <w:sz w:val="28"/>
          <w:szCs w:val="28"/>
        </w:rPr>
        <w:t>。</w:t>
      </w:r>
      <w:r>
        <w:pict>
          <v:group id="_x0000_s1037" o:spid="_x0000_s1037" o:spt="203" style="position:absolute;left:0pt;margin-left:77.25pt;margin-top:16.6pt;height:173.95pt;width:281.6pt;z-index:-251652096;mso-width-relative:page;mso-height-relative:page;" coordorigin="6921,180284" coordsize="5065,3465203">
            <o:lock v:ext="edit"/>
            <v:shape id="图片 1" o:spid="_x0000_s1038" o:spt="75" type="#_x0000_t75" style="position:absolute;left:7157;top:180284;height:2988;width:4586;" filled="f" o:preferrelative="t" stroked="f" coordsize="21600,21600">
              <v:path/>
              <v:fill on="f" focussize="0,0"/>
              <v:stroke on="f" joinstyle="miter"/>
              <v:imagedata r:id="rId10" cropleft="2131f" croptop="1490f" cropright="1218f" cropbottom="5217f" o:title=""/>
              <o:lock v:ext="edit" aspectratio="t"/>
            </v:shape>
            <v:shape id="文本框 32" o:spid="_x0000_s1039" o:spt="202" type="#_x0000_t202" style="position:absolute;left:6921;top:183134;height:615;width:5065;"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560" w:firstLineChars="200"/>
        <w:rPr>
          <w:rFonts w:ascii="宋体" w:hAnsi="宋体" w:eastAsia="宋体" w:cs="DengXian-Regular"/>
          <w:sz w:val="28"/>
          <w:szCs w:val="28"/>
        </w:rPr>
      </w:pPr>
      <w:r>
        <w:rPr>
          <w:rFonts w:ascii="宋体" w:hAnsi="宋体" w:eastAsia="宋体" w:cs="DengXian-Regular"/>
          <w:sz w:val="28"/>
          <w:szCs w:val="28"/>
        </w:rPr>
        <w:t xml:space="preserve">2019 </w:t>
      </w:r>
      <w:r>
        <w:rPr>
          <w:rFonts w:hint="eastAsia" w:ascii="宋体" w:hAnsi="宋体" w:eastAsia="宋体" w:cs="DengXian-Regular"/>
          <w:sz w:val="28"/>
          <w:szCs w:val="28"/>
        </w:rPr>
        <w:t>年度财政拨款基本支出</w:t>
      </w:r>
      <w:r>
        <w:rPr>
          <w:rFonts w:ascii="宋体" w:hAnsi="宋体" w:eastAsia="宋体" w:cs="DengXian-Regular"/>
          <w:sz w:val="28"/>
          <w:szCs w:val="28"/>
        </w:rPr>
        <w:t>3567.86</w:t>
      </w:r>
      <w:r>
        <w:rPr>
          <w:rFonts w:hint="eastAsia" w:ascii="宋体" w:hAnsi="宋体" w:eastAsia="宋体" w:cs="DengXian-Regular"/>
          <w:sz w:val="28"/>
          <w:szCs w:val="28"/>
        </w:rPr>
        <w:t>万元，其中：人员经费</w:t>
      </w:r>
      <w:r>
        <w:rPr>
          <w:rFonts w:ascii="宋体" w:hAnsi="宋体" w:eastAsia="宋体" w:cs="DengXian-Regular"/>
          <w:sz w:val="28"/>
          <w:szCs w:val="28"/>
        </w:rPr>
        <w:t>3469.49</w:t>
      </w:r>
      <w:r>
        <w:rPr>
          <w:rFonts w:hint="eastAsia" w:ascii="宋体" w:hAnsi="宋体" w:eastAsia="宋体" w:cs="DengXian-Regular"/>
          <w:sz w:val="28"/>
          <w:szCs w:val="28"/>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宋体" w:hAnsi="宋体" w:eastAsia="宋体" w:cs="DengXian-Regular"/>
          <w:sz w:val="28"/>
          <w:szCs w:val="28"/>
        </w:rPr>
        <w:t>98.37</w:t>
      </w:r>
      <w:r>
        <w:rPr>
          <w:rFonts w:hint="eastAsia" w:ascii="宋体" w:hAnsi="宋体" w:eastAsia="宋体" w:cs="DengXian-Regular"/>
          <w:sz w:val="28"/>
          <w:szCs w:val="28"/>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560" w:firstLineChars="200"/>
        <w:rPr>
          <w:rFonts w:ascii="宋体" w:hAnsi="宋体" w:eastAsia="宋体" w:cs="DengXian-Regular"/>
          <w:sz w:val="28"/>
          <w:szCs w:val="28"/>
        </w:rPr>
      </w:pPr>
      <w:r>
        <w:rPr>
          <w:rFonts w:hint="eastAsia" w:ascii="宋体" w:hAnsi="宋体" w:eastAsia="宋体" w:cs="DengXian-Regular"/>
          <w:sz w:val="28"/>
          <w:szCs w:val="28"/>
        </w:rPr>
        <w:t>本部门</w:t>
      </w:r>
      <w:r>
        <w:rPr>
          <w:rFonts w:ascii="宋体" w:hAnsi="宋体" w:eastAsia="宋体" w:cs="DengXian-Regular"/>
          <w:sz w:val="28"/>
          <w:szCs w:val="28"/>
        </w:rPr>
        <w:t>2019</w:t>
      </w:r>
      <w:r>
        <w:rPr>
          <w:rFonts w:hint="eastAsia" w:ascii="宋体" w:hAnsi="宋体" w:eastAsia="宋体" w:cs="DengXian-Regular"/>
          <w:sz w:val="28"/>
          <w:szCs w:val="28"/>
        </w:rPr>
        <w:t>年度“三公”经费支出共计</w:t>
      </w:r>
      <w:r>
        <w:rPr>
          <w:rFonts w:ascii="宋体" w:hAnsi="宋体" w:eastAsia="宋体" w:cs="DengXian-Regular"/>
          <w:sz w:val="28"/>
          <w:szCs w:val="28"/>
        </w:rPr>
        <w:t>39.38</w:t>
      </w:r>
      <w:r>
        <w:rPr>
          <w:rFonts w:hint="eastAsia" w:ascii="宋体" w:hAnsi="宋体" w:eastAsia="宋体" w:cs="DengXian-Regular"/>
          <w:sz w:val="28"/>
          <w:szCs w:val="28"/>
        </w:rPr>
        <w:t>万元，完成预算的</w:t>
      </w:r>
      <w:r>
        <w:rPr>
          <w:rFonts w:ascii="宋体" w:hAnsi="宋体" w:eastAsia="宋体" w:cs="DengXian-Regular"/>
          <w:sz w:val="28"/>
          <w:szCs w:val="28"/>
        </w:rPr>
        <w:t>78.76%,</w:t>
      </w:r>
      <w:r>
        <w:rPr>
          <w:rFonts w:hint="eastAsia" w:ascii="宋体" w:hAnsi="宋体" w:eastAsia="宋体" w:cs="DengXian-Regular"/>
          <w:sz w:val="28"/>
          <w:szCs w:val="28"/>
        </w:rPr>
        <w:t>较预算减少</w:t>
      </w:r>
      <w:r>
        <w:rPr>
          <w:rFonts w:ascii="宋体" w:hAnsi="宋体" w:eastAsia="宋体" w:cs="DengXian-Regular"/>
          <w:sz w:val="28"/>
          <w:szCs w:val="28"/>
        </w:rPr>
        <w:t>10.62</w:t>
      </w:r>
      <w:r>
        <w:rPr>
          <w:rFonts w:hint="eastAsia" w:ascii="宋体" w:hAnsi="宋体" w:eastAsia="宋体" w:cs="DengXian-Regular"/>
          <w:sz w:val="28"/>
          <w:szCs w:val="28"/>
        </w:rPr>
        <w:t>万元，降低</w:t>
      </w:r>
      <w:r>
        <w:rPr>
          <w:rFonts w:ascii="宋体" w:hAnsi="宋体" w:eastAsia="宋体" w:cs="DengXian-Regular"/>
          <w:sz w:val="28"/>
          <w:szCs w:val="28"/>
        </w:rPr>
        <w:t>21.24%</w:t>
      </w:r>
      <w:r>
        <w:rPr>
          <w:rFonts w:hint="eastAsia" w:ascii="宋体" w:hAnsi="宋体" w:eastAsia="宋体" w:cs="DengXian-Regular"/>
          <w:sz w:val="28"/>
          <w:szCs w:val="28"/>
        </w:rPr>
        <w:t>，主要是认真贯彻落实中央</w:t>
      </w:r>
      <w:r>
        <w:rPr>
          <w:rFonts w:hint="eastAsia" w:ascii="宋体" w:hAnsi="宋体" w:eastAsia="宋体" w:cs="DengXian-Regular"/>
          <w:sz w:val="28"/>
          <w:szCs w:val="28"/>
          <w:lang w:eastAsia="zh-CN"/>
        </w:rPr>
        <w:t>八项规定</w:t>
      </w:r>
      <w:r>
        <w:rPr>
          <w:rFonts w:hint="eastAsia" w:ascii="宋体" w:hAnsi="宋体" w:eastAsia="宋体" w:cs="DengXian-Regular"/>
          <w:sz w:val="28"/>
          <w:szCs w:val="28"/>
        </w:rPr>
        <w:t>精神和厉行节约要求，从严控制“三公”经费开支，全年实际支出比预算有所节约；较</w:t>
      </w:r>
      <w:r>
        <w:rPr>
          <w:rFonts w:ascii="宋体" w:hAnsi="宋体" w:eastAsia="宋体" w:cs="DengXian-Regular"/>
          <w:sz w:val="28"/>
          <w:szCs w:val="28"/>
        </w:rPr>
        <w:t>2018</w:t>
      </w:r>
      <w:r>
        <w:rPr>
          <w:rFonts w:hint="eastAsia" w:ascii="宋体" w:hAnsi="宋体" w:eastAsia="宋体" w:cs="DengXian-Regular"/>
          <w:sz w:val="28"/>
          <w:szCs w:val="28"/>
        </w:rPr>
        <w:t>年度减少</w:t>
      </w:r>
      <w:r>
        <w:rPr>
          <w:rFonts w:ascii="宋体" w:hAnsi="宋体" w:eastAsia="宋体" w:cs="DengXian-Regular"/>
          <w:sz w:val="28"/>
          <w:szCs w:val="28"/>
        </w:rPr>
        <w:t>4.76</w:t>
      </w:r>
      <w:r>
        <w:rPr>
          <w:rFonts w:hint="eastAsia" w:ascii="宋体" w:hAnsi="宋体" w:eastAsia="宋体" w:cs="DengXian-Regular"/>
          <w:sz w:val="28"/>
          <w:szCs w:val="28"/>
        </w:rPr>
        <w:t>万元，降低</w:t>
      </w:r>
      <w:r>
        <w:rPr>
          <w:rFonts w:ascii="宋体" w:hAnsi="宋体" w:eastAsia="宋体" w:cs="DengXian-Regular"/>
          <w:sz w:val="28"/>
          <w:szCs w:val="28"/>
        </w:rPr>
        <w:t>10.79%</w:t>
      </w:r>
      <w:r>
        <w:rPr>
          <w:rFonts w:hint="eastAsia" w:ascii="宋体" w:hAnsi="宋体" w:eastAsia="宋体" w:cs="DengXian-Regular"/>
          <w:sz w:val="28"/>
          <w:szCs w:val="28"/>
        </w:rPr>
        <w:t>，主要是主要是认真贯彻落实中央</w:t>
      </w:r>
      <w:r>
        <w:rPr>
          <w:rFonts w:hint="eastAsia" w:ascii="宋体" w:hAnsi="宋体" w:eastAsia="宋体" w:cs="DengXian-Regular"/>
          <w:sz w:val="28"/>
          <w:szCs w:val="28"/>
          <w:lang w:eastAsia="zh-CN"/>
        </w:rPr>
        <w:t>八项规定</w:t>
      </w:r>
      <w:r>
        <w:rPr>
          <w:rFonts w:hint="eastAsia" w:ascii="宋体" w:hAnsi="宋体" w:eastAsia="宋体" w:cs="DengXian-Regular"/>
          <w:sz w:val="28"/>
          <w:szCs w:val="28"/>
        </w:rPr>
        <w:t>精神和厉行节约要求，从严控制“三公”经费开支，全年实际支出比预算有所节约。具体情况如下：</w:t>
      </w:r>
    </w:p>
    <w:p>
      <w:pPr>
        <w:adjustRightInd w:val="0"/>
        <w:snapToGrid w:val="0"/>
        <w:spacing w:line="580" w:lineRule="exact"/>
        <w:ind w:firstLine="562" w:firstLineChars="200"/>
        <w:rPr>
          <w:rFonts w:hint="eastAsia" w:ascii="宋体" w:hAnsi="宋体" w:eastAsia="宋体" w:cs="DengXian-Regular"/>
          <w:sz w:val="28"/>
          <w:szCs w:val="28"/>
          <w:lang w:val="en-US" w:eastAsia="zh-CN"/>
        </w:rPr>
      </w:pPr>
      <w:r>
        <w:rPr>
          <w:rFonts w:hint="eastAsia" w:ascii="宋体" w:hAnsi="宋体" w:eastAsia="宋体" w:cs="DengXian-Bold"/>
          <w:b/>
          <w:bCs/>
          <w:sz w:val="28"/>
          <w:szCs w:val="28"/>
        </w:rPr>
        <w:t>（一）因公出国（境）费无支出。</w:t>
      </w:r>
      <w:r>
        <w:rPr>
          <w:rFonts w:hint="eastAsia" w:ascii="宋体" w:hAnsi="宋体" w:eastAsia="宋体" w:cs="DengXian-Regular"/>
          <w:sz w:val="28"/>
          <w:szCs w:val="28"/>
        </w:rPr>
        <w:t>本部门</w:t>
      </w:r>
      <w:r>
        <w:rPr>
          <w:rFonts w:ascii="宋体" w:hAnsi="宋体" w:eastAsia="宋体" w:cs="DengXian-Regular"/>
          <w:sz w:val="28"/>
          <w:szCs w:val="28"/>
        </w:rPr>
        <w:t>2019</w:t>
      </w:r>
      <w:r>
        <w:rPr>
          <w:rFonts w:hint="eastAsia" w:ascii="宋体" w:hAnsi="宋体" w:eastAsia="宋体" w:cs="DengXian-Regular"/>
          <w:sz w:val="28"/>
          <w:szCs w:val="28"/>
        </w:rPr>
        <w:t>年度无因公出国（境）团组，无参加其他单位组织的因公出国（境）团组。</w:t>
      </w:r>
      <w:r>
        <w:rPr>
          <w:rFonts w:hint="eastAsia" w:ascii="宋体" w:hAnsi="宋体" w:eastAsia="宋体" w:cs="DengXian-Regular"/>
          <w:sz w:val="28"/>
          <w:szCs w:val="28"/>
          <w:lang w:val="en-US" w:eastAsia="zh-CN"/>
        </w:rPr>
        <w:t>0人次0组次，</w:t>
      </w:r>
      <w:r>
        <w:rPr>
          <w:rFonts w:hint="eastAsia" w:ascii="宋体" w:hAnsi="宋体" w:eastAsia="宋体" w:cs="DengXian-Regular"/>
          <w:sz w:val="28"/>
          <w:szCs w:val="28"/>
          <w:lang w:eastAsia="zh-CN"/>
        </w:rPr>
        <w:t>与年初预算无变化，与上年决算无变化。</w:t>
      </w:r>
    </w:p>
    <w:p>
      <w:pPr>
        <w:adjustRightInd w:val="0"/>
        <w:snapToGrid w:val="0"/>
        <w:spacing w:line="580" w:lineRule="exact"/>
        <w:ind w:firstLine="562" w:firstLineChars="200"/>
        <w:rPr>
          <w:rFonts w:ascii="宋体" w:hAnsi="宋体" w:eastAsia="宋体" w:cs="DengXian-Bold"/>
          <w:b/>
          <w:bCs/>
          <w:sz w:val="28"/>
          <w:szCs w:val="28"/>
        </w:rPr>
      </w:pPr>
      <w:r>
        <w:rPr>
          <w:rFonts w:hint="eastAsia" w:ascii="宋体" w:hAnsi="宋体" w:eastAsia="宋体" w:cs="DengXian-Bold"/>
          <w:b/>
          <w:bCs/>
          <w:sz w:val="28"/>
          <w:szCs w:val="28"/>
        </w:rPr>
        <w:t>（二）公务用车购置及运行维护费支出</w:t>
      </w:r>
      <w:r>
        <w:rPr>
          <w:rFonts w:ascii="宋体" w:hAnsi="宋体" w:eastAsia="宋体" w:cs="DengXian-Bold"/>
          <w:b/>
          <w:bCs/>
          <w:sz w:val="28"/>
          <w:szCs w:val="28"/>
        </w:rPr>
        <w:t>39.38</w:t>
      </w:r>
      <w:r>
        <w:rPr>
          <w:rFonts w:hint="eastAsia" w:ascii="宋体" w:hAnsi="宋体" w:eastAsia="宋体" w:cs="DengXian-Bold"/>
          <w:b/>
          <w:bCs/>
          <w:sz w:val="28"/>
          <w:szCs w:val="28"/>
        </w:rPr>
        <w:t>万元。</w:t>
      </w:r>
      <w:r>
        <w:rPr>
          <w:rFonts w:hint="eastAsia" w:ascii="宋体" w:hAnsi="宋体" w:eastAsia="宋体" w:cs="DengXian-Regular"/>
          <w:sz w:val="28"/>
          <w:szCs w:val="28"/>
        </w:rPr>
        <w:t>本部门</w:t>
      </w:r>
      <w:r>
        <w:rPr>
          <w:rFonts w:ascii="宋体" w:hAnsi="宋体" w:eastAsia="宋体" w:cs="DengXian-Regular"/>
          <w:sz w:val="28"/>
          <w:szCs w:val="28"/>
        </w:rPr>
        <w:t>2019</w:t>
      </w:r>
      <w:r>
        <w:rPr>
          <w:rFonts w:hint="eastAsia" w:ascii="宋体" w:hAnsi="宋体" w:eastAsia="宋体" w:cs="DengXian-Regular"/>
          <w:sz w:val="28"/>
          <w:szCs w:val="28"/>
        </w:rPr>
        <w:t>年度公务用车购置及运行维护费较预算减少</w:t>
      </w:r>
      <w:r>
        <w:rPr>
          <w:rFonts w:ascii="宋体" w:hAnsi="宋体" w:eastAsia="宋体" w:cs="DengXian-Regular"/>
          <w:sz w:val="28"/>
          <w:szCs w:val="28"/>
        </w:rPr>
        <w:t>10.62</w:t>
      </w:r>
      <w:r>
        <w:rPr>
          <w:rFonts w:hint="eastAsia" w:ascii="宋体" w:hAnsi="宋体" w:eastAsia="宋体" w:cs="DengXian-Regular"/>
          <w:sz w:val="28"/>
          <w:szCs w:val="28"/>
        </w:rPr>
        <w:t>万元，降低</w:t>
      </w:r>
      <w:r>
        <w:rPr>
          <w:rFonts w:ascii="宋体" w:hAnsi="宋体" w:eastAsia="宋体" w:cs="DengXian-Regular"/>
          <w:sz w:val="28"/>
          <w:szCs w:val="28"/>
        </w:rPr>
        <w:t>21.24%,</w:t>
      </w:r>
      <w:r>
        <w:rPr>
          <w:rFonts w:hint="eastAsia" w:ascii="宋体" w:hAnsi="宋体" w:eastAsia="宋体" w:cs="DengXian-Regular"/>
          <w:sz w:val="28"/>
          <w:szCs w:val="28"/>
        </w:rPr>
        <w:t>主要是认真贯彻落实中央</w:t>
      </w:r>
      <w:r>
        <w:rPr>
          <w:rFonts w:hint="eastAsia" w:ascii="宋体" w:hAnsi="宋体" w:eastAsia="宋体" w:cs="DengXian-Regular"/>
          <w:sz w:val="28"/>
          <w:szCs w:val="28"/>
          <w:lang w:eastAsia="zh-CN"/>
        </w:rPr>
        <w:t>八项规定</w:t>
      </w:r>
      <w:r>
        <w:rPr>
          <w:rFonts w:hint="eastAsia" w:ascii="宋体" w:hAnsi="宋体" w:eastAsia="宋体" w:cs="DengXian-Regular"/>
          <w:sz w:val="28"/>
          <w:szCs w:val="28"/>
        </w:rPr>
        <w:t>精神和厉行节约要求，从严控制“三公”经费开支，全年实际支出比预算有所节约；较上年减少</w:t>
      </w:r>
      <w:r>
        <w:rPr>
          <w:rFonts w:ascii="宋体" w:hAnsi="宋体" w:eastAsia="宋体" w:cs="DengXian-Regular"/>
          <w:sz w:val="28"/>
          <w:szCs w:val="28"/>
        </w:rPr>
        <w:t>4.76</w:t>
      </w:r>
      <w:r>
        <w:rPr>
          <w:rFonts w:hint="eastAsia" w:ascii="宋体" w:hAnsi="宋体" w:eastAsia="宋体" w:cs="DengXian-Regular"/>
          <w:sz w:val="28"/>
          <w:szCs w:val="28"/>
        </w:rPr>
        <w:t>万元，降低</w:t>
      </w:r>
      <w:r>
        <w:rPr>
          <w:rFonts w:ascii="宋体" w:hAnsi="宋体" w:eastAsia="宋体" w:cs="DengXian-Regular"/>
          <w:sz w:val="28"/>
          <w:szCs w:val="28"/>
        </w:rPr>
        <w:t>10.79%,</w:t>
      </w:r>
      <w:r>
        <w:rPr>
          <w:rFonts w:hint="eastAsia" w:ascii="宋体" w:hAnsi="宋体" w:eastAsia="宋体" w:cs="DengXian-Regular"/>
          <w:sz w:val="28"/>
          <w:szCs w:val="28"/>
        </w:rPr>
        <w:t>主要是认真贯彻落实中央</w:t>
      </w:r>
      <w:r>
        <w:rPr>
          <w:rFonts w:hint="eastAsia" w:ascii="宋体" w:hAnsi="宋体" w:eastAsia="宋体" w:cs="DengXian-Regular"/>
          <w:sz w:val="28"/>
          <w:szCs w:val="28"/>
          <w:lang w:eastAsia="zh-CN"/>
        </w:rPr>
        <w:t>八项规定</w:t>
      </w:r>
      <w:r>
        <w:rPr>
          <w:rFonts w:hint="eastAsia" w:ascii="宋体" w:hAnsi="宋体" w:eastAsia="宋体" w:cs="DengXian-Regular"/>
          <w:sz w:val="28"/>
          <w:szCs w:val="28"/>
        </w:rPr>
        <w:t>精神和厉行节约要求，从严控制“三公”经费开支，全年实际支出比预算有所节约。</w:t>
      </w:r>
      <w:r>
        <w:rPr>
          <w:rFonts w:hint="eastAsia" w:ascii="宋体" w:hAnsi="宋体" w:eastAsia="宋体" w:cs="DengXian-Bold"/>
          <w:b/>
          <w:bCs/>
          <w:sz w:val="28"/>
          <w:szCs w:val="28"/>
        </w:rPr>
        <w:t>其中：</w:t>
      </w:r>
    </w:p>
    <w:p>
      <w:pPr>
        <w:adjustRightInd w:val="0"/>
        <w:snapToGrid w:val="0"/>
        <w:spacing w:line="580" w:lineRule="exact"/>
        <w:ind w:firstLine="562" w:firstLineChars="200"/>
        <w:rPr>
          <w:rFonts w:ascii="宋体" w:hAnsi="宋体" w:eastAsia="宋体" w:cs="DengXian-Regular"/>
          <w:sz w:val="28"/>
          <w:szCs w:val="28"/>
        </w:rPr>
      </w:pPr>
      <w:r>
        <w:rPr>
          <w:rFonts w:hint="eastAsia" w:ascii="宋体" w:hAnsi="宋体" w:eastAsia="宋体" w:cs="DengXian-Regular"/>
          <w:b/>
          <w:sz w:val="28"/>
          <w:szCs w:val="28"/>
        </w:rPr>
        <w:t>公务用车购置费：</w:t>
      </w:r>
      <w:r>
        <w:rPr>
          <w:rFonts w:hint="eastAsia" w:ascii="宋体" w:hAnsi="宋体" w:eastAsia="宋体" w:cs="DengXian-Regular"/>
          <w:sz w:val="28"/>
          <w:szCs w:val="28"/>
        </w:rPr>
        <w:t>本部门</w:t>
      </w:r>
      <w:r>
        <w:rPr>
          <w:rFonts w:ascii="宋体" w:hAnsi="宋体" w:eastAsia="宋体" w:cs="DengXian-Regular"/>
          <w:sz w:val="28"/>
          <w:szCs w:val="28"/>
        </w:rPr>
        <w:t>2019</w:t>
      </w:r>
      <w:r>
        <w:rPr>
          <w:rFonts w:hint="eastAsia" w:ascii="宋体" w:hAnsi="宋体" w:eastAsia="宋体" w:cs="DengXian-Regular"/>
          <w:sz w:val="28"/>
          <w:szCs w:val="28"/>
        </w:rPr>
        <w:t>年度未发生公务用车购置，未发生“公务用车购置”经费支出。公务用车购置费支出较年初预算持平。公务用车购置费支出较</w:t>
      </w:r>
      <w:r>
        <w:rPr>
          <w:rFonts w:ascii="宋体" w:hAnsi="宋体" w:eastAsia="宋体" w:cs="DengXian-Regular"/>
          <w:sz w:val="28"/>
          <w:szCs w:val="28"/>
        </w:rPr>
        <w:t>2018</w:t>
      </w:r>
      <w:r>
        <w:rPr>
          <w:rFonts w:hint="eastAsia" w:ascii="宋体" w:hAnsi="宋体" w:eastAsia="宋体" w:cs="DengXian-Regular"/>
          <w:sz w:val="28"/>
          <w:szCs w:val="28"/>
        </w:rPr>
        <w:t>年决算持平。</w:t>
      </w:r>
    </w:p>
    <w:p>
      <w:pPr>
        <w:adjustRightInd w:val="0"/>
        <w:snapToGrid w:val="0"/>
        <w:spacing w:line="580" w:lineRule="exact"/>
        <w:ind w:firstLine="562" w:firstLineChars="200"/>
        <w:rPr>
          <w:rFonts w:ascii="宋体" w:hAnsi="宋体" w:eastAsia="宋体" w:cs="DengXian-Regular"/>
          <w:sz w:val="28"/>
          <w:szCs w:val="28"/>
        </w:rPr>
      </w:pPr>
      <w:r>
        <w:rPr>
          <w:rFonts w:hint="eastAsia" w:ascii="宋体" w:hAnsi="宋体" w:eastAsia="宋体" w:cs="DengXian-Regular"/>
          <w:b/>
          <w:sz w:val="28"/>
          <w:szCs w:val="28"/>
        </w:rPr>
        <w:t>公务用车运行维护费：</w:t>
      </w:r>
      <w:r>
        <w:rPr>
          <w:rFonts w:hint="eastAsia" w:ascii="宋体" w:hAnsi="宋体" w:eastAsia="宋体" w:cs="DengXian-Regular"/>
          <w:sz w:val="28"/>
          <w:szCs w:val="28"/>
        </w:rPr>
        <w:t>本部门</w:t>
      </w:r>
      <w:r>
        <w:rPr>
          <w:rFonts w:ascii="宋体" w:hAnsi="宋体" w:eastAsia="宋体" w:cs="DengXian-Regular"/>
          <w:sz w:val="28"/>
          <w:szCs w:val="28"/>
        </w:rPr>
        <w:t>2019</w:t>
      </w:r>
      <w:r>
        <w:rPr>
          <w:rFonts w:hint="eastAsia" w:ascii="宋体" w:hAnsi="宋体" w:eastAsia="宋体" w:cs="DengXian-Regular"/>
          <w:sz w:val="28"/>
          <w:szCs w:val="28"/>
        </w:rPr>
        <w:t>年度单位公务用车保有量</w:t>
      </w:r>
      <w:r>
        <w:rPr>
          <w:rFonts w:ascii="宋体" w:hAnsi="宋体" w:eastAsia="宋体" w:cs="DengXian-Regular"/>
          <w:sz w:val="28"/>
          <w:szCs w:val="28"/>
        </w:rPr>
        <w:t>19</w:t>
      </w:r>
      <w:r>
        <w:rPr>
          <w:rFonts w:hint="eastAsia" w:ascii="宋体" w:hAnsi="宋体" w:eastAsia="宋体" w:cs="DengXian-Regular"/>
          <w:sz w:val="28"/>
          <w:szCs w:val="28"/>
        </w:rPr>
        <w:t>辆。公车运行维护费支出较预算减少</w:t>
      </w:r>
      <w:r>
        <w:rPr>
          <w:rFonts w:ascii="宋体" w:hAnsi="宋体" w:eastAsia="宋体" w:cs="DengXian-Regular"/>
          <w:sz w:val="28"/>
          <w:szCs w:val="28"/>
        </w:rPr>
        <w:t>10.62</w:t>
      </w:r>
      <w:r>
        <w:rPr>
          <w:rFonts w:hint="eastAsia" w:ascii="宋体" w:hAnsi="宋体" w:eastAsia="宋体" w:cs="DengXian-Regular"/>
          <w:sz w:val="28"/>
          <w:szCs w:val="28"/>
        </w:rPr>
        <w:t>万元，降低</w:t>
      </w:r>
      <w:r>
        <w:rPr>
          <w:rFonts w:ascii="宋体" w:hAnsi="宋体" w:eastAsia="宋体" w:cs="DengXian-Regular"/>
          <w:sz w:val="28"/>
          <w:szCs w:val="28"/>
        </w:rPr>
        <w:t>21.24%,</w:t>
      </w:r>
      <w:r>
        <w:rPr>
          <w:rFonts w:hint="eastAsia" w:ascii="宋体" w:hAnsi="宋体" w:eastAsia="宋体" w:cs="DengXian-Regular"/>
          <w:sz w:val="28"/>
          <w:szCs w:val="28"/>
        </w:rPr>
        <w:t>主要是认真贯彻落实中央</w:t>
      </w:r>
      <w:r>
        <w:rPr>
          <w:rFonts w:hint="eastAsia" w:ascii="宋体" w:hAnsi="宋体" w:eastAsia="宋体" w:cs="DengXian-Regular"/>
          <w:sz w:val="28"/>
          <w:szCs w:val="28"/>
          <w:lang w:eastAsia="zh-CN"/>
        </w:rPr>
        <w:t>八项规定</w:t>
      </w:r>
      <w:r>
        <w:rPr>
          <w:rFonts w:hint="eastAsia" w:ascii="宋体" w:hAnsi="宋体" w:eastAsia="宋体" w:cs="DengXian-Regular"/>
          <w:sz w:val="28"/>
          <w:szCs w:val="28"/>
        </w:rPr>
        <w:t>精神和厉行节约要求，从严控制“三公”经费开支，全年实际支出比预算有所节约；较上年减少</w:t>
      </w:r>
      <w:r>
        <w:rPr>
          <w:rFonts w:ascii="宋体" w:hAnsi="宋体" w:eastAsia="宋体" w:cs="DengXian-Regular"/>
          <w:sz w:val="28"/>
          <w:szCs w:val="28"/>
        </w:rPr>
        <w:t>4.76</w:t>
      </w:r>
      <w:r>
        <w:rPr>
          <w:rFonts w:hint="eastAsia" w:ascii="宋体" w:hAnsi="宋体" w:eastAsia="宋体" w:cs="DengXian-Regular"/>
          <w:sz w:val="28"/>
          <w:szCs w:val="28"/>
        </w:rPr>
        <w:t>万元，降低</w:t>
      </w:r>
      <w:r>
        <w:rPr>
          <w:rFonts w:ascii="宋体" w:hAnsi="宋体" w:eastAsia="宋体" w:cs="DengXian-Regular"/>
          <w:sz w:val="28"/>
          <w:szCs w:val="28"/>
        </w:rPr>
        <w:t>10.79%</w:t>
      </w:r>
      <w:r>
        <w:rPr>
          <w:rFonts w:hint="eastAsia" w:ascii="宋体" w:hAnsi="宋体" w:eastAsia="宋体" w:cs="DengXian-Regular"/>
          <w:sz w:val="28"/>
          <w:szCs w:val="28"/>
        </w:rPr>
        <w:t>，主要是主要是认真贯彻落实中央</w:t>
      </w:r>
      <w:r>
        <w:rPr>
          <w:rFonts w:hint="eastAsia" w:ascii="宋体" w:hAnsi="宋体" w:eastAsia="宋体" w:cs="DengXian-Regular"/>
          <w:sz w:val="28"/>
          <w:szCs w:val="28"/>
          <w:lang w:eastAsia="zh-CN"/>
        </w:rPr>
        <w:t>八项规定</w:t>
      </w:r>
      <w:r>
        <w:rPr>
          <w:rFonts w:hint="eastAsia" w:ascii="宋体" w:hAnsi="宋体" w:eastAsia="宋体" w:cs="DengXian-Regular"/>
          <w:sz w:val="28"/>
          <w:szCs w:val="28"/>
        </w:rPr>
        <w:t>精神和厉行节约要求，从严控制“三公”经费开支，全年实际支出比预算有所节约。</w:t>
      </w:r>
    </w:p>
    <w:p>
      <w:pPr>
        <w:adjustRightInd w:val="0"/>
        <w:snapToGrid w:val="0"/>
        <w:spacing w:line="580" w:lineRule="exact"/>
        <w:ind w:firstLine="643" w:firstLineChars="200"/>
        <w:rPr>
          <w:rFonts w:ascii="宋体" w:hAnsi="宋体" w:eastAsia="宋体" w:cs="DengXian-Regular"/>
          <w:sz w:val="28"/>
          <w:szCs w:val="28"/>
        </w:rPr>
      </w:pPr>
      <w:r>
        <w:rPr>
          <w:rFonts w:hint="eastAsia" w:ascii="楷体_GB2312" w:hAnsi="Times New Roman" w:eastAsia="楷体_GB2312" w:cs="DengXian-Bold"/>
          <w:b/>
          <w:bCs/>
          <w:sz w:val="32"/>
          <w:szCs w:val="32"/>
        </w:rPr>
        <w:t>（</w:t>
      </w:r>
      <w:r>
        <w:rPr>
          <w:rFonts w:hint="eastAsia" w:ascii="宋体" w:hAnsi="宋体" w:eastAsia="宋体" w:cs="DengXian-Bold"/>
          <w:b/>
          <w:bCs/>
          <w:sz w:val="28"/>
          <w:szCs w:val="28"/>
        </w:rPr>
        <w:t>三）公务接待费无支出。</w:t>
      </w:r>
      <w:r>
        <w:rPr>
          <w:rFonts w:hint="eastAsia" w:ascii="宋体" w:hAnsi="宋体" w:eastAsia="宋体" w:cs="DengXian-Regular"/>
          <w:sz w:val="28"/>
          <w:szCs w:val="28"/>
        </w:rPr>
        <w:t>本部门</w:t>
      </w:r>
      <w:r>
        <w:rPr>
          <w:rFonts w:ascii="宋体" w:hAnsi="宋体" w:eastAsia="宋体" w:cs="DengXian-Regular"/>
          <w:sz w:val="28"/>
          <w:szCs w:val="28"/>
        </w:rPr>
        <w:t>2019</w:t>
      </w:r>
      <w:r>
        <w:rPr>
          <w:rFonts w:hint="eastAsia" w:ascii="宋体" w:hAnsi="宋体" w:eastAsia="宋体" w:cs="DengXian-Regular"/>
          <w:sz w:val="28"/>
          <w:szCs w:val="28"/>
        </w:rPr>
        <w:t>年度未发生公务接待</w:t>
      </w:r>
      <w:r>
        <w:rPr>
          <w:rFonts w:hint="eastAsia" w:ascii="宋体" w:hAnsi="宋体" w:eastAsia="宋体" w:cs="DengXian-Regular"/>
          <w:sz w:val="28"/>
          <w:szCs w:val="28"/>
          <w:lang w:val="en-US" w:eastAsia="zh-CN"/>
        </w:rPr>
        <w:t>0人次0</w:t>
      </w:r>
      <w:r>
        <w:rPr>
          <w:rFonts w:hint="eastAsia" w:ascii="宋体" w:hAnsi="宋体" w:eastAsia="宋体" w:cs="DengXian-Regular"/>
          <w:sz w:val="28"/>
          <w:szCs w:val="28"/>
        </w:rPr>
        <w:t>批次。公务接待费支出较预算持平；较上年度持平。</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预算绩效管理工作开展情况。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spacing w:line="500" w:lineRule="exact"/>
        <w:ind w:firstLine="560" w:firstLineChars="200"/>
        <w:jc w:val="left"/>
        <w:rPr>
          <w:rFonts w:eastAsia="方正仿宋_GBK"/>
          <w:sz w:val="28"/>
        </w:rPr>
      </w:pPr>
      <w:r>
        <w:rPr>
          <w:rFonts w:hint="eastAsia" w:eastAsia="方正仿宋_GBK"/>
          <w:sz w:val="28"/>
        </w:rPr>
        <w:t>（一）全力推进交通项目建设</w:t>
      </w:r>
    </w:p>
    <w:p>
      <w:pPr>
        <w:spacing w:line="500" w:lineRule="exact"/>
        <w:ind w:firstLine="560" w:firstLineChars="200"/>
        <w:jc w:val="left"/>
        <w:rPr>
          <w:rFonts w:eastAsia="方正仿宋_GBK"/>
          <w:sz w:val="28"/>
        </w:rPr>
      </w:pPr>
      <w:r>
        <w:rPr>
          <w:rFonts w:eastAsia="方正仿宋_GBK"/>
          <w:sz w:val="28"/>
        </w:rPr>
        <w:t>1</w:t>
      </w:r>
      <w:r>
        <w:rPr>
          <w:rFonts w:hint="eastAsia" w:eastAsia="方正仿宋_GBK"/>
          <w:sz w:val="28"/>
        </w:rPr>
        <w:t>、协调推进安大线工程。</w:t>
      </w:r>
    </w:p>
    <w:p>
      <w:pPr>
        <w:spacing w:line="500" w:lineRule="exact"/>
        <w:ind w:firstLine="560" w:firstLineChars="200"/>
        <w:jc w:val="left"/>
        <w:rPr>
          <w:rFonts w:eastAsia="方正仿宋_GBK"/>
          <w:sz w:val="28"/>
        </w:rPr>
      </w:pPr>
      <w:r>
        <w:rPr>
          <w:rFonts w:eastAsia="方正仿宋_GBK"/>
          <w:sz w:val="28"/>
        </w:rPr>
        <w:t>2</w:t>
      </w:r>
      <w:r>
        <w:rPr>
          <w:rFonts w:hint="eastAsia" w:eastAsia="方正仿宋_GBK"/>
          <w:sz w:val="28"/>
        </w:rPr>
        <w:t>、继续实施农村公路改造工程。</w:t>
      </w:r>
    </w:p>
    <w:p>
      <w:pPr>
        <w:spacing w:line="500" w:lineRule="exact"/>
        <w:ind w:firstLine="560" w:firstLineChars="200"/>
        <w:jc w:val="left"/>
        <w:rPr>
          <w:rFonts w:eastAsia="方正仿宋_GBK"/>
          <w:sz w:val="28"/>
        </w:rPr>
      </w:pPr>
      <w:r>
        <w:rPr>
          <w:rFonts w:hint="eastAsia" w:eastAsia="方正仿宋_GBK"/>
          <w:sz w:val="28"/>
        </w:rPr>
        <w:t>（二）积极稳妥推进公交一体化建设</w:t>
      </w:r>
    </w:p>
    <w:p>
      <w:pPr>
        <w:spacing w:line="500" w:lineRule="exact"/>
        <w:ind w:firstLine="560" w:firstLineChars="200"/>
        <w:jc w:val="left"/>
        <w:rPr>
          <w:rFonts w:eastAsia="方正仿宋_GBK"/>
          <w:sz w:val="28"/>
        </w:rPr>
      </w:pPr>
      <w:r>
        <w:rPr>
          <w:rFonts w:eastAsia="方正仿宋_GBK"/>
          <w:sz w:val="28"/>
        </w:rPr>
        <w:t>1</w:t>
      </w:r>
      <w:r>
        <w:rPr>
          <w:rFonts w:hint="eastAsia" w:eastAsia="方正仿宋_GBK"/>
          <w:sz w:val="28"/>
        </w:rPr>
        <w:t>、在现有的基础上切实完成城区公交的接驳换乘。</w:t>
      </w:r>
    </w:p>
    <w:p>
      <w:pPr>
        <w:spacing w:line="500" w:lineRule="exact"/>
        <w:ind w:firstLine="560" w:firstLineChars="200"/>
        <w:jc w:val="left"/>
        <w:rPr>
          <w:rFonts w:eastAsia="方正仿宋_GBK"/>
          <w:sz w:val="28"/>
        </w:rPr>
      </w:pPr>
      <w:r>
        <w:rPr>
          <w:rFonts w:eastAsia="方正仿宋_GBK"/>
          <w:sz w:val="28"/>
        </w:rPr>
        <w:t>2</w:t>
      </w:r>
      <w:r>
        <w:rPr>
          <w:rFonts w:hint="eastAsia" w:eastAsia="方正仿宋_GBK"/>
          <w:sz w:val="28"/>
        </w:rPr>
        <w:t>、推进要庄工业园区的公交接入。</w:t>
      </w:r>
    </w:p>
    <w:p>
      <w:pPr>
        <w:spacing w:line="500" w:lineRule="exact"/>
        <w:ind w:firstLine="560" w:firstLineChars="200"/>
        <w:jc w:val="left"/>
        <w:rPr>
          <w:rFonts w:eastAsia="方正仿宋_GBK"/>
          <w:sz w:val="28"/>
        </w:rPr>
      </w:pPr>
      <w:r>
        <w:rPr>
          <w:rFonts w:hint="eastAsia" w:eastAsia="方正仿宋_GBK"/>
          <w:sz w:val="28"/>
        </w:rPr>
        <w:t>（三）切实加强公路养护管理工作</w:t>
      </w:r>
    </w:p>
    <w:p>
      <w:pPr>
        <w:spacing w:line="500" w:lineRule="exact"/>
        <w:ind w:firstLine="560" w:firstLineChars="200"/>
        <w:jc w:val="left"/>
        <w:rPr>
          <w:rFonts w:eastAsia="方正仿宋_GBK"/>
          <w:sz w:val="28"/>
        </w:rPr>
      </w:pPr>
      <w:r>
        <w:rPr>
          <w:rFonts w:eastAsia="方正仿宋_GBK"/>
          <w:sz w:val="28"/>
        </w:rPr>
        <w:t>1</w:t>
      </w:r>
      <w:r>
        <w:rPr>
          <w:rFonts w:hint="eastAsia" w:eastAsia="方正仿宋_GBK"/>
          <w:sz w:val="28"/>
        </w:rPr>
        <w:t>、谋划推进满于西线雨污分流改造。</w:t>
      </w:r>
    </w:p>
    <w:p>
      <w:pPr>
        <w:spacing w:line="500" w:lineRule="exact"/>
        <w:ind w:firstLine="560" w:firstLineChars="200"/>
        <w:jc w:val="left"/>
        <w:rPr>
          <w:rFonts w:eastAsia="方正仿宋_GBK"/>
          <w:sz w:val="28"/>
        </w:rPr>
      </w:pPr>
      <w:r>
        <w:rPr>
          <w:rFonts w:eastAsia="方正仿宋_GBK"/>
          <w:sz w:val="28"/>
        </w:rPr>
        <w:t>2</w:t>
      </w:r>
      <w:r>
        <w:rPr>
          <w:rFonts w:hint="eastAsia" w:eastAsia="方正仿宋_GBK"/>
          <w:sz w:val="28"/>
        </w:rPr>
        <w:t>、加强公路养护工作。</w:t>
      </w:r>
    </w:p>
    <w:p>
      <w:pPr>
        <w:spacing w:line="500" w:lineRule="exact"/>
        <w:ind w:firstLine="560" w:firstLineChars="200"/>
        <w:jc w:val="left"/>
        <w:rPr>
          <w:rFonts w:eastAsia="方正仿宋_GBK"/>
          <w:sz w:val="28"/>
        </w:rPr>
      </w:pPr>
      <w:r>
        <w:rPr>
          <w:rFonts w:hint="eastAsia" w:eastAsia="方正仿宋_GBK"/>
          <w:sz w:val="28"/>
        </w:rPr>
        <w:t>（四）强力抓好道路安全运输</w:t>
      </w:r>
    </w:p>
    <w:p>
      <w:pPr>
        <w:spacing w:line="500" w:lineRule="exact"/>
        <w:ind w:firstLine="560" w:firstLineChars="200"/>
        <w:jc w:val="left"/>
        <w:rPr>
          <w:rFonts w:eastAsia="方正仿宋_GBK"/>
          <w:sz w:val="28"/>
        </w:rPr>
      </w:pPr>
      <w:r>
        <w:rPr>
          <w:rFonts w:eastAsia="方正仿宋_GBK"/>
          <w:sz w:val="28"/>
        </w:rPr>
        <w:t>1</w:t>
      </w:r>
      <w:r>
        <w:rPr>
          <w:rFonts w:hint="eastAsia" w:eastAsia="方正仿宋_GBK"/>
          <w:sz w:val="28"/>
        </w:rPr>
        <w:t>、大力开展治超工作。</w:t>
      </w:r>
    </w:p>
    <w:p>
      <w:pPr>
        <w:spacing w:line="500" w:lineRule="exact"/>
        <w:ind w:firstLine="560" w:firstLineChars="200"/>
        <w:jc w:val="left"/>
        <w:rPr>
          <w:rFonts w:eastAsia="方正仿宋_GBK"/>
          <w:sz w:val="28"/>
        </w:rPr>
      </w:pPr>
      <w:r>
        <w:rPr>
          <w:rFonts w:eastAsia="方正仿宋_GBK"/>
          <w:sz w:val="28"/>
        </w:rPr>
        <w:t>2</w:t>
      </w:r>
      <w:r>
        <w:rPr>
          <w:rFonts w:hint="eastAsia" w:eastAsia="方正仿宋_GBK"/>
          <w:sz w:val="28"/>
        </w:rPr>
        <w:t>、抓好安全整治。</w:t>
      </w:r>
    </w:p>
    <w:p>
      <w:pPr>
        <w:spacing w:line="500" w:lineRule="exact"/>
        <w:ind w:firstLine="560" w:firstLineChars="200"/>
        <w:jc w:val="left"/>
        <w:rPr>
          <w:rFonts w:eastAsia="方正仿宋_GBK"/>
          <w:sz w:val="28"/>
        </w:rPr>
      </w:pPr>
      <w:r>
        <w:rPr>
          <w:rFonts w:hint="eastAsia" w:eastAsia="方正仿宋_GBK"/>
          <w:sz w:val="28"/>
        </w:rPr>
        <w:t>（五）认真抓好相关重点工作</w:t>
      </w:r>
    </w:p>
    <w:p>
      <w:pPr>
        <w:spacing w:line="500" w:lineRule="exact"/>
        <w:ind w:firstLine="560" w:firstLineChars="200"/>
        <w:jc w:val="left"/>
        <w:rPr>
          <w:rFonts w:eastAsia="方正仿宋_GBK"/>
          <w:sz w:val="28"/>
        </w:rPr>
      </w:pPr>
      <w:r>
        <w:rPr>
          <w:rFonts w:eastAsia="方正仿宋_GBK"/>
          <w:sz w:val="28"/>
        </w:rPr>
        <w:t>1</w:t>
      </w:r>
      <w:r>
        <w:rPr>
          <w:rFonts w:hint="eastAsia" w:eastAsia="方正仿宋_GBK"/>
          <w:sz w:val="28"/>
        </w:rPr>
        <w:t>、抓好生态环境治理。</w:t>
      </w:r>
    </w:p>
    <w:p>
      <w:pPr>
        <w:spacing w:line="500" w:lineRule="exact"/>
        <w:ind w:firstLine="560" w:firstLineChars="200"/>
        <w:jc w:val="left"/>
        <w:rPr>
          <w:rFonts w:eastAsia="方正仿宋_GBK"/>
          <w:sz w:val="28"/>
        </w:rPr>
      </w:pPr>
      <w:r>
        <w:rPr>
          <w:rFonts w:eastAsia="方正仿宋_GBK"/>
          <w:sz w:val="28"/>
        </w:rPr>
        <w:t>2</w:t>
      </w:r>
      <w:r>
        <w:rPr>
          <w:rFonts w:hint="eastAsia" w:eastAsia="方正仿宋_GBK"/>
          <w:sz w:val="28"/>
        </w:rPr>
        <w:t>、抓好常态化疫情防控。</w:t>
      </w:r>
    </w:p>
    <w:p>
      <w:pPr>
        <w:adjustRightInd w:val="0"/>
        <w:snapToGrid w:val="0"/>
        <w:spacing w:line="580" w:lineRule="exact"/>
        <w:ind w:left="420" w:leftChars="200" w:firstLine="280" w:firstLineChars="100"/>
        <w:rPr>
          <w:rFonts w:hint="eastAsia" w:eastAsia="方正仿宋_GBK"/>
          <w:sz w:val="28"/>
        </w:rPr>
      </w:pPr>
      <w:r>
        <w:rPr>
          <w:rFonts w:eastAsia="方正仿宋_GBK"/>
          <w:sz w:val="28"/>
        </w:rPr>
        <w:t>3</w:t>
      </w:r>
      <w:r>
        <w:rPr>
          <w:rFonts w:hint="eastAsia" w:eastAsia="方正仿宋_GBK"/>
          <w:sz w:val="28"/>
        </w:rPr>
        <w:t>、抓好省级文明城市创建工作。</w:t>
      </w:r>
    </w:p>
    <w:p>
      <w:pPr>
        <w:adjustRightInd w:val="0"/>
        <w:snapToGrid w:val="0"/>
        <w:spacing w:line="580" w:lineRule="exact"/>
        <w:ind w:left="420" w:leftChars="200" w:firstLine="321" w:firstLineChars="100"/>
        <w:rPr>
          <w:rFonts w:hint="eastAsia" w:ascii="仿宋_GB2312" w:hAnsi="仿宋_GB2312" w:eastAsia="仿宋_GB2312" w:cs="仿宋_GB2312"/>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left="420" w:leftChars="200" w:firstLine="280" w:firstLineChars="100"/>
        <w:rPr>
          <w:rFonts w:ascii="仿宋_GB2312" w:hAnsi="仿宋_GB2312" w:eastAsia="仿宋_GB2312" w:cs="仿宋_GB2312"/>
          <w:sz w:val="32"/>
          <w:szCs w:val="32"/>
        </w:rPr>
      </w:pPr>
      <w:r>
        <w:rPr>
          <w:rFonts w:hint="eastAsia" w:eastAsia="方正仿宋_GBK"/>
          <w:sz w:val="28"/>
        </w:rPr>
        <w:t>按照省财政预算绩效管理要求，</w:t>
      </w:r>
      <w:r>
        <w:rPr>
          <w:rFonts w:hint="eastAsia" w:eastAsia="方正仿宋_GBK"/>
          <w:sz w:val="28"/>
          <w:lang w:val="en-US" w:eastAsia="zh-CN"/>
        </w:rPr>
        <w:t>满城区交通运输局</w:t>
      </w:r>
      <w:r>
        <w:rPr>
          <w:rFonts w:hint="eastAsia" w:eastAsia="方正仿宋_GBK"/>
          <w:sz w:val="28"/>
        </w:rPr>
        <w:t>对 2019年初确定的一般公共预算支出专项项目全面开展了绩效自评。绩效自评覆盖率达到100%。</w:t>
      </w:r>
    </w:p>
    <w:p>
      <w:pPr>
        <w:keepNext/>
        <w:keepLines/>
        <w:numPr>
          <w:ilvl w:val="0"/>
          <w:numId w:val="0"/>
        </w:numPr>
        <w:snapToGrid w:val="0"/>
        <w:spacing w:line="580" w:lineRule="exact"/>
        <w:ind w:leftChars="200" w:firstLine="321" w:firstLineChars="100"/>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财政评价项目绩效评价结果</w:t>
      </w:r>
    </w:p>
    <w:p>
      <w:pPr>
        <w:adjustRightInd w:val="0"/>
        <w:snapToGrid w:val="0"/>
        <w:spacing w:line="580" w:lineRule="exact"/>
        <w:ind w:left="420" w:leftChars="200" w:firstLine="280" w:firstLineChars="100"/>
        <w:rPr>
          <w:rFonts w:hint="eastAsia" w:eastAsia="方正仿宋_GBK"/>
          <w:sz w:val="28"/>
          <w:lang w:val="en-US" w:eastAsia="zh-CN"/>
        </w:rPr>
      </w:pPr>
      <w:r>
        <w:rPr>
          <w:rFonts w:hint="eastAsia" w:eastAsia="方正仿宋_GBK"/>
          <w:sz w:val="28"/>
          <w:lang w:val="en-US" w:eastAsia="zh-CN"/>
        </w:rPr>
        <w:t xml:space="preserve">  我单位无财政评价项目绩效</w:t>
      </w:r>
    </w:p>
    <w:p>
      <w:pPr>
        <w:spacing w:line="500" w:lineRule="exact"/>
        <w:ind w:firstLine="560" w:firstLineChars="200"/>
        <w:jc w:val="left"/>
        <w:rPr>
          <w:rFonts w:eastAsia="方正仿宋_GBK"/>
          <w:sz w:val="28"/>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560" w:firstLineChars="200"/>
        <w:rPr>
          <w:rFonts w:ascii="宋体" w:hAnsi="宋体" w:eastAsia="宋体" w:cs="DengXian-Regular"/>
          <w:sz w:val="28"/>
          <w:szCs w:val="28"/>
        </w:rPr>
      </w:pPr>
      <w:r>
        <w:rPr>
          <w:rFonts w:hint="eastAsia" w:ascii="宋体" w:hAnsi="宋体" w:eastAsia="宋体" w:cs="DengXian-Regular"/>
          <w:sz w:val="28"/>
          <w:szCs w:val="28"/>
          <w:lang w:val="en-US" w:eastAsia="zh-CN"/>
        </w:rPr>
        <w:t>我单位为财政补助事业单位，</w:t>
      </w:r>
      <w:r>
        <w:rPr>
          <w:rFonts w:hint="eastAsia" w:ascii="宋体" w:hAnsi="宋体" w:eastAsia="宋体" w:cs="DengXian-Regular"/>
          <w:sz w:val="28"/>
          <w:szCs w:val="28"/>
        </w:rPr>
        <w:t>本部门</w:t>
      </w:r>
      <w:r>
        <w:rPr>
          <w:rFonts w:ascii="宋体" w:hAnsi="宋体" w:eastAsia="宋体" w:cs="DengXian-Regular"/>
          <w:sz w:val="28"/>
          <w:szCs w:val="28"/>
        </w:rPr>
        <w:t>2019</w:t>
      </w:r>
      <w:r>
        <w:rPr>
          <w:rFonts w:hint="eastAsia" w:ascii="宋体" w:hAnsi="宋体" w:eastAsia="宋体" w:cs="DengXian-Regular"/>
          <w:sz w:val="28"/>
          <w:szCs w:val="28"/>
        </w:rPr>
        <w:t>年度无机关运行经费支出，比年初预算数持平。</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adjustRightInd w:val="0"/>
        <w:snapToGrid w:val="0"/>
        <w:spacing w:line="580" w:lineRule="exact"/>
        <w:ind w:firstLine="560" w:firstLineChars="200"/>
        <w:rPr>
          <w:rFonts w:hint="eastAsia" w:ascii="宋体" w:hAnsi="宋体" w:eastAsia="宋体" w:cs="DengXian-Regular"/>
          <w:sz w:val="28"/>
          <w:szCs w:val="28"/>
        </w:rPr>
      </w:pPr>
      <w:r>
        <w:rPr>
          <w:rFonts w:hint="eastAsia" w:ascii="宋体" w:hAnsi="宋体" w:eastAsia="宋体" w:cs="DengXian-Regular"/>
          <w:sz w:val="28"/>
          <w:szCs w:val="28"/>
        </w:rPr>
        <w:t>本部门2019年度政府采购支出总额</w:t>
      </w:r>
      <w:r>
        <w:rPr>
          <w:rFonts w:hint="eastAsia" w:ascii="宋体" w:hAnsi="宋体" w:eastAsia="宋体" w:cs="DengXian-Regular"/>
          <w:sz w:val="28"/>
          <w:szCs w:val="28"/>
          <w:lang w:val="en-US" w:eastAsia="zh-CN"/>
        </w:rPr>
        <w:t>0</w:t>
      </w:r>
      <w:r>
        <w:rPr>
          <w:rFonts w:hint="eastAsia" w:ascii="宋体" w:hAnsi="宋体" w:eastAsia="宋体" w:cs="DengXian-Regular"/>
          <w:sz w:val="28"/>
          <w:szCs w:val="28"/>
        </w:rPr>
        <w:t>万元，从采购类型来看，政府采购货物支出</w:t>
      </w:r>
      <w:r>
        <w:rPr>
          <w:rFonts w:hint="eastAsia" w:ascii="宋体" w:hAnsi="宋体" w:eastAsia="宋体" w:cs="DengXian-Regular"/>
          <w:sz w:val="28"/>
          <w:szCs w:val="28"/>
          <w:lang w:val="en-US" w:eastAsia="zh-CN"/>
        </w:rPr>
        <w:t>0</w:t>
      </w:r>
      <w:r>
        <w:rPr>
          <w:rFonts w:hint="eastAsia" w:ascii="宋体" w:hAnsi="宋体" w:eastAsia="宋体" w:cs="DengXian-Regular"/>
          <w:sz w:val="28"/>
          <w:szCs w:val="28"/>
        </w:rPr>
        <w:t>万元、政府采购工程支出</w:t>
      </w:r>
      <w:r>
        <w:rPr>
          <w:rFonts w:hint="eastAsia" w:ascii="宋体" w:hAnsi="宋体" w:eastAsia="宋体" w:cs="DengXian-Regular"/>
          <w:sz w:val="28"/>
          <w:szCs w:val="28"/>
          <w:lang w:val="en-US" w:eastAsia="zh-CN"/>
        </w:rPr>
        <w:t>0</w:t>
      </w:r>
      <w:r>
        <w:rPr>
          <w:rFonts w:hint="eastAsia" w:ascii="宋体" w:hAnsi="宋体" w:eastAsia="宋体" w:cs="DengXian-Regular"/>
          <w:sz w:val="28"/>
          <w:szCs w:val="28"/>
        </w:rPr>
        <w:t xml:space="preserve">万元、政府采购服务支出 </w:t>
      </w:r>
      <w:r>
        <w:rPr>
          <w:rFonts w:hint="eastAsia" w:ascii="宋体" w:hAnsi="宋体" w:eastAsia="宋体" w:cs="DengXian-Regular"/>
          <w:sz w:val="28"/>
          <w:szCs w:val="28"/>
          <w:lang w:val="en-US" w:eastAsia="zh-CN"/>
        </w:rPr>
        <w:t>0</w:t>
      </w:r>
      <w:r>
        <w:rPr>
          <w:rFonts w:hint="eastAsia" w:ascii="宋体" w:hAnsi="宋体" w:eastAsia="宋体" w:cs="DengXian-Regular"/>
          <w:sz w:val="28"/>
          <w:szCs w:val="28"/>
        </w:rPr>
        <w:t>万元。授予中小企业合同金</w:t>
      </w:r>
      <w:r>
        <w:rPr>
          <w:rFonts w:hint="eastAsia" w:ascii="宋体" w:hAnsi="宋体" w:eastAsia="宋体" w:cs="DengXian-Regular"/>
          <w:sz w:val="28"/>
          <w:szCs w:val="28"/>
          <w:lang w:val="en-US" w:eastAsia="zh-CN"/>
        </w:rPr>
        <w:t>0</w:t>
      </w:r>
      <w:r>
        <w:rPr>
          <w:rFonts w:hint="eastAsia" w:ascii="宋体" w:hAnsi="宋体" w:eastAsia="宋体" w:cs="DengXian-Regular"/>
          <w:sz w:val="28"/>
          <w:szCs w:val="28"/>
        </w:rPr>
        <w:t>万元，占政府采购支出总额的</w:t>
      </w:r>
      <w:r>
        <w:rPr>
          <w:rFonts w:hint="eastAsia" w:ascii="宋体" w:hAnsi="宋体" w:eastAsia="宋体" w:cs="DengXian-Regular"/>
          <w:sz w:val="28"/>
          <w:szCs w:val="28"/>
          <w:lang w:val="en-US" w:eastAsia="zh-CN"/>
        </w:rPr>
        <w:t>0</w:t>
      </w:r>
      <w:r>
        <w:rPr>
          <w:rFonts w:hint="eastAsia" w:ascii="宋体" w:hAnsi="宋体" w:eastAsia="宋体" w:cs="DengXian-Regular"/>
          <w:sz w:val="28"/>
          <w:szCs w:val="28"/>
        </w:rPr>
        <w:t>%，其中授予小微企业合同金额</w:t>
      </w:r>
      <w:r>
        <w:rPr>
          <w:rFonts w:hint="eastAsia" w:ascii="宋体" w:hAnsi="宋体" w:eastAsia="宋体" w:cs="DengXian-Regular"/>
          <w:sz w:val="28"/>
          <w:szCs w:val="28"/>
          <w:lang w:val="en-US" w:eastAsia="zh-CN"/>
        </w:rPr>
        <w:t>0</w:t>
      </w:r>
      <w:r>
        <w:rPr>
          <w:rFonts w:hint="eastAsia" w:ascii="宋体" w:hAnsi="宋体" w:eastAsia="宋体" w:cs="DengXian-Regular"/>
          <w:sz w:val="28"/>
          <w:szCs w:val="28"/>
        </w:rPr>
        <w:t xml:space="preserve">万元，占政府采购支出总额的 </w:t>
      </w:r>
      <w:r>
        <w:rPr>
          <w:rFonts w:hint="eastAsia" w:ascii="宋体" w:hAnsi="宋体" w:eastAsia="宋体" w:cs="DengXian-Regular"/>
          <w:sz w:val="28"/>
          <w:szCs w:val="28"/>
          <w:lang w:val="en-US" w:eastAsia="zh-CN"/>
        </w:rPr>
        <w:t>0</w:t>
      </w:r>
      <w:r>
        <w:rPr>
          <w:rFonts w:hint="eastAsia" w:ascii="宋体" w:hAnsi="宋体" w:eastAsia="宋体" w:cs="DengXian-Regular"/>
          <w:sz w:val="28"/>
          <w:szCs w:val="28"/>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560" w:firstLineChars="200"/>
        <w:rPr>
          <w:rFonts w:hint="eastAsia" w:ascii="宋体" w:hAnsi="宋体" w:eastAsia="宋体" w:cs="DengXian-Regular"/>
          <w:sz w:val="28"/>
          <w:szCs w:val="28"/>
          <w:lang w:eastAsia="zh-CN"/>
        </w:rPr>
      </w:pPr>
      <w:r>
        <w:rPr>
          <w:rFonts w:hint="eastAsia" w:ascii="宋体" w:hAnsi="宋体" w:eastAsia="宋体" w:cs="DengXian-Regular"/>
          <w:sz w:val="28"/>
          <w:szCs w:val="28"/>
        </w:rPr>
        <w:t>截至</w:t>
      </w:r>
      <w:r>
        <w:rPr>
          <w:rFonts w:ascii="宋体" w:hAnsi="宋体" w:eastAsia="宋体" w:cs="DengXian-Regular"/>
          <w:sz w:val="28"/>
          <w:szCs w:val="28"/>
        </w:rPr>
        <w:t>2019</w:t>
      </w:r>
      <w:r>
        <w:rPr>
          <w:rFonts w:hint="eastAsia" w:ascii="宋体" w:hAnsi="宋体" w:eastAsia="宋体" w:cs="DengXian-Regular"/>
          <w:sz w:val="28"/>
          <w:szCs w:val="28"/>
        </w:rPr>
        <w:t>年</w:t>
      </w:r>
      <w:r>
        <w:rPr>
          <w:rFonts w:ascii="宋体" w:hAnsi="宋体" w:eastAsia="宋体" w:cs="DengXian-Regular"/>
          <w:sz w:val="28"/>
          <w:szCs w:val="28"/>
        </w:rPr>
        <w:t>12</w:t>
      </w:r>
      <w:r>
        <w:rPr>
          <w:rFonts w:hint="eastAsia" w:ascii="宋体" w:hAnsi="宋体" w:eastAsia="宋体" w:cs="DengXian-Regular"/>
          <w:sz w:val="28"/>
          <w:szCs w:val="28"/>
        </w:rPr>
        <w:t>月</w:t>
      </w:r>
      <w:r>
        <w:rPr>
          <w:rFonts w:ascii="宋体" w:hAnsi="宋体" w:eastAsia="宋体" w:cs="DengXian-Regular"/>
          <w:sz w:val="28"/>
          <w:szCs w:val="28"/>
        </w:rPr>
        <w:t>31</w:t>
      </w:r>
      <w:r>
        <w:rPr>
          <w:rFonts w:hint="eastAsia" w:ascii="宋体" w:hAnsi="宋体" w:eastAsia="宋体" w:cs="DengXian-Regular"/>
          <w:sz w:val="28"/>
          <w:szCs w:val="28"/>
        </w:rPr>
        <w:t>日，本部门共有车辆</w:t>
      </w:r>
      <w:r>
        <w:rPr>
          <w:rFonts w:ascii="宋体" w:hAnsi="宋体" w:eastAsia="宋体" w:cs="DengXian-Regular"/>
          <w:sz w:val="28"/>
          <w:szCs w:val="28"/>
        </w:rPr>
        <w:t>19</w:t>
      </w:r>
      <w:r>
        <w:rPr>
          <w:rFonts w:hint="eastAsia" w:ascii="宋体" w:hAnsi="宋体" w:eastAsia="宋体" w:cs="DengXian-Regular"/>
          <w:sz w:val="28"/>
          <w:szCs w:val="28"/>
        </w:rPr>
        <w:t>辆，比上年减少</w:t>
      </w:r>
      <w:r>
        <w:rPr>
          <w:rFonts w:ascii="宋体" w:hAnsi="宋体" w:eastAsia="宋体" w:cs="DengXian-Regular"/>
          <w:sz w:val="28"/>
          <w:szCs w:val="28"/>
        </w:rPr>
        <w:t>1</w:t>
      </w:r>
      <w:r>
        <w:rPr>
          <w:rFonts w:hint="eastAsia" w:ascii="宋体" w:hAnsi="宋体" w:eastAsia="宋体" w:cs="DengXian-Regular"/>
          <w:sz w:val="28"/>
          <w:szCs w:val="28"/>
        </w:rPr>
        <w:t>辆，主要是归还公安部门车辆。其中，执法执勤用车</w:t>
      </w:r>
      <w:r>
        <w:rPr>
          <w:rFonts w:ascii="宋体" w:hAnsi="宋体" w:eastAsia="宋体" w:cs="DengXian-Regular"/>
          <w:sz w:val="28"/>
          <w:szCs w:val="28"/>
        </w:rPr>
        <w:t>15</w:t>
      </w:r>
      <w:r>
        <w:rPr>
          <w:rFonts w:hint="eastAsia" w:ascii="宋体" w:hAnsi="宋体" w:eastAsia="宋体" w:cs="DengXian-Regular"/>
          <w:sz w:val="28"/>
          <w:szCs w:val="28"/>
        </w:rPr>
        <w:t>辆，其他用车</w:t>
      </w:r>
      <w:r>
        <w:rPr>
          <w:rFonts w:ascii="宋体" w:hAnsi="宋体" w:eastAsia="宋体" w:cs="DengXian-Regular"/>
          <w:sz w:val="28"/>
          <w:szCs w:val="28"/>
        </w:rPr>
        <w:t>4</w:t>
      </w:r>
      <w:r>
        <w:rPr>
          <w:rFonts w:hint="eastAsia" w:ascii="宋体" w:hAnsi="宋体" w:eastAsia="宋体" w:cs="DengXian-Regular"/>
          <w:sz w:val="28"/>
          <w:szCs w:val="28"/>
        </w:rPr>
        <w:t>辆，其他用车主要是机关车改后保留公务用车辆。单位价值50万元以上通用设备0台（套），比上年增加0套，主要是厉行节约，压减开支 ，单位价值100万元以上专用设备0台（套）</w:t>
      </w:r>
      <w:r>
        <w:rPr>
          <w:rFonts w:hint="eastAsia" w:ascii="宋体" w:hAnsi="宋体" w:eastAsia="宋体" w:cs="DengXian-Regular"/>
          <w:sz w:val="28"/>
          <w:szCs w:val="28"/>
          <w:lang w:eastAsia="zh-CN"/>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560" w:firstLineChars="200"/>
        <w:rPr>
          <w:rFonts w:ascii="宋体" w:hAnsi="宋体" w:eastAsia="宋体" w:cs="DengXian-Regular"/>
          <w:sz w:val="28"/>
          <w:szCs w:val="28"/>
        </w:rPr>
      </w:pPr>
      <w:r>
        <w:rPr>
          <w:rFonts w:hint="eastAsia" w:ascii="宋体" w:hAnsi="宋体" w:eastAsia="宋体" w:cs="DengXian-Regular"/>
          <w:sz w:val="28"/>
          <w:szCs w:val="28"/>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40" o:spid="_x0000_s1040" o:spt="202" type="#_x0000_t202" style="position:absolute;left:0pt;margin-left:-80.45pt;margin-top:34.8pt;height:263.1pt;width:613.65pt;z-index:25166643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
    <w:p>
      <w:pPr>
        <w:tabs>
          <w:tab w:val="left" w:pos="886"/>
        </w:tabs>
        <w:jc w:val="left"/>
        <w:sectPr>
          <w:headerReference r:id="rId7"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562" w:firstLineChars="200"/>
        <w:rPr>
          <w:rFonts w:hint="eastAsia" w:ascii="宋体" w:hAnsi="宋体" w:eastAsia="宋体"/>
          <w:b/>
          <w:bCs/>
          <w:color w:val="000000"/>
          <w:kern w:val="0"/>
          <w:sz w:val="28"/>
          <w:szCs w:val="28"/>
        </w:rPr>
      </w:pPr>
    </w:p>
    <w:p>
      <w:pPr>
        <w:widowControl/>
        <w:spacing w:line="560" w:lineRule="exact"/>
        <w:ind w:firstLine="562" w:firstLineChars="200"/>
        <w:rPr>
          <w:rFonts w:hint="eastAsia" w:ascii="宋体" w:hAnsi="宋体" w:eastAsia="宋体"/>
          <w:b/>
          <w:bCs/>
          <w:color w:val="000000"/>
          <w:kern w:val="0"/>
          <w:sz w:val="28"/>
          <w:szCs w:val="28"/>
        </w:rPr>
      </w:pPr>
    </w:p>
    <w:p>
      <w:pPr>
        <w:widowControl/>
        <w:spacing w:line="560" w:lineRule="exact"/>
        <w:ind w:firstLine="562" w:firstLineChars="200"/>
        <w:rPr>
          <w:rFonts w:hint="eastAsia" w:ascii="宋体" w:hAnsi="宋体" w:eastAsia="宋体"/>
          <w:b/>
          <w:bCs/>
          <w:color w:val="000000"/>
          <w:kern w:val="0"/>
          <w:sz w:val="28"/>
          <w:szCs w:val="28"/>
        </w:rPr>
      </w:pPr>
    </w:p>
    <w:p>
      <w:pPr>
        <w:widowControl/>
        <w:spacing w:line="560" w:lineRule="exact"/>
        <w:ind w:firstLine="562" w:firstLineChars="200"/>
        <w:rPr>
          <w:rFonts w:hint="eastAsia" w:ascii="宋体" w:hAnsi="宋体" w:eastAsia="宋体"/>
          <w:b/>
          <w:bCs/>
          <w:color w:val="000000"/>
          <w:kern w:val="0"/>
          <w:sz w:val="28"/>
          <w:szCs w:val="28"/>
        </w:rPr>
      </w:pPr>
    </w:p>
    <w:p>
      <w:pPr>
        <w:widowControl/>
        <w:spacing w:line="560" w:lineRule="exact"/>
        <w:ind w:firstLine="562" w:firstLineChars="200"/>
        <w:rPr>
          <w:rFonts w:hint="eastAsia" w:ascii="宋体" w:hAnsi="宋体" w:eastAsia="宋体"/>
          <w:b/>
          <w:bCs/>
          <w:color w:val="000000"/>
          <w:kern w:val="0"/>
          <w:sz w:val="28"/>
          <w:szCs w:val="28"/>
        </w:rPr>
      </w:pPr>
    </w:p>
    <w:p>
      <w:pPr>
        <w:widowControl/>
        <w:spacing w:line="560" w:lineRule="exact"/>
        <w:ind w:firstLine="562" w:firstLineChars="200"/>
        <w:rPr>
          <w:rFonts w:hint="eastAsia" w:ascii="宋体" w:hAnsi="宋体" w:eastAsia="宋体"/>
          <w:b/>
          <w:bCs/>
          <w:color w:val="000000"/>
          <w:kern w:val="0"/>
          <w:sz w:val="28"/>
          <w:szCs w:val="28"/>
        </w:rPr>
      </w:pP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（一）财政拨款收入：</w:t>
      </w:r>
      <w:r>
        <w:rPr>
          <w:rFonts w:hint="eastAsia" w:ascii="宋体" w:hAnsi="宋体" w:eastAsia="宋体"/>
          <w:color w:val="000000"/>
          <w:kern w:val="0"/>
          <w:sz w:val="28"/>
          <w:szCs w:val="28"/>
        </w:rPr>
        <w:t>本年度从本级财政部门取得的财政拨款，包括一般公共预算财政拨款和政府性基金预算财政拨款。</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（二）事业收入：</w:t>
      </w:r>
      <w:r>
        <w:rPr>
          <w:rFonts w:hint="eastAsia" w:ascii="宋体" w:hAnsi="宋体" w:eastAsia="宋体"/>
          <w:color w:val="000000"/>
          <w:kern w:val="0"/>
          <w:sz w:val="28"/>
          <w:szCs w:val="28"/>
        </w:rPr>
        <w:t>指事业单位开展专业业务活动及辅助活动所取得的收入。</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（三）其他收入：</w:t>
      </w:r>
      <w:r>
        <w:rPr>
          <w:rFonts w:hint="eastAsia" w:ascii="宋体" w:hAnsi="宋体" w:eastAsia="宋体"/>
          <w:color w:val="000000"/>
          <w:kern w:val="0"/>
          <w:sz w:val="28"/>
          <w:szCs w:val="28"/>
        </w:rPr>
        <w:t>指除上述“财政拨款收入”“事业收入”“经营收入”等以外的收入。</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（四）用事业基金弥补收支差额：</w:t>
      </w:r>
      <w:r>
        <w:rPr>
          <w:rFonts w:hint="eastAsia" w:ascii="宋体" w:hAnsi="宋体" w:eastAsia="宋体"/>
          <w:color w:val="000000"/>
          <w:kern w:val="0"/>
          <w:sz w:val="28"/>
          <w:szCs w:val="28"/>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（五）年初结转和结余：</w:t>
      </w:r>
      <w:r>
        <w:rPr>
          <w:rFonts w:hint="eastAsia" w:ascii="宋体" w:hAnsi="宋体" w:eastAsia="宋体"/>
          <w:color w:val="000000"/>
          <w:kern w:val="0"/>
          <w:sz w:val="28"/>
          <w:szCs w:val="28"/>
        </w:rPr>
        <w:t>指以前年度尚未完成、结转到本年仍按原规定用途继续使用的资金，或项目已完成等产生的结余资金。</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（六）结余分配：</w:t>
      </w:r>
      <w:r>
        <w:rPr>
          <w:rFonts w:hint="eastAsia" w:ascii="宋体" w:hAnsi="宋体" w:eastAsia="宋体"/>
          <w:color w:val="000000"/>
          <w:kern w:val="0"/>
          <w:sz w:val="28"/>
          <w:szCs w:val="28"/>
        </w:rPr>
        <w:t>指事业单位按照事业单位会计制度的规定从非财政补助结余中分配的事业基金和职工福利基金等。</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（七）年末结转和结余：</w:t>
      </w:r>
      <w:r>
        <w:rPr>
          <w:rFonts w:hint="eastAsia" w:ascii="宋体" w:hAnsi="宋体" w:eastAsia="宋体"/>
          <w:color w:val="000000"/>
          <w:kern w:val="0"/>
          <w:sz w:val="28"/>
          <w:szCs w:val="28"/>
        </w:rPr>
        <w:t>指单位按有关规定结转到下年或以后年度继续使用的资金，或项目已完成等产生的结余资金。</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（八）基本支出：</w:t>
      </w:r>
      <w:r>
        <w:rPr>
          <w:rFonts w:hint="eastAsia" w:ascii="宋体" w:hAnsi="宋体" w:eastAsia="宋体"/>
          <w:color w:val="000000"/>
          <w:kern w:val="0"/>
          <w:sz w:val="28"/>
          <w:szCs w:val="28"/>
        </w:rPr>
        <w:t>填列单位为保障机构正常运转、完成日常工作任务而发生的各项支出。</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（九）项目支出：</w:t>
      </w:r>
      <w:r>
        <w:rPr>
          <w:rFonts w:hint="eastAsia" w:ascii="宋体" w:hAnsi="宋体" w:eastAsia="宋体"/>
          <w:color w:val="000000"/>
          <w:kern w:val="0"/>
          <w:sz w:val="28"/>
          <w:szCs w:val="28"/>
        </w:rPr>
        <w:t>填列单位为完成特定的行政工作任务或事业发展目标，在基本支出之外发生的各项支出</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（十）基本建设支出：</w:t>
      </w:r>
      <w:r>
        <w:rPr>
          <w:rFonts w:hint="eastAsia" w:ascii="宋体" w:hAnsi="宋体" w:eastAsia="宋体"/>
          <w:color w:val="000000"/>
          <w:kern w:val="0"/>
          <w:sz w:val="28"/>
          <w:szCs w:val="28"/>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（十一）其他资本性支出：</w:t>
      </w:r>
      <w:r>
        <w:rPr>
          <w:rFonts w:hint="eastAsia" w:ascii="宋体" w:hAnsi="宋体" w:eastAsia="宋体"/>
          <w:color w:val="000000"/>
          <w:kern w:val="0"/>
          <w:sz w:val="28"/>
          <w:szCs w:val="28"/>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（十二）“三公”经费：</w:t>
      </w:r>
      <w:r>
        <w:rPr>
          <w:rFonts w:hint="eastAsia" w:ascii="宋体" w:hAnsi="宋体" w:eastAsia="宋体"/>
          <w:color w:val="000000"/>
          <w:kern w:val="0"/>
          <w:sz w:val="28"/>
          <w:szCs w:val="28"/>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（十三）其他交通费用：</w:t>
      </w:r>
      <w:r>
        <w:rPr>
          <w:rFonts w:hint="eastAsia" w:ascii="宋体" w:hAnsi="宋体" w:eastAsia="宋体"/>
          <w:color w:val="000000"/>
          <w:kern w:val="0"/>
          <w:sz w:val="28"/>
          <w:szCs w:val="28"/>
        </w:rPr>
        <w:t>填列单位除公务用车运行维护费以外的其他交通费用。如公务交通补贴、租车费用、出租车费用，飞机、船舶等燃料费、维修费、保险费等。</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（十四）公务用车购置：</w:t>
      </w:r>
      <w:r>
        <w:rPr>
          <w:rFonts w:hint="eastAsia" w:ascii="宋体" w:hAnsi="宋体" w:eastAsia="宋体"/>
          <w:color w:val="000000"/>
          <w:kern w:val="0"/>
          <w:sz w:val="28"/>
          <w:szCs w:val="28"/>
        </w:rPr>
        <w:t>填列单位公务用车车辆购置支出（含车辆购置税、牌照费）。</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（十五）其他交通工具购置：</w:t>
      </w:r>
      <w:r>
        <w:rPr>
          <w:rFonts w:hint="eastAsia" w:ascii="宋体" w:hAnsi="宋体" w:eastAsia="宋体"/>
          <w:color w:val="000000"/>
          <w:kern w:val="0"/>
          <w:sz w:val="28"/>
          <w:szCs w:val="28"/>
        </w:rPr>
        <w:t>填列单位除公务用车外的其他各类交通工具（如船舶、飞机等）购置支出（含车辆购置税、牌照费）。</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（十六）机关运行经费：</w:t>
      </w:r>
      <w:r>
        <w:rPr>
          <w:rFonts w:hint="eastAsia" w:ascii="宋体" w:hAnsi="宋体" w:eastAsia="宋体"/>
          <w:color w:val="000000"/>
          <w:kern w:val="0"/>
          <w:sz w:val="28"/>
          <w:szCs w:val="28"/>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宋体" w:hAnsi="宋体" w:eastAsia="宋体" w:cs="ArialUnicodeMS"/>
          <w:kern w:val="0"/>
          <w:sz w:val="28"/>
          <w:szCs w:val="28"/>
        </w:rPr>
      </w:pPr>
      <w:r>
        <w:rPr>
          <w:rFonts w:hint="eastAsia" w:ascii="宋体" w:hAnsi="宋体" w:eastAsia="宋体"/>
          <w:b/>
          <w:bCs/>
          <w:color w:val="000000"/>
          <w:kern w:val="0"/>
          <w:sz w:val="28"/>
          <w:szCs w:val="28"/>
        </w:rPr>
        <w:t>（十七）经费形式</w:t>
      </w:r>
      <w:r>
        <w:rPr>
          <w:rFonts w:ascii="宋体" w:hAnsi="宋体" w:eastAsia="宋体"/>
          <w:b/>
          <w:bCs/>
          <w:color w:val="000000"/>
          <w:kern w:val="0"/>
          <w:sz w:val="28"/>
          <w:szCs w:val="28"/>
        </w:rPr>
        <w:t>:</w:t>
      </w:r>
      <w:r>
        <w:rPr>
          <w:rFonts w:hint="eastAsia" w:ascii="宋体" w:hAnsi="宋体" w:eastAsia="宋体"/>
          <w:color w:val="000000"/>
          <w:kern w:val="0"/>
          <w:sz w:val="28"/>
          <w:szCs w:val="28"/>
        </w:rPr>
        <w:t>按照经费来源，</w:t>
      </w:r>
      <w:r>
        <w:rPr>
          <w:rFonts w:hint="eastAsia" w:ascii="宋体" w:hAnsi="宋体" w:eastAsia="宋体" w:cs="ArialUnicodeMS"/>
          <w:kern w:val="0"/>
          <w:sz w:val="28"/>
          <w:szCs w:val="28"/>
        </w:rPr>
        <w:t>可分为财政拨款、财政性资金基本保证、财政性资金定额或定项补助、财政性资金零补助四类。</w:t>
      </w:r>
    </w:p>
    <w:p/>
    <w:p/>
    <w:p/>
    <w:p>
      <w:pPr>
        <w:jc w:val="left"/>
        <w:sectPr>
          <w:headerReference r:id="rId8"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41" o:spid="_x0000_s1041" o:spt="202" type="#_x0000_t202" style="position:absolute;left:0pt;margin-left:-82.05pt;margin-top:135.85pt;height:263.1pt;width:613.65pt;z-index:-251657216;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p>
      <w:pPr>
        <w:jc w:val="left"/>
      </w:pPr>
    </w:p>
    <w:tbl>
      <w:tblPr>
        <w:tblStyle w:val="7"/>
        <w:tblpPr w:leftFromText="180" w:rightFromText="180" w:vertAnchor="text" w:horzAnchor="page" w:tblpXSpec="center" w:tblpY="31"/>
        <w:tblOverlap w:val="never"/>
        <w:tblW w:w="9735" w:type="dxa"/>
        <w:jc w:val="center"/>
        <w:tblLayout w:type="fixed"/>
        <w:tblCellMar>
          <w:top w:w="0" w:type="dxa"/>
          <w:left w:w="0" w:type="dxa"/>
          <w:bottom w:w="0" w:type="dxa"/>
          <w:right w:w="0" w:type="dxa"/>
        </w:tblCellMar>
      </w:tblPr>
      <w:tblGrid>
        <w:gridCol w:w="3236"/>
        <w:gridCol w:w="559"/>
        <w:gridCol w:w="172"/>
        <w:gridCol w:w="908"/>
        <w:gridCol w:w="3257"/>
        <w:gridCol w:w="541"/>
        <w:gridCol w:w="1062"/>
      </w:tblGrid>
      <w:tr>
        <w:tblPrEx>
          <w:tblCellMar>
            <w:top w:w="0" w:type="dxa"/>
            <w:left w:w="0" w:type="dxa"/>
            <w:bottom w:w="0" w:type="dxa"/>
            <w:right w:w="0" w:type="dxa"/>
          </w:tblCellMar>
        </w:tblPrEx>
        <w:trPr>
          <w:trHeight w:val="489" w:hRule="atLeast"/>
          <w:jc w:val="center"/>
        </w:trPr>
        <w:tc>
          <w:tcPr>
            <w:tcW w:w="9735" w:type="dxa"/>
            <w:gridSpan w:val="7"/>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0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60"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3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0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60"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87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60"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6895.72</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3.00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3472.85</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349.11</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88.23</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1772.85</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6360.28</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141.27</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10368.57</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8714.74</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2842.17</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4496.00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13210.74</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13210.74</w:t>
            </w:r>
          </w:p>
        </w:tc>
      </w:tr>
      <w:tr>
        <w:tblPrEx>
          <w:tblCellMar>
            <w:top w:w="0" w:type="dxa"/>
            <w:left w:w="0" w:type="dxa"/>
            <w:bottom w:w="0" w:type="dxa"/>
            <w:right w:w="0" w:type="dxa"/>
          </w:tblCellMar>
        </w:tblPrEx>
        <w:trPr>
          <w:trHeight w:val="213" w:hRule="atLeast"/>
          <w:jc w:val="center"/>
        </w:trPr>
        <w:tc>
          <w:tcPr>
            <w:tcW w:w="9735" w:type="dxa"/>
            <w:gridSpan w:val="7"/>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7"/>
        <w:tblW w:w="9581" w:type="dxa"/>
        <w:jc w:val="center"/>
        <w:tblLayout w:type="autofit"/>
        <w:tblCellMar>
          <w:top w:w="0" w:type="dxa"/>
          <w:left w:w="0" w:type="dxa"/>
          <w:bottom w:w="0" w:type="dxa"/>
          <w:right w:w="0" w:type="dxa"/>
        </w:tblCellMar>
      </w:tblPr>
      <w:tblGrid>
        <w:gridCol w:w="1155"/>
        <w:gridCol w:w="429"/>
        <w:gridCol w:w="77"/>
        <w:gridCol w:w="2499"/>
        <w:gridCol w:w="917"/>
        <w:gridCol w:w="917"/>
        <w:gridCol w:w="717"/>
        <w:gridCol w:w="717"/>
        <w:gridCol w:w="717"/>
        <w:gridCol w:w="717"/>
        <w:gridCol w:w="719"/>
      </w:tblGrid>
      <w:tr>
        <w:tblPrEx>
          <w:tblCellMar>
            <w:top w:w="0" w:type="dxa"/>
            <w:left w:w="0" w:type="dxa"/>
            <w:bottom w:w="0" w:type="dxa"/>
            <w:right w:w="0" w:type="dxa"/>
          </w:tblCellMar>
        </w:tblPrEx>
        <w:trPr>
          <w:trHeight w:val="670" w:hRule="atLeast"/>
          <w:jc w:val="center"/>
        </w:trPr>
        <w:tc>
          <w:tcPr>
            <w:tcW w:w="9581"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11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49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1155"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49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7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77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77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77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77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77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77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155"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3005" w:type="dxa"/>
            <w:gridSpan w:val="3"/>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5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005" w:type="dxa"/>
            <w:gridSpan w:val="3"/>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5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005" w:type="dxa"/>
            <w:gridSpan w:val="3"/>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7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77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77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7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77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77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77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10368.57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10368.57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20103</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政府办公厅（室）及相关机构事务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2010308</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信访事务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2080505</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248.24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248.24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2080506</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机关事业单位职业年金缴费支出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100.87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100.87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2101102</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城乡社区支出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21208</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国有土地使用权出让收入及对应债务收入安排的支出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2120801</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征地和拆迁补偿支出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452.00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452.00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2120804</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农村基础设施建设支出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3020.85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3020.85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交通运输支出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6314.11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6314.11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公路水路运输</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6314.11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6314.11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2140101</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2779.43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2779.43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2140104</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公路建设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3150.00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3150.00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2140106</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公路养护</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118.00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118.00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2140110</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公路和运输安全</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2140199</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其他公路水路运输支出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261.32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261.32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2210201</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7"/>
        <w:tblW w:w="9680" w:type="dxa"/>
        <w:jc w:val="center"/>
        <w:tblLayout w:type="fixed"/>
        <w:tblCellMar>
          <w:top w:w="0" w:type="dxa"/>
          <w:left w:w="0" w:type="dxa"/>
          <w:bottom w:w="0" w:type="dxa"/>
          <w:right w:w="0" w:type="dxa"/>
        </w:tblCellMar>
      </w:tblPr>
      <w:tblGrid>
        <w:gridCol w:w="941"/>
        <w:gridCol w:w="53"/>
        <w:gridCol w:w="111"/>
        <w:gridCol w:w="2079"/>
        <w:gridCol w:w="1440"/>
        <w:gridCol w:w="1260"/>
        <w:gridCol w:w="1260"/>
        <w:gridCol w:w="900"/>
        <w:gridCol w:w="720"/>
        <w:gridCol w:w="916"/>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7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0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2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16"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7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0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636"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318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4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26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26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9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72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91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207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4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2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7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2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7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2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318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44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2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2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72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91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318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8714.74</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3567.86</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5146.88</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20103</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政府办公厅（室）及相关机构事务</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2010308</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信访事务</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2080505</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机关事业单位基本养老保险缴费支出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248.24</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348.24</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2080506</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机关事业单位职业年金缴费支出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100.87</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100.87</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2101102</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事业单位医疗</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城乡社区支出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1772.85</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1772.85</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21208</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国有土地使用权出让收入及对应专项债务收入安排的支出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1772.85</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1772.85</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2120801</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征迁和拆迁补偿支出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452.00</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452.00</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2120804</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农村基础设施建设支出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1320.85</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1320.85</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交通运输支出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6360.28</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2989.25</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3371.03</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公路水路运输</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6360.28</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2989.25</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3371.03</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2140101</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2779.43</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2779.43</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2140104</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公路建设</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3194.00</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3194.00</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2140106</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公路养护</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118.00</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118.00</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2140110</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公路和运输安全</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5.36</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5.36</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2140199</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其他公路水路运输支出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263.49</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209.82</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53.67</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2210201</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住房公积金</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7"/>
        <w:tblW w:w="10614" w:type="dxa"/>
        <w:jc w:val="center"/>
        <w:tblLayout w:type="fixed"/>
        <w:tblCellMar>
          <w:top w:w="0" w:type="dxa"/>
          <w:left w:w="0" w:type="dxa"/>
          <w:bottom w:w="0" w:type="dxa"/>
          <w:right w:w="0" w:type="dxa"/>
        </w:tblCellMar>
      </w:tblPr>
      <w:tblGrid>
        <w:gridCol w:w="2939"/>
        <w:gridCol w:w="360"/>
        <w:gridCol w:w="1080"/>
        <w:gridCol w:w="3060"/>
        <w:gridCol w:w="360"/>
        <w:gridCol w:w="1015"/>
        <w:gridCol w:w="900"/>
        <w:gridCol w:w="900"/>
      </w:tblGrid>
      <w:tr>
        <w:tblPrEx>
          <w:tblCellMar>
            <w:top w:w="0" w:type="dxa"/>
            <w:left w:w="0" w:type="dxa"/>
            <w:bottom w:w="0" w:type="dxa"/>
            <w:right w:w="0" w:type="dxa"/>
          </w:tblCellMar>
        </w:tblPrEx>
        <w:trPr>
          <w:trHeight w:val="406" w:hRule="atLeast"/>
          <w:jc w:val="center"/>
        </w:trPr>
        <w:tc>
          <w:tcPr>
            <w:tcW w:w="10614"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3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8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0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815"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39"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3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8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0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815"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37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6235"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93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3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08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0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3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015"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0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90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3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6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8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06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6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15"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0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0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6895.72</w:t>
            </w: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ind w:left="-15" w:leftChars="-7"/>
              <w:jc w:val="right"/>
              <w:rPr>
                <w:rFonts w:ascii="宋体" w:hAnsi="宋体" w:eastAsia="宋体" w:cs="宋体"/>
                <w:color w:val="000000"/>
                <w:sz w:val="22"/>
              </w:rPr>
            </w:pPr>
            <w:r>
              <w:rPr>
                <w:rFonts w:ascii="宋体" w:hAnsi="宋体" w:eastAsia="宋体" w:cs="宋体"/>
                <w:color w:val="000000"/>
                <w:sz w:val="22"/>
              </w:rPr>
              <w:t>3472.85</w:t>
            </w: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1772.85</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1772.85</w:t>
            </w: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6360.28</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6360.28</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10368.57</w:t>
            </w: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8714.74</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8714.74</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2842.17</w:t>
            </w: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4496.00</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2796.00</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1700.00</w:t>
            </w: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2842.17</w:t>
            </w: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13210.74</w:t>
            </w: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13210.74</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9737.89</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3472.85</w:t>
            </w:r>
          </w:p>
        </w:tc>
      </w:tr>
      <w:tr>
        <w:tblPrEx>
          <w:tblCellMar>
            <w:top w:w="0" w:type="dxa"/>
            <w:left w:w="0" w:type="dxa"/>
            <w:bottom w:w="0" w:type="dxa"/>
            <w:right w:w="0" w:type="dxa"/>
          </w:tblCellMar>
        </w:tblPrEx>
        <w:trPr>
          <w:trHeight w:val="90" w:hRule="atLeast"/>
          <w:jc w:val="center"/>
        </w:trPr>
        <w:tc>
          <w:tcPr>
            <w:tcW w:w="10614"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7"/>
        <w:tblW w:w="9990" w:type="dxa"/>
        <w:jc w:val="center"/>
        <w:tblLayout w:type="autofit"/>
        <w:tblCellMar>
          <w:top w:w="0" w:type="dxa"/>
          <w:left w:w="0" w:type="dxa"/>
          <w:bottom w:w="0" w:type="dxa"/>
          <w:right w:w="0" w:type="dxa"/>
        </w:tblCellMar>
      </w:tblPr>
      <w:tblGrid>
        <w:gridCol w:w="718"/>
        <w:gridCol w:w="41"/>
        <w:gridCol w:w="41"/>
        <w:gridCol w:w="3550"/>
        <w:gridCol w:w="1913"/>
        <w:gridCol w:w="1913"/>
        <w:gridCol w:w="1913"/>
      </w:tblGrid>
      <w:tr>
        <w:tblPrEx>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86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391"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2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2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28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39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28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8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8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9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28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8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8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6941.89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3567.86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3374.03</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政府办公厅（室）及相关机构事务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2010308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信访事务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248.24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248.24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机关事业单位职业年金缴费支出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100.87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100.87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交通运输支出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6360.28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2989.25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3371.03</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公路水路运输</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6360.28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2989.25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3371.03</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2779.43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2779.43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公路建设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3194.00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3194.00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公路养护</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118.00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118.00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公路和运输安全</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5.36</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其他公路水路运输支出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263.49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209.83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53.67</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7"/>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3404.81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98.03</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1083.50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11.17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139.17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ascii="宋体" w:hAnsi="宋体" w:eastAsia="宋体" w:cs="宋体"/>
                <w:color w:val="000000"/>
                <w:sz w:val="20"/>
                <w:szCs w:val="20"/>
              </w:rPr>
              <w:t>0.35</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0.07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842.39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5.96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346.37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7.23</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ascii="宋体" w:hAnsi="宋体" w:eastAsia="宋体" w:cs="宋体"/>
                <w:color w:val="000000"/>
                <w:sz w:val="20"/>
                <w:szCs w:val="20"/>
              </w:rPr>
              <w:t>0.35</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374.40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9.66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89.80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8.24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21.11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0.98</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142.51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5.29</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365.56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0.25</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64.68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6.52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7.72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2.43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39.38</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48.00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7.66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2.14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3469.49</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ascii="宋体" w:hAnsi="宋体" w:eastAsia="宋体" w:cs="宋体"/>
                <w:color w:val="000000"/>
                <w:sz w:val="20"/>
                <w:szCs w:val="20"/>
              </w:rPr>
              <w:t>98.38</w:t>
            </w:r>
          </w:p>
        </w:tc>
      </w:tr>
    </w:tbl>
    <w:p>
      <w:r>
        <w:br w:type="page"/>
      </w:r>
    </w:p>
    <w:tbl>
      <w:tblPr>
        <w:tblStyle w:val="7"/>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50.00</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39.38</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39.38</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39.38</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7"/>
        <w:tblW w:w="9513" w:type="dxa"/>
        <w:jc w:val="center"/>
        <w:tblLayout w:type="autofit"/>
        <w:tblCellMar>
          <w:top w:w="0" w:type="dxa"/>
          <w:left w:w="0" w:type="dxa"/>
          <w:bottom w:w="0" w:type="dxa"/>
          <w:right w:w="0" w:type="dxa"/>
        </w:tblCellMar>
      </w:tblPr>
      <w:tblGrid>
        <w:gridCol w:w="1121"/>
        <w:gridCol w:w="438"/>
        <w:gridCol w:w="79"/>
        <w:gridCol w:w="2588"/>
        <w:gridCol w:w="881"/>
        <w:gridCol w:w="881"/>
        <w:gridCol w:w="881"/>
        <w:gridCol w:w="881"/>
        <w:gridCol w:w="881"/>
        <w:gridCol w:w="882"/>
      </w:tblGrid>
      <w:tr>
        <w:tblPrEx>
          <w:tblCellMar>
            <w:top w:w="0" w:type="dxa"/>
            <w:left w:w="0" w:type="dxa"/>
            <w:bottom w:w="0" w:type="dxa"/>
            <w:right w:w="0" w:type="dxa"/>
          </w:tblCellMar>
        </w:tblPrEx>
        <w:trPr>
          <w:trHeight w:val="780" w:hRule="atLeast"/>
          <w:jc w:val="center"/>
        </w:trPr>
        <w:tc>
          <w:tcPr>
            <w:tcW w:w="9513"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112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3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8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112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3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8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88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88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264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88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121"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3105" w:type="dxa"/>
            <w:gridSpan w:val="3"/>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8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88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88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8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2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105" w:type="dxa"/>
            <w:gridSpan w:val="3"/>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2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105" w:type="dxa"/>
            <w:gridSpan w:val="3"/>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3472.85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3472.85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1772.85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1700.00</w:t>
            </w:r>
          </w:p>
        </w:tc>
      </w:tr>
      <w:tr>
        <w:tblPrEx>
          <w:tblCellMar>
            <w:top w:w="0" w:type="dxa"/>
            <w:left w:w="0" w:type="dxa"/>
            <w:bottom w:w="0" w:type="dxa"/>
            <w:right w:w="0" w:type="dxa"/>
          </w:tblCellMar>
        </w:tblPrEx>
        <w:trPr>
          <w:trHeight w:val="308" w:hRule="atLeast"/>
          <w:jc w:val="center"/>
        </w:trPr>
        <w:tc>
          <w:tcPr>
            <w:tcW w:w="112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w:t>
            </w:r>
          </w:p>
        </w:tc>
        <w:tc>
          <w:tcPr>
            <w:tcW w:w="31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城乡社区支出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1700.00</w:t>
            </w:r>
          </w:p>
        </w:tc>
      </w:tr>
      <w:tr>
        <w:tblPrEx>
          <w:tblCellMar>
            <w:top w:w="0" w:type="dxa"/>
            <w:left w:w="0" w:type="dxa"/>
            <w:bottom w:w="0" w:type="dxa"/>
            <w:right w:w="0" w:type="dxa"/>
          </w:tblCellMar>
        </w:tblPrEx>
        <w:trPr>
          <w:trHeight w:val="308" w:hRule="atLeast"/>
          <w:jc w:val="center"/>
        </w:trPr>
        <w:tc>
          <w:tcPr>
            <w:tcW w:w="112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21208</w:t>
            </w:r>
          </w:p>
        </w:tc>
        <w:tc>
          <w:tcPr>
            <w:tcW w:w="31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国有土地使用权出让收入及对应支出债务收入安排的支出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1700.00</w:t>
            </w:r>
          </w:p>
        </w:tc>
      </w:tr>
      <w:tr>
        <w:tblPrEx>
          <w:tblCellMar>
            <w:top w:w="0" w:type="dxa"/>
            <w:left w:w="0" w:type="dxa"/>
            <w:bottom w:w="0" w:type="dxa"/>
            <w:right w:w="0" w:type="dxa"/>
          </w:tblCellMar>
        </w:tblPrEx>
        <w:trPr>
          <w:trHeight w:val="308" w:hRule="atLeast"/>
          <w:jc w:val="center"/>
        </w:trPr>
        <w:tc>
          <w:tcPr>
            <w:tcW w:w="112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2120801</w:t>
            </w:r>
          </w:p>
        </w:tc>
        <w:tc>
          <w:tcPr>
            <w:tcW w:w="31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征地和拆迁补偿支出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452.00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452.00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452.00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2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2120804</w:t>
            </w:r>
          </w:p>
        </w:tc>
        <w:tc>
          <w:tcPr>
            <w:tcW w:w="31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农村基础设施建设支出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3020.85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1320.85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1320.85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1700.00</w:t>
            </w:r>
          </w:p>
        </w:tc>
      </w:tr>
    </w:tbl>
    <w:p>
      <w:r>
        <w:br w:type="page"/>
      </w:r>
    </w:p>
    <w:tbl>
      <w:tblPr>
        <w:tblStyle w:val="7"/>
        <w:tblW w:w="9915" w:type="dxa"/>
        <w:jc w:val="center"/>
        <w:tblLayout w:type="autofit"/>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注：本部门本年度无相关支出情况，按要求空表列示。</w:t>
      </w:r>
      <w:r>
        <w:br w:type="page"/>
      </w:r>
    </w:p>
    <w:p>
      <w:r>
        <w:pict>
          <v:rect id="_x0000_s1042" o:spid="_x0000_s1042" o:spt="1" style="position:absolute;left:0pt;margin-left:-70.5pt;margin-top:-85.25pt;height:841.15pt;width:595.1pt;z-index:251667456;v-text-anchor:middle;mso-width-relative:page;mso-height-relative:page;" fillcolor="#FFC000" filled="t" stroked="f" coordsize="21600,21600">
            <v:path/>
            <v:fill on="t" focussize="0,0"/>
            <v:stroke on="f" weight="1pt"/>
            <v:imagedata o:title=""/>
            <o:lock v:ext="edit"/>
            <v:textbox>
              <w:txbxContent>
                <w:p/>
              </w:txbxContent>
            </v:textbox>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1">
    <w:nsid w:val="4DF9B474"/>
    <w:multiLevelType w:val="singleLevel"/>
    <w:tmpl w:val="4DF9B474"/>
    <w:lvl w:ilvl="0" w:tentative="0">
      <w:start w:val="1"/>
      <w:numFmt w:val="decimal"/>
      <w:suff w:val="nothing"/>
      <w:lvlText w:val="%1、"/>
      <w:lvlJc w:val="left"/>
    </w:lvl>
  </w:abstractNum>
  <w:abstractNum w:abstractNumId="2">
    <w:nsid w:val="78C1413D"/>
    <w:multiLevelType w:val="singleLevel"/>
    <w:tmpl w:val="78C1413D"/>
    <w:lvl w:ilvl="0" w:tentative="0">
      <w:start w:val="1"/>
      <w:numFmt w:val="decimal"/>
      <w:suff w:val="space"/>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AF1C96"/>
    <w:rsid w:val="0007063E"/>
    <w:rsid w:val="00071ADD"/>
    <w:rsid w:val="00073392"/>
    <w:rsid w:val="00073F4E"/>
    <w:rsid w:val="00086C89"/>
    <w:rsid w:val="000A39FB"/>
    <w:rsid w:val="00117746"/>
    <w:rsid w:val="00163F95"/>
    <w:rsid w:val="00180A9A"/>
    <w:rsid w:val="001829C0"/>
    <w:rsid w:val="00184809"/>
    <w:rsid w:val="00190E84"/>
    <w:rsid w:val="00192112"/>
    <w:rsid w:val="001B0127"/>
    <w:rsid w:val="001C12D5"/>
    <w:rsid w:val="001C69F7"/>
    <w:rsid w:val="001E45D3"/>
    <w:rsid w:val="002401BC"/>
    <w:rsid w:val="00241090"/>
    <w:rsid w:val="002650EC"/>
    <w:rsid w:val="0029406E"/>
    <w:rsid w:val="002A6C46"/>
    <w:rsid w:val="002B27E4"/>
    <w:rsid w:val="002C19B5"/>
    <w:rsid w:val="003476DF"/>
    <w:rsid w:val="00371224"/>
    <w:rsid w:val="003A4EE8"/>
    <w:rsid w:val="00405E07"/>
    <w:rsid w:val="00442CC2"/>
    <w:rsid w:val="00446244"/>
    <w:rsid w:val="00473C20"/>
    <w:rsid w:val="004D61CB"/>
    <w:rsid w:val="005011D6"/>
    <w:rsid w:val="00503F2E"/>
    <w:rsid w:val="00552226"/>
    <w:rsid w:val="00566120"/>
    <w:rsid w:val="00582E6D"/>
    <w:rsid w:val="005915E8"/>
    <w:rsid w:val="005954D5"/>
    <w:rsid w:val="005A53FA"/>
    <w:rsid w:val="005B7A80"/>
    <w:rsid w:val="005D1293"/>
    <w:rsid w:val="00627017"/>
    <w:rsid w:val="0063665C"/>
    <w:rsid w:val="00644D5F"/>
    <w:rsid w:val="006727AD"/>
    <w:rsid w:val="00682006"/>
    <w:rsid w:val="00691425"/>
    <w:rsid w:val="006A516E"/>
    <w:rsid w:val="006B0830"/>
    <w:rsid w:val="006C6F88"/>
    <w:rsid w:val="00716E2B"/>
    <w:rsid w:val="0072015C"/>
    <w:rsid w:val="00743D07"/>
    <w:rsid w:val="00770F18"/>
    <w:rsid w:val="00773B74"/>
    <w:rsid w:val="0078290C"/>
    <w:rsid w:val="007C06CA"/>
    <w:rsid w:val="007E24DF"/>
    <w:rsid w:val="008163FB"/>
    <w:rsid w:val="008201D9"/>
    <w:rsid w:val="0082605B"/>
    <w:rsid w:val="00855C36"/>
    <w:rsid w:val="00857DBE"/>
    <w:rsid w:val="008701BC"/>
    <w:rsid w:val="00883D92"/>
    <w:rsid w:val="008A5362"/>
    <w:rsid w:val="008F21F1"/>
    <w:rsid w:val="008F221B"/>
    <w:rsid w:val="008F5A2D"/>
    <w:rsid w:val="00921602"/>
    <w:rsid w:val="00930AAA"/>
    <w:rsid w:val="00931363"/>
    <w:rsid w:val="00957EA1"/>
    <w:rsid w:val="00966E5B"/>
    <w:rsid w:val="009B4EF0"/>
    <w:rsid w:val="009D271F"/>
    <w:rsid w:val="009E1154"/>
    <w:rsid w:val="00A307AC"/>
    <w:rsid w:val="00A4337A"/>
    <w:rsid w:val="00A51D74"/>
    <w:rsid w:val="00A549FD"/>
    <w:rsid w:val="00A661C2"/>
    <w:rsid w:val="00A73E75"/>
    <w:rsid w:val="00A7644E"/>
    <w:rsid w:val="00A8446F"/>
    <w:rsid w:val="00A929C2"/>
    <w:rsid w:val="00AD097F"/>
    <w:rsid w:val="00B844F4"/>
    <w:rsid w:val="00BA06A1"/>
    <w:rsid w:val="00BA770A"/>
    <w:rsid w:val="00BC6AD5"/>
    <w:rsid w:val="00BF4D15"/>
    <w:rsid w:val="00C054DE"/>
    <w:rsid w:val="00C679A9"/>
    <w:rsid w:val="00C7541C"/>
    <w:rsid w:val="00CC0FAA"/>
    <w:rsid w:val="00CD0736"/>
    <w:rsid w:val="00D14BE8"/>
    <w:rsid w:val="00D1570F"/>
    <w:rsid w:val="00D32830"/>
    <w:rsid w:val="00D70AB5"/>
    <w:rsid w:val="00DB7153"/>
    <w:rsid w:val="00DB7F05"/>
    <w:rsid w:val="00E028C3"/>
    <w:rsid w:val="00E14F77"/>
    <w:rsid w:val="00E3076B"/>
    <w:rsid w:val="00E36978"/>
    <w:rsid w:val="00E82A1E"/>
    <w:rsid w:val="00EC06F4"/>
    <w:rsid w:val="00EE4E36"/>
    <w:rsid w:val="00F17DA2"/>
    <w:rsid w:val="00F54773"/>
    <w:rsid w:val="00F665F4"/>
    <w:rsid w:val="00F73098"/>
    <w:rsid w:val="00F7350B"/>
    <w:rsid w:val="00FB1D00"/>
    <w:rsid w:val="00FD225F"/>
    <w:rsid w:val="07B973A1"/>
    <w:rsid w:val="17270BD8"/>
    <w:rsid w:val="1A022A20"/>
    <w:rsid w:val="20F54B07"/>
    <w:rsid w:val="2CBA120C"/>
    <w:rsid w:val="31C2036A"/>
    <w:rsid w:val="31E57B61"/>
    <w:rsid w:val="320D02A5"/>
    <w:rsid w:val="348E566F"/>
    <w:rsid w:val="360232D6"/>
    <w:rsid w:val="3A226944"/>
    <w:rsid w:val="3AEE6A48"/>
    <w:rsid w:val="3C1620AA"/>
    <w:rsid w:val="3D8F080F"/>
    <w:rsid w:val="44CE1FA4"/>
    <w:rsid w:val="471437AC"/>
    <w:rsid w:val="47A52331"/>
    <w:rsid w:val="48663D34"/>
    <w:rsid w:val="487F73ED"/>
    <w:rsid w:val="4A347EAE"/>
    <w:rsid w:val="52600405"/>
    <w:rsid w:val="529B4319"/>
    <w:rsid w:val="57773DD6"/>
    <w:rsid w:val="578B79AB"/>
    <w:rsid w:val="5C67139B"/>
    <w:rsid w:val="5CCD3FD5"/>
    <w:rsid w:val="61FA5F9D"/>
    <w:rsid w:val="64CD6910"/>
    <w:rsid w:val="6789158D"/>
    <w:rsid w:val="67D81BA4"/>
    <w:rsid w:val="6AAF1C96"/>
    <w:rsid w:val="75681757"/>
    <w:rsid w:val="75A346A8"/>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qFormat/>
    <w:uiPriority w:val="99"/>
    <w:rPr>
      <w:rFonts w:ascii="仿宋_GB2312" w:hAnsi="仿宋_GB2312" w:eastAsia="仿宋_GB2312" w:cs="仿宋_GB2312"/>
      <w:sz w:val="32"/>
      <w:szCs w:val="32"/>
      <w:lang w:val="zh-CN"/>
    </w:rPr>
  </w:style>
  <w:style w:type="paragraph" w:styleId="4">
    <w:name w:val="Date"/>
    <w:basedOn w:val="1"/>
    <w:next w:val="1"/>
    <w:link w:val="15"/>
    <w:qFormat/>
    <w:uiPriority w:val="99"/>
    <w:pPr>
      <w:ind w:left="100" w:leftChars="2500"/>
    </w:p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basedOn w:val="7"/>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Heading 1 Char"/>
    <w:basedOn w:val="9"/>
    <w:link w:val="2"/>
    <w:qFormat/>
    <w:locked/>
    <w:uiPriority w:val="99"/>
    <w:rPr>
      <w:rFonts w:ascii="等线" w:hAnsi="等线" w:eastAsia="等线" w:cs="Times New Roman"/>
      <w:b/>
      <w:bCs/>
      <w:kern w:val="44"/>
      <w:sz w:val="44"/>
      <w:szCs w:val="44"/>
    </w:rPr>
  </w:style>
  <w:style w:type="character" w:customStyle="1" w:styleId="11">
    <w:name w:val="Body Text Char"/>
    <w:basedOn w:val="9"/>
    <w:link w:val="3"/>
    <w:semiHidden/>
    <w:qFormat/>
    <w:locked/>
    <w:uiPriority w:val="99"/>
    <w:rPr>
      <w:rFonts w:ascii="等线" w:hAnsi="等线" w:eastAsia="等线" w:cs="Times New Roman"/>
    </w:rPr>
  </w:style>
  <w:style w:type="character" w:customStyle="1" w:styleId="12">
    <w:name w:val="Footer Char"/>
    <w:basedOn w:val="9"/>
    <w:link w:val="5"/>
    <w:qFormat/>
    <w:locked/>
    <w:uiPriority w:val="99"/>
    <w:rPr>
      <w:rFonts w:cs="Times New Roman"/>
      <w:sz w:val="18"/>
      <w:szCs w:val="18"/>
    </w:rPr>
  </w:style>
  <w:style w:type="character" w:customStyle="1" w:styleId="13">
    <w:name w:val="Header Char"/>
    <w:basedOn w:val="9"/>
    <w:link w:val="6"/>
    <w:qFormat/>
    <w:locked/>
    <w:uiPriority w:val="99"/>
    <w:rPr>
      <w:rFonts w:ascii="等线" w:hAnsi="等线" w:eastAsia="等线" w:cs="Times New Roman"/>
      <w:sz w:val="18"/>
      <w:szCs w:val="18"/>
    </w:rPr>
  </w:style>
  <w:style w:type="paragraph" w:customStyle="1" w:styleId="14">
    <w:name w:val="列出段落1"/>
    <w:basedOn w:val="1"/>
    <w:qFormat/>
    <w:uiPriority w:val="99"/>
    <w:pPr>
      <w:spacing w:before="2"/>
      <w:ind w:left="119" w:right="434" w:firstLine="643"/>
    </w:pPr>
    <w:rPr>
      <w:rFonts w:ascii="仿宋_GB2312" w:hAnsi="仿宋_GB2312" w:eastAsia="仿宋_GB2312" w:cs="仿宋_GB2312"/>
      <w:lang w:val="zh-CN"/>
    </w:rPr>
  </w:style>
  <w:style w:type="character" w:customStyle="1" w:styleId="15">
    <w:name w:val="Date Char"/>
    <w:basedOn w:val="9"/>
    <w:link w:val="4"/>
    <w:semiHidden/>
    <w:qFormat/>
    <w:uiPriority w:val="99"/>
    <w:rPr>
      <w:rFonts w:ascii="等线" w:hAnsi="等线" w:eastAsia="等线"/>
    </w:rPr>
  </w:style>
  <w:style w:type="paragraph" w:customStyle="1" w:styleId="16">
    <w:name w:val="Default"/>
    <w:qFormat/>
    <w:uiPriority w:val="99"/>
    <w:pPr>
      <w:widowControl w:val="0"/>
      <w:autoSpaceDE w:val="0"/>
      <w:autoSpaceDN w:val="0"/>
      <w:adjustRightInd w:val="0"/>
    </w:pPr>
    <w:rPr>
      <w:rFonts w:ascii="方正小标宋" w:hAnsi="Calibri" w:eastAsia="方正小标宋" w:cs="方正小标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8"/>
    <customShpInfo spid="_x0000_s1039"/>
    <customShpInfo spid="_x0000_s1037"/>
    <customShpInfo spid="_x0000_s1040"/>
    <customShpInfo spid="_x0000_s1041"/>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MS</Company>
  <Pages>32</Pages>
  <Words>2125</Words>
  <Characters>12115</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adizuo</cp:lastModifiedBy>
  <cp:lastPrinted>2020-07-30T02:37:00Z</cp:lastPrinted>
  <dcterms:modified xsi:type="dcterms:W3CDTF">2022-03-12T01:17:53Z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020F45B7CB4F4742A56784353DF960AA</vt:lpwstr>
  </property>
</Properties>
</file>