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pict>
          <v:shape id="图片 7" o:spid="_x0000_s1026" o:spt="75" alt="wc ga" type="#_x0000_t75" style="position:absolute;left:0pt;margin-left:-78.75pt;margin-top:-106.7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hint="default" w:ascii="黑体" w:hAnsi="宋体" w:eastAsia="黑体"/>
                      <w:color w:val="FDEFBE"/>
                      <w:sz w:val="96"/>
                      <w:szCs w:val="96"/>
                      <w:lang w:val="en-US" w:eastAsia="zh-CN"/>
                    </w:rPr>
                  </w:pPr>
                  <w:r>
                    <w:rPr>
                      <w:rFonts w:hint="eastAsia" w:ascii="黑体" w:hAnsi="宋体" w:eastAsia="黑体"/>
                      <w:color w:val="FDEFBE"/>
                      <w:sz w:val="96"/>
                      <w:szCs w:val="96"/>
                      <w:lang w:val="en-US" w:eastAsia="zh-CN"/>
                    </w:rPr>
                    <w:t>保定市满城区审计局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val="en-US" w:eastAsia="zh-CN"/>
        </w:rPr>
        <w:t>十一</w:t>
      </w:r>
      <w:r>
        <w:rPr>
          <w:rFonts w:hint="eastAsia" w:ascii="楷体" w:hAnsi="楷体" w:eastAsia="楷体" w:cs="楷体"/>
          <w:b/>
          <w:sz w:val="44"/>
          <w:szCs w:val="44"/>
        </w:rPr>
        <w:t>月</w:t>
      </w:r>
    </w:p>
    <w:p>
      <w:pPr>
        <w:widowControl/>
        <w:spacing w:after="0" w:line="600" w:lineRule="exact"/>
        <w:ind w:firstLine="640" w:firstLineChars="200"/>
        <w:jc w:val="left"/>
        <w:rPr>
          <w:rFonts w:hint="eastAsia" w:ascii="黑体" w:hAnsi="黑体" w:eastAsia="黑体" w:cs="黑体"/>
          <w:bCs/>
          <w:sz w:val="32"/>
          <w:szCs w:val="32"/>
          <w:highlight w:val="yellow"/>
        </w:rPr>
      </w:pPr>
    </w:p>
    <w:p>
      <w:pPr>
        <w:widowControl/>
        <w:spacing w:after="0" w:line="600" w:lineRule="exact"/>
        <w:ind w:firstLine="640" w:firstLineChars="200"/>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部门</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满城区审计局是政府的组成部门，其主要职责是：</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1、编制满城区审计工作计划，确定年度工作重点。</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2、向区政府报告和向区政府有关部门通报审计情况，提出制定和完善有关政策法规、工作措施的建议。</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3、根据《中华人民共和国审计法》和《中华人民共和国审计法实施条例》规定，直接进行下列审计：</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（1）区本级财政预算执行情况和其他财政收支。</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（2）区直各部门、事业单位及下属单位的财务收支。</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（3）乡（镇）人民政府财政决算。</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（4）区政府各部门和乡（镇）人民政府预算外财政收支。</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（5）区属地方金融机构的资产、负债和损益情况；上级审计机关安排授权的国有金融机构、非银行金融机构资产、负债和损益情况。</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（6）区政府管理的和受区政府委托由社会团体管理的社会保障基金、环境保护资金、社会捐赠基金及其他有关基金、资金的财务收支。</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（7）审计署授权的国际组织和外国政府援助、贷款项目的财务收支。</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（8）区属境外企业、合资合作企业的资产、负债和损益状况。</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（9）区国有企业、国有控股企业的资产、负责和损益状况。</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（10）国家投资建设项目的预算或概算执行情况和决算。</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（11）其他法律法规规定的审计事项。</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4、向区政府提交区本级预算执行情况的审计结果报告；受区政府委托向区人大常委会提出预算执行情况和其他财政收支审计工作报告。</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5、组织实施对贯彻执行国家财经方针政策和宏观调控措施情况的行业审计、专项审计和审计调查；组织、实施对区级以下党政领导干部和国有企业及国有控股企业领导人员进行任期经济责任审计。</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0" w:firstLineChars="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 xml:space="preserve">    6、组织实施对内部审计的指导与监督；组织审计专业培训；监督社会审计组织的审计业务质量。</w:t>
      </w:r>
    </w:p>
    <w:p>
      <w:pPr>
        <w:pStyle w:val="3"/>
        <w:keepNext/>
        <w:keepLines/>
        <w:pageBreakBefore w:val="0"/>
        <w:widowControl w:val="0"/>
        <w:kinsoku/>
        <w:wordWrap/>
        <w:overflowPunct/>
        <w:topLinePunct w:val="0"/>
        <w:autoSpaceDE/>
        <w:autoSpaceDN/>
        <w:bidi w:val="0"/>
        <w:adjustRightInd/>
        <w:snapToGrid/>
        <w:spacing w:before="0" w:after="0" w:line="580" w:lineRule="exact"/>
        <w:ind w:firstLine="640" w:firstLineChars="200"/>
        <w:textAlignment w:val="auto"/>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7、承办区政府和市审计局交办的其他事项。</w:t>
      </w:r>
    </w:p>
    <w:p>
      <w:pPr>
        <w:pStyle w:val="2"/>
        <w:spacing w:before="0" w:after="0" w:line="600" w:lineRule="exact"/>
        <w:ind w:firstLine="562"/>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lang w:val="en-US" w:eastAsia="zh-CN"/>
              </w:rPr>
              <w:t>保定市满城区审计局</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hint="default"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行政单位</w:t>
            </w:r>
          </w:p>
        </w:tc>
        <w:tc>
          <w:tcPr>
            <w:tcW w:w="2665" w:type="dxa"/>
          </w:tcPr>
          <w:p>
            <w:pPr>
              <w:spacing w:after="0" w:line="560" w:lineRule="exact"/>
              <w:jc w:val="center"/>
              <w:rPr>
                <w:rFonts w:hint="default"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389.36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389.36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389.36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389.36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389.36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389.36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389.36</w:t>
            </w: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389.36</w:t>
            </w: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一般公共服务支出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389.36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389.36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90"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20108</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审计事务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2010801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 xml:space="preserve">  行政运行</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245.04</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245.04</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2010804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 xml:space="preserve">  审计业务</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73.50</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73.50</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2010899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 xml:space="preserve">  其他审计事务支出</w:t>
            </w: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70.82</w:t>
            </w: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70.82</w:t>
            </w: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92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389.36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389.36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一般公共服务支出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20108</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审计事务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2010801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245.04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245.04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2010804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审计业务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73.50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73.50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2010899</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其他审计事务支出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70.82</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70.82</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389.36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389.36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389.36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389.36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389.36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389.36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389.36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389.36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hint="eastAsia" w:ascii="宋体" w:cs="宋体"/>
                <w:color w:val="000000"/>
                <w:sz w:val="18"/>
                <w:szCs w:val="18"/>
                <w:lang w:val="en-US" w:eastAsia="zh-CN"/>
              </w:rPr>
              <w:t>389.36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389.36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389.36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审计事务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389.36</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2010801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245.04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245.04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2010804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审计业务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73.50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73.50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2010899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 xml:space="preserve">  其他审计事务支出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70.82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70.82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598" w:type="dxa"/>
        <w:tblInd w:w="99" w:type="dxa"/>
        <w:shd w:val="clear" w:color="auto" w:fill="auto"/>
        <w:tblLayout w:type="autofit"/>
        <w:tblCellMar>
          <w:top w:w="0" w:type="dxa"/>
          <w:left w:w="108" w:type="dxa"/>
          <w:bottom w:w="0" w:type="dxa"/>
          <w:right w:w="108" w:type="dxa"/>
        </w:tblCellMar>
      </w:tblPr>
      <w:tblGrid>
        <w:gridCol w:w="955"/>
        <w:gridCol w:w="955"/>
        <w:gridCol w:w="956"/>
        <w:gridCol w:w="955"/>
        <w:gridCol w:w="955"/>
        <w:gridCol w:w="956"/>
        <w:gridCol w:w="955"/>
        <w:gridCol w:w="955"/>
        <w:gridCol w:w="956"/>
      </w:tblGrid>
      <w:tr>
        <w:tblPrEx>
          <w:shd w:val="clear" w:color="auto" w:fill="auto"/>
          <w:tblCellMar>
            <w:top w:w="0" w:type="dxa"/>
            <w:left w:w="108" w:type="dxa"/>
            <w:bottom w:w="0" w:type="dxa"/>
            <w:right w:w="108" w:type="dxa"/>
          </w:tblCellMar>
        </w:tblPrEx>
        <w:trPr>
          <w:trHeight w:val="523" w:hRule="atLeast"/>
        </w:trPr>
        <w:tc>
          <w:tcPr>
            <w:tcW w:w="8604" w:type="dxa"/>
            <w:gridSpan w:val="9"/>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40"/>
                <w:szCs w:val="40"/>
                <w:u w:val="none"/>
              </w:rPr>
            </w:pPr>
            <w:r>
              <w:rPr>
                <w:rFonts w:hint="eastAsia" w:ascii="宋体" w:hAnsi="宋体" w:eastAsia="宋体" w:cs="宋体"/>
                <w:i w:val="0"/>
                <w:iCs w:val="0"/>
                <w:color w:val="000000"/>
                <w:kern w:val="0"/>
                <w:sz w:val="22"/>
                <w:szCs w:val="22"/>
                <w:u w:val="none"/>
                <w:lang w:val="en-US" w:eastAsia="zh-CN" w:bidi="ar"/>
              </w:rPr>
              <w:pict>
                <v:shape id="图片_1" o:spid="_x0000_s1130" o:spt="75" type="#_x0000_t75" style="position:absolute;left:0pt;margin-left:-45pt;margin-top:-93.9pt;height:42.4pt;width:243.9pt;z-index:251678720;mso-width-relative:page;mso-height-relative:page;" filled="f" o:preferrelative="t" stroked="f" coordsize="21600,21600">
                  <v:path/>
                  <v:fill on="f" focussize="0,0"/>
                  <v:stroke on="f" joinstyle="miter"/>
                  <v:imagedata r:id="rId8" o:title=""/>
                  <o:lock v:ext="edit" aspectratio="f"/>
                </v:shape>
              </w:pict>
            </w:r>
            <w:r>
              <w:rPr>
                <w:rFonts w:hint="eastAsia" w:ascii="黑体" w:hAnsi="宋体" w:eastAsia="黑体" w:cs="黑体"/>
                <w:i w:val="0"/>
                <w:iCs w:val="0"/>
                <w:color w:val="000000"/>
                <w:kern w:val="0"/>
                <w:sz w:val="40"/>
                <w:szCs w:val="40"/>
                <w:u w:val="none"/>
                <w:lang w:val="en-US" w:eastAsia="zh-CN" w:bidi="ar"/>
              </w:rPr>
              <w:t>一般公共预算财政拨款基本支出决算表</w:t>
            </w:r>
          </w:p>
        </w:tc>
      </w:tr>
      <w:tr>
        <w:tblPrEx>
          <w:tblCellMar>
            <w:top w:w="0" w:type="dxa"/>
            <w:left w:w="108" w:type="dxa"/>
            <w:bottom w:w="0" w:type="dxa"/>
            <w:right w:w="108" w:type="dxa"/>
          </w:tblCellMar>
        </w:tblPrEx>
        <w:trPr>
          <w:trHeight w:val="283" w:hRule="atLeast"/>
        </w:trPr>
        <w:tc>
          <w:tcPr>
            <w:tcW w:w="0" w:type="auto"/>
            <w:tcBorders>
              <w:top w:val="nil"/>
              <w:left w:val="nil"/>
              <w:bottom w:val="nil"/>
              <w:right w:val="nil"/>
            </w:tcBorders>
            <w:shd w:val="clear" w:color="auto" w:fill="auto"/>
            <w:noWrap/>
            <w:vAlign w:val="bottom"/>
          </w:tcPr>
          <w:p>
            <w:pPr>
              <w:jc w:val="both"/>
              <w:rPr>
                <w:rFonts w:hint="eastAsia" w:ascii="Arial" w:hAnsi="Arial" w:cs="Arial"/>
                <w:i w:val="0"/>
                <w:iCs w:val="0"/>
                <w:color w:val="000000"/>
                <w:sz w:val="22"/>
                <w:szCs w:val="22"/>
                <w:u w:val="none"/>
              </w:rPr>
            </w:pPr>
          </w:p>
        </w:tc>
        <w:tc>
          <w:tcPr>
            <w:tcW w:w="956" w:type="dxa"/>
            <w:tcBorders>
              <w:top w:val="nil"/>
              <w:left w:val="nil"/>
              <w:bottom w:val="nil"/>
              <w:right w:val="nil"/>
            </w:tcBorders>
            <w:shd w:val="clear" w:color="auto" w:fill="auto"/>
            <w:vAlign w:val="bottom"/>
          </w:tcPr>
          <w:p>
            <w:pPr>
              <w:jc w:val="both"/>
              <w:rPr>
                <w:rFonts w:hint="default" w:ascii="Arial" w:hAnsi="Arial" w:cs="Arial"/>
                <w:i w:val="0"/>
                <w:iCs w:val="0"/>
                <w:color w:val="000000"/>
                <w:sz w:val="22"/>
                <w:szCs w:val="22"/>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956" w:type="dxa"/>
            <w:tcBorders>
              <w:top w:val="nil"/>
              <w:left w:val="nil"/>
              <w:bottom w:val="nil"/>
              <w:right w:val="nil"/>
            </w:tcBorders>
            <w:shd w:val="clear" w:color="auto" w:fill="auto"/>
            <w:vAlign w:val="bottom"/>
          </w:tcPr>
          <w:p>
            <w:pPr>
              <w:jc w:val="both"/>
              <w:rPr>
                <w:rFonts w:hint="default" w:ascii="Arial" w:hAnsi="Arial" w:cs="Arial"/>
                <w:i w:val="0"/>
                <w:iCs w:val="0"/>
                <w:color w:val="000000"/>
                <w:sz w:val="22"/>
                <w:szCs w:val="22"/>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0" w:type="auto"/>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1912" w:type="dxa"/>
            <w:gridSpan w:val="2"/>
            <w:tcBorders>
              <w:top w:val="nil"/>
              <w:left w:val="nil"/>
              <w:bottom w:val="nil"/>
              <w:right w:val="nil"/>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公开06</w:t>
            </w:r>
            <w:r>
              <w:rPr>
                <w:rStyle w:val="33"/>
                <w:lang w:val="en-US" w:eastAsia="zh-CN" w:bidi="ar"/>
              </w:rPr>
              <w:t>表</w:t>
            </w:r>
          </w:p>
        </w:tc>
      </w:tr>
      <w:tr>
        <w:tblPrEx>
          <w:tblCellMar>
            <w:top w:w="0" w:type="dxa"/>
            <w:left w:w="108" w:type="dxa"/>
            <w:bottom w:w="0" w:type="dxa"/>
            <w:right w:w="108" w:type="dxa"/>
          </w:tblCellMar>
        </w:tblPrEx>
        <w:trPr>
          <w:trHeight w:val="282" w:hRule="atLeast"/>
        </w:trPr>
        <w:tc>
          <w:tcPr>
            <w:tcW w:w="0" w:type="auto"/>
            <w:gridSpan w:val="5"/>
            <w:vMerge w:val="restar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部门：</w:t>
            </w:r>
          </w:p>
        </w:tc>
        <w:tc>
          <w:tcPr>
            <w:tcW w:w="0" w:type="auto"/>
            <w:vMerge w:val="restart"/>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0" w:type="auto"/>
            <w:vMerge w:val="restart"/>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1912" w:type="dxa"/>
            <w:gridSpan w:val="2"/>
            <w:vMerge w:val="restart"/>
            <w:tcBorders>
              <w:top w:val="nil"/>
              <w:left w:val="nil"/>
              <w:bottom w:val="nil"/>
              <w:right w:val="nil"/>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金额单位：万元</w:t>
            </w:r>
          </w:p>
        </w:tc>
      </w:tr>
      <w:tr>
        <w:tblPrEx>
          <w:tblCellMar>
            <w:top w:w="0" w:type="dxa"/>
            <w:left w:w="108" w:type="dxa"/>
            <w:bottom w:w="0" w:type="dxa"/>
            <w:right w:w="108" w:type="dxa"/>
          </w:tblCellMar>
        </w:tblPrEx>
        <w:trPr>
          <w:trHeight w:val="248" w:hRule="atLeast"/>
        </w:trPr>
        <w:tc>
          <w:tcPr>
            <w:tcW w:w="0" w:type="auto"/>
            <w:gridSpan w:val="5"/>
            <w:vMerge w:val="continue"/>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vMerge w:val="continue"/>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0" w:type="auto"/>
            <w:vMerge w:val="continue"/>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1912" w:type="dxa"/>
            <w:gridSpan w:val="2"/>
            <w:vMerge w:val="continue"/>
            <w:tcBorders>
              <w:top w:val="nil"/>
              <w:left w:val="nil"/>
              <w:bottom w:val="nil"/>
              <w:right w:val="nil"/>
            </w:tcBorders>
            <w:shd w:val="clear" w:color="auto" w:fill="auto"/>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48" w:hRule="atLeast"/>
        </w:trPr>
        <w:tc>
          <w:tcPr>
            <w:tcW w:w="0" w:type="auto"/>
            <w:gridSpan w:val="5"/>
            <w:vMerge w:val="continue"/>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vMerge w:val="continue"/>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0" w:type="auto"/>
            <w:vMerge w:val="continue"/>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1912" w:type="dxa"/>
            <w:gridSpan w:val="2"/>
            <w:vMerge w:val="continue"/>
            <w:tcBorders>
              <w:top w:val="nil"/>
              <w:left w:val="nil"/>
              <w:bottom w:val="nil"/>
              <w:right w:val="nil"/>
            </w:tcBorders>
            <w:shd w:val="clear" w:color="auto" w:fill="auto"/>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263" w:hRule="atLeast"/>
        </w:trPr>
        <w:tc>
          <w:tcPr>
            <w:tcW w:w="0" w:type="auto"/>
            <w:gridSpan w:val="5"/>
            <w:vMerge w:val="continue"/>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vMerge w:val="continue"/>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0" w:type="auto"/>
            <w:vMerge w:val="continue"/>
            <w:tcBorders>
              <w:top w:val="nil"/>
              <w:left w:val="nil"/>
              <w:bottom w:val="nil"/>
              <w:right w:val="nil"/>
            </w:tcBorders>
            <w:shd w:val="clear" w:color="auto" w:fill="auto"/>
            <w:noWrap/>
            <w:vAlign w:val="bottom"/>
          </w:tcPr>
          <w:p>
            <w:pPr>
              <w:jc w:val="both"/>
              <w:rPr>
                <w:rFonts w:hint="default" w:ascii="Arial" w:hAnsi="Arial" w:cs="Arial"/>
                <w:i w:val="0"/>
                <w:iCs w:val="0"/>
                <w:color w:val="000000"/>
                <w:sz w:val="22"/>
                <w:szCs w:val="22"/>
                <w:u w:val="none"/>
              </w:rPr>
            </w:pPr>
          </w:p>
        </w:tc>
        <w:tc>
          <w:tcPr>
            <w:tcW w:w="1912" w:type="dxa"/>
            <w:gridSpan w:val="2"/>
            <w:vMerge w:val="continue"/>
            <w:tcBorders>
              <w:top w:val="nil"/>
              <w:left w:val="nil"/>
              <w:bottom w:val="nil"/>
              <w:right w:val="nil"/>
            </w:tcBorders>
            <w:shd w:val="clear" w:color="auto" w:fill="auto"/>
            <w:vAlign w:val="center"/>
          </w:tcPr>
          <w:p>
            <w:pPr>
              <w:jc w:val="right"/>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4" w:hRule="atLeast"/>
        </w:trPr>
        <w:tc>
          <w:tcPr>
            <w:tcW w:w="0" w:type="auto"/>
            <w:gridSpan w:val="3"/>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人员经费</w:t>
            </w:r>
          </w:p>
        </w:tc>
        <w:tc>
          <w:tcPr>
            <w:tcW w:w="0" w:type="auto"/>
            <w:gridSpan w:val="6"/>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公用经费</w:t>
            </w:r>
          </w:p>
        </w:tc>
      </w:tr>
      <w:tr>
        <w:tblPrEx>
          <w:tblCellMar>
            <w:top w:w="0" w:type="dxa"/>
            <w:left w:w="108" w:type="dxa"/>
            <w:bottom w:w="0" w:type="dxa"/>
            <w:right w:w="108" w:type="dxa"/>
          </w:tblCellMar>
        </w:tblPrEx>
        <w:trPr>
          <w:trHeight w:val="278" w:hRule="atLeast"/>
        </w:trPr>
        <w:tc>
          <w:tcPr>
            <w:tcW w:w="956"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科目编码</w:t>
            </w:r>
          </w:p>
        </w:tc>
        <w:tc>
          <w:tcPr>
            <w:tcW w:w="95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科目名称</w:t>
            </w:r>
          </w:p>
        </w:tc>
        <w:tc>
          <w:tcPr>
            <w:tcW w:w="95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决算数</w:t>
            </w:r>
          </w:p>
        </w:tc>
        <w:tc>
          <w:tcPr>
            <w:tcW w:w="95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科目编码</w:t>
            </w:r>
          </w:p>
        </w:tc>
        <w:tc>
          <w:tcPr>
            <w:tcW w:w="95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科目名称</w:t>
            </w:r>
          </w:p>
        </w:tc>
        <w:tc>
          <w:tcPr>
            <w:tcW w:w="95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决算数</w:t>
            </w:r>
          </w:p>
        </w:tc>
        <w:tc>
          <w:tcPr>
            <w:tcW w:w="95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科目编码</w:t>
            </w:r>
          </w:p>
        </w:tc>
        <w:tc>
          <w:tcPr>
            <w:tcW w:w="95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科目名称</w:t>
            </w:r>
          </w:p>
        </w:tc>
        <w:tc>
          <w:tcPr>
            <w:tcW w:w="95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决算数</w:t>
            </w:r>
          </w:p>
        </w:tc>
      </w:tr>
      <w:tr>
        <w:tblPrEx>
          <w:tblCellMar>
            <w:top w:w="0" w:type="dxa"/>
            <w:left w:w="108" w:type="dxa"/>
            <w:bottom w:w="0" w:type="dxa"/>
            <w:right w:w="108" w:type="dxa"/>
          </w:tblCellMar>
        </w:tblPrEx>
        <w:trPr>
          <w:trHeight w:val="263" w:hRule="atLeast"/>
        </w:trPr>
        <w:tc>
          <w:tcPr>
            <w:tcW w:w="956"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5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5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5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5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5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5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5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95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工资福利支出</w:t>
            </w:r>
          </w:p>
        </w:tc>
        <w:tc>
          <w:tcPr>
            <w:tcW w:w="0" w:type="auto"/>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291.52</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商品和服务支出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88.97</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307</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债务利息及费用支出</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30101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基本工资</w:t>
            </w:r>
          </w:p>
        </w:tc>
        <w:tc>
          <w:tcPr>
            <w:tcW w:w="0" w:type="auto"/>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right"/>
              <w:textAlignment w:val="bottom"/>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color w:val="000000"/>
                <w:kern w:val="0"/>
                <w:sz w:val="16"/>
                <w:szCs w:val="16"/>
                <w:u w:val="none"/>
                <w:lang w:val="en-US" w:eastAsia="zh-CN" w:bidi="ar"/>
              </w:rPr>
              <w:t>81</w:t>
            </w:r>
            <w:r>
              <w:rPr>
                <w:rFonts w:hint="eastAsia" w:ascii="宋体" w:hAnsi="宋体" w:cs="宋体"/>
                <w:i w:val="0"/>
                <w:iCs w:val="0"/>
                <w:color w:val="000000"/>
                <w:kern w:val="0"/>
                <w:sz w:val="16"/>
                <w:szCs w:val="16"/>
                <w:u w:val="none"/>
                <w:lang w:val="en-US" w:eastAsia="zh-CN" w:bidi="ar"/>
              </w:rPr>
              <w:t>.00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30201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办公费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6.22</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30701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国内债务付息</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30102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津贴补贴</w:t>
            </w:r>
          </w:p>
        </w:tc>
        <w:tc>
          <w:tcPr>
            <w:tcW w:w="0" w:type="auto"/>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67.4</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30202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印刷费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30702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国外债务付息</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297"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30103</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奖金</w:t>
            </w:r>
          </w:p>
        </w:tc>
        <w:tc>
          <w:tcPr>
            <w:tcW w:w="0" w:type="auto"/>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31.68</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30203</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咨询费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资本性支出</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30106</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伙食补助费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30204</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手续费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31001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房屋建筑物购建</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30107</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绩效工资</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30205</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31002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办公设备购置</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658"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30108</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机关事业单位基本养老保险缴费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83.20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30206</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电费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31003</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专用设备购置</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30109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职业年金缴费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0.88</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30207</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邮电费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0.62</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31005</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基础设施建设</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658"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30110</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职工基本医疗保险缴费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13.42</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30208</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取暖费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31006</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大型修缮</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658"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30111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公务员医疗补助缴费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30209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物业管理费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31007</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信息网络及软件购置更新</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30112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其他社会保障缴费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30211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差旅费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31008</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物资储备</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30113</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住房公积金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11.63</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30212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因公出国（境）费用</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31009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土地补偿</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30114</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医疗费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30213</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维修（护）费</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31010</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安置补助</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658"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30199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其他工资福利支出</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30214</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租赁费</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31011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地上附着物和青苗补偿</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对个人和家庭的补助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8.88</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30215</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会议费</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31012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拆迁补偿</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30301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离休费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30216</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培训费</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31013</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公务用车购置</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30302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退休费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30217</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公务接待费</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31019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其他交通工具购置</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30303</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退职（役）费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30218</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专用材料费</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31021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文物和陈列品购置</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30304</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抚恤金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0.72</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30224</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被装购置费</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31022</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无形资产购置</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30305</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生活补助</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8.16</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30225</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专用燃料费</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31099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其他资本性支出</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297"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30306</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救济费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30226</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劳务费</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其他支出</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30307</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医疗费补助</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30227</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委托业务费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73.50</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39906</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赠与</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30308</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助学金</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30228</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工会经费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39907</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国家赔偿费用支出</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872"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30309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奖励金</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30229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福利费</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39908</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对民间非营利组织和群众性自治组织补贴</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30310</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个人农业生产补贴</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30231</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公务用车运行维护费</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1.96</w:t>
            </w: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39999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其他支出</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658" w:hRule="atLeast"/>
        </w:trPr>
        <w:tc>
          <w:tcPr>
            <w:tcW w:w="0" w:type="auto"/>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30399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其他对个人和家庭的补助支出</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30239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其他交通费用</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bottom"/>
          </w:tcPr>
          <w:p>
            <w:pPr>
              <w:jc w:val="left"/>
              <w:rPr>
                <w:rFonts w:hint="eastAsia" w:ascii="宋体" w:hAnsi="宋体" w:eastAsia="宋体" w:cs="宋体"/>
                <w:i w:val="0"/>
                <w:iCs w:val="0"/>
                <w:color w:val="000000"/>
                <w:sz w:val="16"/>
                <w:szCs w:val="16"/>
                <w:u w:val="none"/>
              </w:rPr>
            </w:pPr>
          </w:p>
        </w:tc>
        <w:tc>
          <w:tcPr>
            <w:tcW w:w="956" w:type="dxa"/>
            <w:tcBorders>
              <w:top w:val="nil"/>
              <w:left w:val="nil"/>
              <w:bottom w:val="single" w:color="000000" w:sz="8" w:space="0"/>
              <w:right w:val="single" w:color="000000" w:sz="8" w:space="0"/>
            </w:tcBorders>
            <w:shd w:val="clear" w:color="auto" w:fill="auto"/>
            <w:vAlign w:val="bottom"/>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bottom"/>
          </w:tcPr>
          <w:p>
            <w:pPr>
              <w:jc w:val="left"/>
              <w:rPr>
                <w:rFonts w:hint="eastAsia" w:ascii="宋体" w:hAnsi="宋体" w:eastAsia="宋体" w:cs="宋体"/>
                <w:i w:val="0"/>
                <w:iCs w:val="0"/>
                <w:color w:val="000000"/>
                <w:sz w:val="16"/>
                <w:szCs w:val="16"/>
                <w:u w:val="none"/>
              </w:rPr>
            </w:pPr>
          </w:p>
        </w:tc>
        <w:tc>
          <w:tcPr>
            <w:tcW w:w="956" w:type="dxa"/>
            <w:tcBorders>
              <w:top w:val="nil"/>
              <w:left w:val="nil"/>
              <w:bottom w:val="single" w:color="000000" w:sz="8" w:space="0"/>
              <w:right w:val="single" w:color="000000" w:sz="8" w:space="0"/>
            </w:tcBorders>
            <w:shd w:val="clear" w:color="auto" w:fill="auto"/>
            <w:vAlign w:val="bottom"/>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30240</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税金及附加费用</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bottom"/>
          </w:tcPr>
          <w:p>
            <w:pPr>
              <w:jc w:val="left"/>
              <w:rPr>
                <w:rFonts w:hint="eastAsia" w:ascii="宋体" w:hAnsi="宋体" w:eastAsia="宋体" w:cs="宋体"/>
                <w:i w:val="0"/>
                <w:iCs w:val="0"/>
                <w:color w:val="000000"/>
                <w:sz w:val="16"/>
                <w:szCs w:val="16"/>
                <w:u w:val="none"/>
              </w:rPr>
            </w:pPr>
          </w:p>
        </w:tc>
        <w:tc>
          <w:tcPr>
            <w:tcW w:w="956" w:type="dxa"/>
            <w:tcBorders>
              <w:top w:val="nil"/>
              <w:left w:val="nil"/>
              <w:bottom w:val="single" w:color="000000" w:sz="8" w:space="0"/>
              <w:right w:val="single" w:color="000000" w:sz="8" w:space="0"/>
            </w:tcBorders>
            <w:shd w:val="clear" w:color="auto" w:fill="auto"/>
            <w:vAlign w:val="bottom"/>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444" w:hRule="atLeast"/>
        </w:trPr>
        <w:tc>
          <w:tcPr>
            <w:tcW w:w="0" w:type="auto"/>
            <w:tcBorders>
              <w:top w:val="nil"/>
              <w:left w:val="single" w:color="000000" w:sz="8" w:space="0"/>
              <w:bottom w:val="single" w:color="000000" w:sz="8" w:space="0"/>
              <w:right w:val="single" w:color="000000" w:sz="8" w:space="0"/>
            </w:tcBorders>
            <w:shd w:val="clear" w:color="auto" w:fill="auto"/>
            <w:noWrap/>
            <w:vAlign w:val="bottom"/>
          </w:tcPr>
          <w:p>
            <w:pPr>
              <w:jc w:val="left"/>
              <w:rPr>
                <w:rFonts w:hint="eastAsia" w:ascii="宋体" w:hAnsi="宋体" w:eastAsia="宋体" w:cs="宋体"/>
                <w:i w:val="0"/>
                <w:iCs w:val="0"/>
                <w:color w:val="000000"/>
                <w:sz w:val="16"/>
                <w:szCs w:val="16"/>
                <w:u w:val="none"/>
              </w:rPr>
            </w:pPr>
          </w:p>
        </w:tc>
        <w:tc>
          <w:tcPr>
            <w:tcW w:w="956" w:type="dxa"/>
            <w:tcBorders>
              <w:top w:val="nil"/>
              <w:left w:val="nil"/>
              <w:bottom w:val="single" w:color="000000" w:sz="8" w:space="0"/>
              <w:right w:val="single" w:color="000000" w:sz="8" w:space="0"/>
            </w:tcBorders>
            <w:shd w:val="clear" w:color="auto" w:fill="auto"/>
            <w:vAlign w:val="bottom"/>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30299</w:t>
            </w:r>
          </w:p>
        </w:tc>
        <w:tc>
          <w:tcPr>
            <w:tcW w:w="9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其他商品和服务支出</w:t>
            </w: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bottom"/>
          </w:tcPr>
          <w:p>
            <w:pPr>
              <w:jc w:val="left"/>
              <w:rPr>
                <w:rFonts w:hint="eastAsia" w:ascii="宋体" w:hAnsi="宋体" w:eastAsia="宋体" w:cs="宋体"/>
                <w:i w:val="0"/>
                <w:iCs w:val="0"/>
                <w:color w:val="000000"/>
                <w:sz w:val="16"/>
                <w:szCs w:val="16"/>
                <w:u w:val="none"/>
              </w:rPr>
            </w:pPr>
          </w:p>
        </w:tc>
        <w:tc>
          <w:tcPr>
            <w:tcW w:w="956" w:type="dxa"/>
            <w:tcBorders>
              <w:top w:val="nil"/>
              <w:left w:val="nil"/>
              <w:bottom w:val="single" w:color="000000" w:sz="8" w:space="0"/>
              <w:right w:val="single" w:color="000000" w:sz="8" w:space="0"/>
            </w:tcBorders>
            <w:shd w:val="clear" w:color="auto" w:fill="auto"/>
            <w:vAlign w:val="bottom"/>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8" w:space="0"/>
              <w:right w:val="single" w:color="000000" w:sz="8" w:space="0"/>
            </w:tcBorders>
            <w:shd w:val="clear" w:color="auto" w:fill="auto"/>
            <w:noWrap/>
            <w:vAlign w:val="bottom"/>
          </w:tcPr>
          <w:p>
            <w:pPr>
              <w:jc w:val="right"/>
              <w:rPr>
                <w:rFonts w:hint="eastAsia" w:ascii="宋体" w:hAnsi="宋体" w:eastAsia="宋体" w:cs="宋体"/>
                <w:i w:val="0"/>
                <w:iCs w:val="0"/>
                <w:color w:val="000000"/>
                <w:sz w:val="20"/>
                <w:szCs w:val="20"/>
                <w:u w:val="none"/>
              </w:rPr>
            </w:pPr>
          </w:p>
        </w:tc>
      </w:tr>
      <w:tr>
        <w:tblPrEx>
          <w:tblCellMar>
            <w:top w:w="0" w:type="dxa"/>
            <w:left w:w="108" w:type="dxa"/>
            <w:bottom w:w="0" w:type="dxa"/>
            <w:right w:w="108" w:type="dxa"/>
          </w:tblCellMar>
        </w:tblPrEx>
        <w:trPr>
          <w:trHeight w:val="278" w:hRule="atLeast"/>
        </w:trPr>
        <w:tc>
          <w:tcPr>
            <w:tcW w:w="0" w:type="auto"/>
            <w:gridSpan w:val="2"/>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人员经费合计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300.40</w:t>
            </w:r>
          </w:p>
        </w:tc>
        <w:tc>
          <w:tcPr>
            <w:tcW w:w="0" w:type="auto"/>
            <w:gridSpan w:val="5"/>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公用经费合计</w:t>
            </w:r>
          </w:p>
        </w:tc>
        <w:tc>
          <w:tcPr>
            <w:tcW w:w="0" w:type="auto"/>
            <w:tcBorders>
              <w:top w:val="nil"/>
              <w:left w:val="nil"/>
              <w:bottom w:val="single" w:color="000000" w:sz="8" w:space="0"/>
              <w:right w:val="single" w:color="000000" w:sz="8" w:space="0"/>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88.96</w:t>
            </w:r>
          </w:p>
        </w:tc>
      </w:tr>
      <w:tr>
        <w:tblPrEx>
          <w:tblCellMar>
            <w:top w:w="0" w:type="dxa"/>
            <w:left w:w="108" w:type="dxa"/>
            <w:bottom w:w="0" w:type="dxa"/>
            <w:right w:w="108" w:type="dxa"/>
          </w:tblCellMar>
        </w:tblPrEx>
        <w:trPr>
          <w:trHeight w:val="248" w:hRule="atLeast"/>
        </w:trPr>
        <w:tc>
          <w:tcPr>
            <w:tcW w:w="0" w:type="auto"/>
            <w:gridSpan w:val="9"/>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注：本表反映部门本年度一般公共预算财政拨款基本支出明细情况。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79744;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2.58</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2.58</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2.50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0.08</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1.96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1.96</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1.96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0768;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w:t>
            </w:r>
            <w:r>
              <w:rPr>
                <w:rFonts w:hint="eastAsia" w:ascii="宋体" w:hAnsi="宋体" w:cs="宋体"/>
                <w:color w:val="000000"/>
                <w:kern w:val="0"/>
                <w:szCs w:val="21"/>
                <w:lang w:val="en-US" w:eastAsia="zh-CN"/>
              </w:rPr>
              <w:t>本</w:t>
            </w:r>
            <w:r>
              <w:rPr>
                <w:rFonts w:hint="eastAsia" w:ascii="宋体" w:hAnsi="宋体" w:cs="宋体"/>
                <w:color w:val="000000"/>
                <w:kern w:val="0"/>
                <w:szCs w:val="21"/>
              </w:rPr>
              <w:t>部门</w:t>
            </w:r>
            <w:r>
              <w:rPr>
                <w:rFonts w:hint="eastAsia" w:ascii="宋体" w:hAnsi="宋体" w:cs="宋体"/>
                <w:color w:val="000000"/>
                <w:kern w:val="0"/>
                <w:szCs w:val="21"/>
                <w:lang w:val="en-US" w:eastAsia="zh-CN"/>
              </w:rPr>
              <w:t>本年度无</w:t>
            </w:r>
            <w:r>
              <w:rPr>
                <w:rFonts w:hint="eastAsia" w:ascii="宋体" w:hAnsi="宋体" w:cs="宋体"/>
                <w:color w:val="000000"/>
                <w:kern w:val="0"/>
                <w:szCs w:val="21"/>
              </w:rPr>
              <w:t>政府性基金预算财政拨款收入、支出及结转和结余情况</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故空表列示</w:t>
            </w:r>
            <w:r>
              <w:rPr>
                <w:rFonts w:hint="eastAsia" w:ascii="宋体" w:hAnsi="宋体" w:cs="宋体"/>
                <w:color w:val="000000"/>
                <w:kern w:val="0"/>
                <w:szCs w:val="21"/>
              </w:rPr>
              <w:t>。</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1792;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w:t>
            </w:r>
            <w:r>
              <w:rPr>
                <w:rFonts w:hint="eastAsia" w:ascii="宋体" w:hAnsi="宋体" w:cs="宋体"/>
                <w:color w:val="000000"/>
                <w:kern w:val="0"/>
                <w:sz w:val="22"/>
                <w:szCs w:val="22"/>
                <w:lang w:val="en-US" w:eastAsia="zh-CN"/>
              </w:rPr>
              <w:t>本</w:t>
            </w:r>
            <w:r>
              <w:rPr>
                <w:rFonts w:hint="eastAsia" w:ascii="宋体" w:hAnsi="宋体" w:cs="宋体"/>
                <w:color w:val="000000"/>
                <w:kern w:val="0"/>
                <w:sz w:val="22"/>
                <w:szCs w:val="22"/>
              </w:rPr>
              <w:t>部门本年度</w:t>
            </w:r>
            <w:r>
              <w:rPr>
                <w:rFonts w:hint="eastAsia" w:ascii="宋体" w:hAnsi="宋体" w:cs="宋体"/>
                <w:color w:val="000000"/>
                <w:kern w:val="0"/>
                <w:sz w:val="22"/>
                <w:szCs w:val="22"/>
                <w:lang w:val="en-US" w:eastAsia="zh-CN"/>
              </w:rPr>
              <w:t>无</w:t>
            </w:r>
            <w:r>
              <w:rPr>
                <w:rFonts w:hint="eastAsia" w:ascii="宋体" w:hAnsi="宋体" w:cs="宋体"/>
                <w:color w:val="000000"/>
                <w:kern w:val="0"/>
                <w:sz w:val="22"/>
                <w:szCs w:val="22"/>
              </w:rPr>
              <w:t>国有资本经营预算财政拨款支出情况</w:t>
            </w:r>
            <w:r>
              <w:rPr>
                <w:rFonts w:hint="eastAsia" w:ascii="宋体" w:hAnsi="宋体" w:cs="宋体"/>
                <w:color w:val="000000"/>
                <w:kern w:val="0"/>
                <w:sz w:val="22"/>
                <w:szCs w:val="22"/>
                <w:lang w:eastAsia="zh-CN"/>
              </w:rPr>
              <w:t>，</w:t>
            </w:r>
            <w:r>
              <w:rPr>
                <w:rFonts w:hint="eastAsia" w:ascii="宋体" w:hAnsi="宋体" w:cs="宋体"/>
                <w:color w:val="000000"/>
                <w:kern w:val="0"/>
                <w:sz w:val="22"/>
                <w:szCs w:val="22"/>
                <w:lang w:val="en-US" w:eastAsia="zh-CN"/>
              </w:rPr>
              <w:t>故空表列示</w:t>
            </w:r>
            <w:r>
              <w:rPr>
                <w:rFonts w:hint="eastAsia" w:ascii="宋体" w:hAnsi="宋体" w:cs="宋体"/>
                <w:color w:val="000000"/>
                <w:kern w:val="0"/>
                <w:sz w:val="22"/>
                <w:szCs w:val="22"/>
              </w:rPr>
              <w:t>。</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2816;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注：本部门本年度</w:t>
            </w:r>
            <w:r>
              <w:rPr>
                <w:rFonts w:hint="eastAsia" w:ascii="宋体" w:hAnsi="宋体" w:cs="宋体"/>
                <w:color w:val="000000"/>
                <w:kern w:val="0"/>
                <w:szCs w:val="21"/>
                <w:lang w:val="en-US" w:eastAsia="zh-CN"/>
              </w:rPr>
              <w:t>无</w:t>
            </w:r>
            <w:r>
              <w:rPr>
                <w:rFonts w:hint="eastAsia" w:ascii="宋体" w:hAnsi="宋体" w:cs="宋体"/>
                <w:color w:val="000000"/>
                <w:kern w:val="0"/>
                <w:szCs w:val="21"/>
              </w:rPr>
              <w:t>纳入部门预算范围的政府采购预算及支出情况</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空表列示</w:t>
            </w:r>
            <w:r>
              <w:rPr>
                <w:rFonts w:hint="eastAsia" w:ascii="宋体" w:hAnsi="宋体" w:cs="宋体"/>
                <w:color w:val="000000"/>
                <w:kern w:val="0"/>
                <w:szCs w:val="21"/>
              </w:rPr>
              <w:t>。</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89984;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w:t>
      </w:r>
      <w:r>
        <w:rPr>
          <w:rFonts w:hint="eastAsia" w:ascii="仿宋_GB2312" w:eastAsia="仿宋_GB2312" w:cs="DengXian-Regular"/>
          <w:sz w:val="32"/>
          <w:szCs w:val="32"/>
          <w:lang w:val="en-US" w:eastAsia="zh-CN"/>
        </w:rPr>
        <w:t>389.36</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年度决算相比，收入减少</w:t>
      </w:r>
      <w:r>
        <w:rPr>
          <w:rFonts w:hint="eastAsia" w:ascii="仿宋_GB2312" w:eastAsia="仿宋_GB2312" w:cs="DengXian-Regular"/>
          <w:sz w:val="32"/>
          <w:szCs w:val="32"/>
          <w:lang w:val="en-US" w:eastAsia="zh-CN"/>
        </w:rPr>
        <w:t>109.61</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降低21.97</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审计项目减少，经费减少</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w:t>
      </w:r>
      <w:r>
        <w:rPr>
          <w:rFonts w:hint="eastAsia" w:ascii="仿宋_GB2312" w:eastAsia="仿宋_GB2312" w:cs="DengXian-Regular"/>
          <w:sz w:val="32"/>
          <w:szCs w:val="32"/>
          <w:lang w:val="en-US" w:eastAsia="zh-CN"/>
        </w:rPr>
        <w:t>389.36</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年度决算相比，支出减少</w:t>
      </w:r>
      <w:r>
        <w:rPr>
          <w:rFonts w:hint="eastAsia" w:ascii="仿宋_GB2312" w:eastAsia="仿宋_GB2312" w:cs="DengXian-Regular"/>
          <w:sz w:val="32"/>
          <w:szCs w:val="32"/>
          <w:lang w:val="en-US" w:eastAsia="zh-CN"/>
        </w:rPr>
        <w:t>109.61</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降低21.97</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审计项目减少，经费减少</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黑体" w:eastAsia="黑体"/>
          <w:b w:val="0"/>
          <w:bCs w:val="0"/>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389.36</w:t>
      </w:r>
      <w:r>
        <w:rPr>
          <w:rFonts w:hint="eastAsia" w:ascii="仿宋_GB2312" w:eastAsia="仿宋_GB2312" w:cs="DengXian-Regular"/>
          <w:sz w:val="32"/>
          <w:szCs w:val="32"/>
        </w:rPr>
        <w:t>万元，其中：财政拨款收</w:t>
      </w:r>
      <w:r>
        <w:rPr>
          <w:rFonts w:hint="eastAsia" w:ascii="仿宋_GB2312" w:eastAsia="仿宋_GB2312" w:cs="DengXian-Regular"/>
          <w:sz w:val="32"/>
          <w:szCs w:val="32"/>
          <w:lang w:val="en-US" w:eastAsia="zh-CN"/>
        </w:rPr>
        <w:t>389.36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line="580" w:lineRule="exact"/>
        <w:ind w:firstLine="640" w:firstLineChars="200"/>
        <w:rPr>
          <w:rFonts w:ascii="黑体" w:hAnsi="Calibri" w:eastAsia="黑体"/>
          <w:b/>
          <w:bCs/>
          <w:sz w:val="32"/>
          <w:szCs w:val="32"/>
        </w:rPr>
      </w:pPr>
      <w:r>
        <w:rPr>
          <w:rFonts w:hint="eastAsia" w:ascii="仿宋_GB2312" w:hAnsi="Times New Roman" w:eastAsia="仿宋_GB2312" w:cs="DengXian-Regular"/>
          <w:b w:val="0"/>
          <w:bCs w:val="0"/>
          <w:kern w:val="2"/>
          <w:sz w:val="32"/>
          <w:szCs w:val="32"/>
          <w:lang w:val="en-US" w:eastAsia="zh-CN" w:bidi="ar-SA"/>
        </w:rPr>
        <w:t>本部门2018年度本年支出合计389.36万元，其中：基本支出389.36万元，占100%。</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；经营支出0万元，占0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highlight w:val="none"/>
        </w:rPr>
      </w:pPr>
      <w:r>
        <w:rPr>
          <w:rFonts w:hint="eastAsia" w:ascii="楷体_GB2312" w:eastAsia="楷体_GB2312" w:cs="DengXian-Bold"/>
          <w:b/>
          <w:bCs/>
          <w:sz w:val="32"/>
          <w:szCs w:val="32"/>
          <w:highlight w:val="none"/>
        </w:rPr>
        <w:t>（一）财政拨款收支与</w:t>
      </w:r>
      <w:r>
        <w:rPr>
          <w:rFonts w:ascii="楷体_GB2312" w:eastAsia="楷体_GB2312" w:cs="DengXian-Bold"/>
          <w:b/>
          <w:bCs/>
          <w:sz w:val="32"/>
          <w:szCs w:val="32"/>
          <w:highlight w:val="none"/>
        </w:rPr>
        <w:t xml:space="preserve">2017 </w:t>
      </w:r>
      <w:r>
        <w:rPr>
          <w:rFonts w:hint="eastAsia" w:ascii="楷体_GB2312" w:eastAsia="楷体_GB2312" w:cs="DengXian-Bold"/>
          <w:b/>
          <w:bCs/>
          <w:sz w:val="32"/>
          <w:szCs w:val="32"/>
          <w:highlight w:val="none"/>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w:t>
      </w:r>
      <w:r>
        <w:rPr>
          <w:rFonts w:hint="eastAsia" w:ascii="仿宋_GB2312" w:eastAsia="仿宋_GB2312" w:cs="DengXian-Regular"/>
          <w:sz w:val="32"/>
          <w:szCs w:val="32"/>
        </w:rPr>
        <w:t>度形成的财政拨款收支均为一般公共预算财政拨款，其中一般公共预算财政拨款本年收入</w:t>
      </w:r>
      <w:r>
        <w:rPr>
          <w:rFonts w:hint="eastAsia" w:ascii="仿宋_GB2312" w:hAnsi="Times New Roman" w:eastAsia="仿宋_GB2312" w:cs="DengXian-Regular"/>
          <w:b w:val="0"/>
          <w:bCs w:val="0"/>
          <w:kern w:val="2"/>
          <w:sz w:val="32"/>
          <w:szCs w:val="32"/>
          <w:lang w:val="en-US" w:eastAsia="zh-CN" w:bidi="ar-SA"/>
        </w:rPr>
        <w:t>389.36</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年度减少</w:t>
      </w:r>
      <w:r>
        <w:rPr>
          <w:rFonts w:hint="eastAsia" w:ascii="仿宋_GB2312" w:eastAsia="仿宋_GB2312" w:cs="DengXian-Regular"/>
          <w:sz w:val="32"/>
          <w:szCs w:val="32"/>
          <w:lang w:val="en-US" w:eastAsia="zh-CN"/>
        </w:rPr>
        <w:t>109.61</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降低21.97</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审计项目减少，经费减少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389.36</w:t>
      </w:r>
      <w:r>
        <w:rPr>
          <w:rFonts w:hint="eastAsia" w:ascii="仿宋_GB2312" w:eastAsia="仿宋_GB2312" w:cs="DengXian-Regular"/>
          <w:sz w:val="32"/>
          <w:szCs w:val="32"/>
        </w:rPr>
        <w:t>万元，比</w:t>
      </w:r>
      <w:r>
        <w:rPr>
          <w:rFonts w:ascii="仿宋_GB2312" w:eastAsia="仿宋_GB2312" w:cs="DengXian-Regular"/>
          <w:sz w:val="32"/>
          <w:szCs w:val="32"/>
        </w:rPr>
        <w:t>2017</w:t>
      </w:r>
      <w:r>
        <w:rPr>
          <w:rFonts w:hint="eastAsia" w:ascii="仿宋_GB2312" w:eastAsia="仿宋_GB2312" w:cs="DengXian-Regular"/>
          <w:sz w:val="32"/>
          <w:szCs w:val="32"/>
        </w:rPr>
        <w:t>年度减少</w:t>
      </w:r>
      <w:r>
        <w:rPr>
          <w:rFonts w:hint="eastAsia" w:ascii="仿宋_GB2312" w:eastAsia="仿宋_GB2312" w:cs="DengXian-Regular"/>
          <w:sz w:val="32"/>
          <w:szCs w:val="32"/>
          <w:lang w:val="en-US" w:eastAsia="zh-CN"/>
        </w:rPr>
        <w:t>109.61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21.97</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审计项目减少，经费减少</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_GB2312" w:eastAsia="仿宋_GB2312" w:cs="DengXian-Regular"/>
          <w:sz w:val="32"/>
          <w:szCs w:val="32"/>
          <w:lang w:val="en-US" w:eastAsia="zh-CN"/>
        </w:rPr>
        <w:t>359.11</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107.77</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30.25</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val="en-US" w:eastAsia="zh-CN"/>
        </w:rPr>
        <w:t>审计项目比年初计划增多</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389.36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107.77</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30.25</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val="en-US" w:eastAsia="zh-CN"/>
        </w:rPr>
        <w:t>审计项目比年初计划增多</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楷体_GB2312" w:eastAsia="楷体_GB2312" w:cs="DengXian-Bold"/>
          <w:b/>
          <w:bCs/>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389.36</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highlight w:val="none"/>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389.36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3840;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389.36</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300.40</w:t>
      </w:r>
      <w:r>
        <w:rPr>
          <w:rFonts w:hint="eastAsia" w:ascii="仿宋_GB2312" w:eastAsia="仿宋_GB2312" w:cs="DengXian-Regular"/>
          <w:sz w:val="32"/>
          <w:szCs w:val="32"/>
        </w:rPr>
        <w:t>万元，主要包括基本工资、津贴补贴、奖金、绩效工资、机关事业单位基本养老保险缴费、职业年金缴费、职工基本医疗保险缴费、住房公积金其他社会保障缴费、其他工资福利支出、退休费；公用经费</w:t>
      </w:r>
      <w:r>
        <w:rPr>
          <w:rFonts w:hint="eastAsia" w:ascii="仿宋_GB2312" w:eastAsia="仿宋_GB2312" w:cs="DengXian-Regular"/>
          <w:sz w:val="32"/>
          <w:szCs w:val="32"/>
          <w:lang w:val="en-US" w:eastAsia="zh-CN"/>
        </w:rPr>
        <w:t>88.96</w:t>
      </w:r>
      <w:r>
        <w:rPr>
          <w:rFonts w:hint="eastAsia" w:ascii="仿宋_GB2312" w:eastAsia="仿宋_GB2312" w:cs="DengXian-Regular"/>
          <w:sz w:val="32"/>
          <w:szCs w:val="32"/>
        </w:rPr>
        <w:t>万元，主要包括办公费、水费、电费、邮电费、差旅费、委托业务费、公务用车运行维护费。</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hAnsi="Times New Roman" w:eastAsia="仿宋_GB2312" w:cs="DengXian-Regular"/>
          <w:b w:val="0"/>
          <w:bCs w:val="0"/>
          <w:kern w:val="2"/>
          <w:sz w:val="32"/>
          <w:szCs w:val="32"/>
          <w:lang w:val="en-US" w:eastAsia="zh-CN" w:bidi="ar-SA"/>
        </w:rPr>
        <w:t>本部门2018年度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1.96</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0.62</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24.03</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hint="default" w:ascii="仿宋_GB2312" w:eastAsia="仿宋_GB2312" w:cs="DengXian-Regular"/>
          <w:sz w:val="32"/>
          <w:szCs w:val="32"/>
          <w:lang w:val="en-US" w:eastAsia="zh-CN"/>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4864;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年度未发生</w:t>
      </w:r>
      <w:r>
        <w:rPr>
          <w:rFonts w:hint="eastAsia" w:ascii="仿宋_GB2312" w:eastAsia="仿宋_GB2312" w:cs="DengXian-Regular"/>
          <w:sz w:val="32"/>
          <w:szCs w:val="32"/>
          <w:lang w:val="en-US" w:eastAsia="zh-CN"/>
        </w:rPr>
        <w:t>因公出国</w:t>
      </w:r>
      <w:r>
        <w:rPr>
          <w:rFonts w:hint="eastAsia" w:ascii="仿宋_GB2312" w:eastAsia="仿宋_GB2312" w:cs="DengXian-Regular"/>
          <w:sz w:val="32"/>
          <w:szCs w:val="32"/>
        </w:rPr>
        <w:t>经费支出</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0组次0人次。</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1.96</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0.54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21.6</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厉行节约</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年度公务用车购置量0辆，发生“公务用车购置”经费支出0万元。公务用车购置费支出较预算增加0万元，增长0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0.54</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21.6</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厉行节约</w:t>
      </w:r>
      <w:r>
        <w:rPr>
          <w:rFonts w:hint="eastAsia" w:ascii="仿宋_GB2312" w:eastAsia="仿宋_GB2312" w:cs="DengXian-Regular"/>
          <w:sz w:val="32"/>
          <w:szCs w:val="32"/>
        </w:rPr>
        <w:t>。</w:t>
      </w:r>
    </w:p>
    <w:p>
      <w:pPr>
        <w:adjustRightInd w:val="0"/>
        <w:snapToGrid w:val="0"/>
        <w:spacing w:line="580" w:lineRule="exact"/>
        <w:ind w:firstLine="643" w:firstLineChars="200"/>
        <w:rPr>
          <w:rFonts w:hint="eastAsia" w:ascii="仿宋_GB2312" w:hAnsi="Times New Roman" w:eastAsia="仿宋_GB2312" w:cs="DengXian-Regular"/>
          <w:sz w:val="32"/>
          <w:szCs w:val="32"/>
          <w:lang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年度公务接待共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批次、</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人次。公务接待费支出较预算减少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；较上年度减少</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420" w:firstLineChars="200"/>
        <w:rPr>
          <w:rFonts w:hint="eastAsia" w:ascii="仿宋_GB2312" w:eastAsia="仿宋_GB2312" w:cs="DengXian-Regular"/>
          <w:sz w:val="32"/>
          <w:szCs w:val="32"/>
          <w:lang w:val="en-US" w:eastAsia="zh-CN"/>
        </w:rPr>
      </w:pPr>
      <w:r>
        <w:pict>
          <v:group id="_x0000_s1109" o:spid="_x0000_s1109" o:spt="203" style="position:absolute;left:0pt;margin-left:-79.5pt;margin-top:29.3pt;height:43.95pt;width:301.85pt;mso-position-vertical-relative:page;z-index:251685888;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hint="eastAsia"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default" w:ascii="黑体" w:eastAsia="黑体"/>
          <w:sz w:val="32"/>
          <w:szCs w:val="40"/>
          <w:lang w:val="en-US" w:eastAsia="zh-CN"/>
        </w:rPr>
      </w:pPr>
      <w:r>
        <w:rPr>
          <w:rFonts w:hint="eastAsia" w:ascii="仿宋_GB2312" w:eastAsia="仿宋_GB2312" w:cs="DengXian-Regular"/>
          <w:sz w:val="32"/>
          <w:szCs w:val="32"/>
          <w:lang w:val="en-US" w:eastAsia="zh-CN"/>
        </w:rPr>
        <w:t>本单位2018年度没有项目支出，不需进行预算绩效评价。</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88.96</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6.85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7.15</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项目较年初计划减少，经费减少</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hint="eastAsia" w:ascii="仿宋_GB2312" w:eastAsia="仿宋_GB2312" w:cs="DengXian-Regular"/>
          <w:sz w:val="32"/>
          <w:szCs w:val="32"/>
          <w:lang w:val="en-US" w:eastAsia="zh-CN"/>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eastAsia="仿宋_GB2312" w:cs="DengXian-Regular"/>
          <w:sz w:val="32"/>
          <w:szCs w:val="32"/>
          <w:lang w:val="en-US" w:eastAsia="zh-CN"/>
        </w:rPr>
        <w:t>8</w:t>
      </w:r>
      <w:r>
        <w:rPr>
          <w:rFonts w:hint="eastAsia" w:ascii="仿宋_GB2312" w:hAnsi="Times New Roman" w:eastAsia="仿宋_GB2312" w:cs="DengXian-Regular"/>
          <w:sz w:val="32"/>
          <w:szCs w:val="32"/>
        </w:rPr>
        <w:t>年度政府采购支出总额</w:t>
      </w:r>
      <w:r>
        <w:rPr>
          <w:rFonts w:hint="eastAsia" w:ascii="仿宋_GB2312" w:eastAsia="仿宋_GB2312" w:cs="DengXian-Regular"/>
          <w:sz w:val="32"/>
          <w:szCs w:val="32"/>
          <w:lang w:val="en-US" w:eastAsia="zh-CN"/>
        </w:rPr>
        <w:t>0</w:t>
      </w:r>
      <w:r>
        <w:rPr>
          <w:rFonts w:hint="eastAsia" w:ascii="仿宋_GB2312" w:hAnsi="Times New Roman"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val="en-US" w:eastAsia="zh-CN"/>
        </w:rPr>
        <w:t>与上年持平</w:t>
      </w:r>
      <w:r>
        <w:rPr>
          <w:rFonts w:hint="eastAsia" w:ascii="仿宋_GB2312" w:eastAsia="仿宋_GB2312" w:cs="DengXian-Regular"/>
          <w:sz w:val="32"/>
          <w:szCs w:val="32"/>
        </w:rPr>
        <w:t>。其中，应急保障用车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val="en-US" w:eastAsia="zh-CN"/>
        </w:rPr>
        <w:t>与上年持平</w:t>
      </w:r>
      <w:r>
        <w:rPr>
          <w:rFonts w:hint="eastAsia" w:ascii="仿宋_GB2312" w:eastAsia="仿宋_GB2312" w:cs="DengXian-Regular"/>
          <w:sz w:val="32"/>
          <w:szCs w:val="32"/>
        </w:rPr>
        <w:t>。</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w:t>
      </w:r>
      <w:r>
        <w:rPr>
          <w:rFonts w:hint="eastAsia" w:ascii="仿宋_GB2312" w:hAnsi="Times New Roman" w:eastAsia="仿宋_GB2312" w:cs="DengXian-Regular"/>
          <w:sz w:val="32"/>
          <w:szCs w:val="32"/>
          <w:lang w:eastAsia="zh-CN"/>
        </w:rPr>
        <w:t>，</w:t>
      </w:r>
      <w:r>
        <w:rPr>
          <w:rFonts w:hint="eastAsia" w:ascii="仿宋_GB2312" w:eastAsia="仿宋_GB2312" w:cs="DengXian-Regular"/>
          <w:sz w:val="32"/>
          <w:szCs w:val="32"/>
          <w:lang w:val="en-US" w:eastAsia="zh-CN"/>
        </w:rPr>
        <w:t>与上年持平</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val="en-US" w:eastAsia="zh-CN"/>
        </w:rPr>
        <w:t>政府性基金、国有资本经营预算</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val="en-US" w:eastAsia="zh-CN"/>
        </w:rPr>
        <w:t>8.9</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6912;mso-width-relative:page;mso-height-relative:page;" coordorigin="4551,52615" coordsize="8546,1398">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7936;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88960;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29"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9"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C2CE9B-BA9B-4886-A4E5-497D1562CDE7}"/>
  </w:font>
  <w:font w:name="Arial">
    <w:panose1 w:val="020B0604020202020204"/>
    <w:charset w:val="01"/>
    <w:family w:val="swiss"/>
    <w:pitch w:val="default"/>
    <w:sig w:usb0="E0002AFF" w:usb1="C0007843" w:usb2="00000009" w:usb3="00000000" w:csb0="400001FF" w:csb1="FFFF0000"/>
    <w:embedRegular r:id="rId2" w:fontKey="{CC30B09F-C4B5-49AB-B2A7-2DA36E37831D}"/>
  </w:font>
  <w:font w:name="黑体">
    <w:panose1 w:val="02010609060101010101"/>
    <w:charset w:val="86"/>
    <w:family w:val="auto"/>
    <w:pitch w:val="default"/>
    <w:sig w:usb0="800002BF" w:usb1="38CF7CFA" w:usb2="00000016" w:usb3="00000000" w:csb0="00040001" w:csb1="00000000"/>
    <w:embedRegular r:id="rId3" w:fontKey="{DA8A233E-9A06-4834-A25F-9B9093D4AE83}"/>
  </w:font>
  <w:font w:name="Courier New">
    <w:panose1 w:val="02070309020205020404"/>
    <w:charset w:val="01"/>
    <w:family w:val="modern"/>
    <w:pitch w:val="default"/>
    <w:sig w:usb0="E0002AFF" w:usb1="C0007843" w:usb2="00000009" w:usb3="00000000" w:csb0="400001FF" w:csb1="FFFF0000"/>
    <w:embedRegular r:id="rId4" w:fontKey="{C6CF7E27-15D0-4187-9579-35E1535D017C}"/>
  </w:font>
  <w:font w:name="Symbol">
    <w:panose1 w:val="05050102010706020507"/>
    <w:charset w:val="02"/>
    <w:family w:val="roman"/>
    <w:pitch w:val="default"/>
    <w:sig w:usb0="00000000" w:usb1="00000000" w:usb2="00000000" w:usb3="00000000" w:csb0="80000000" w:csb1="00000000"/>
    <w:embedRegular r:id="rId5" w:fontKey="{7F4580C9-038C-4C36-8D4D-408780029FCC}"/>
  </w:font>
  <w:font w:name="Calibri">
    <w:panose1 w:val="020F0502020204030204"/>
    <w:charset w:val="00"/>
    <w:family w:val="swiss"/>
    <w:pitch w:val="default"/>
    <w:sig w:usb0="E00002FF" w:usb1="4000ACFF" w:usb2="00000001" w:usb3="00000000" w:csb0="2000019F" w:csb1="00000000"/>
    <w:embedRegular r:id="rId6" w:fontKey="{E4FA07C9-2AA5-48F1-9022-B8F8E8FBA7A0}"/>
  </w:font>
  <w:font w:name="Cambria">
    <w:panose1 w:val="02040503050406030204"/>
    <w:charset w:val="00"/>
    <w:family w:val="roman"/>
    <w:pitch w:val="default"/>
    <w:sig w:usb0="E00002FF" w:usb1="400004FF" w:usb2="00000000" w:usb3="00000000" w:csb0="2000019F" w:csb1="00000000"/>
    <w:embedRegular r:id="rId7" w:fontKey="{C8333523-8D09-40F1-8432-7BC72DE06B38}"/>
  </w:font>
  <w:font w:name="楷体">
    <w:panose1 w:val="02010609060101010101"/>
    <w:charset w:val="86"/>
    <w:family w:val="modern"/>
    <w:pitch w:val="default"/>
    <w:sig w:usb0="800002BF" w:usb1="38CF7CFA" w:usb2="00000016" w:usb3="00000000" w:csb0="00040001" w:csb1="00000000"/>
    <w:embedRegular r:id="rId8" w:fontKey="{966704A5-F559-4E72-B7FC-99EF84541F09}"/>
  </w:font>
  <w:font w:name="MS Gothic">
    <w:panose1 w:val="020B0609070205080204"/>
    <w:charset w:val="80"/>
    <w:family w:val="modern"/>
    <w:pitch w:val="default"/>
    <w:sig w:usb0="E00002FF" w:usb1="6AC7FDFB" w:usb2="00000012" w:usb3="00000000" w:csb0="4002009F" w:csb1="DFD70000"/>
    <w:embedRegular r:id="rId9" w:fontKey="{769943C7-13F7-4FC1-9417-F2C21EEB4E61}"/>
  </w:font>
  <w:font w:name="仿宋_GB2312">
    <w:panose1 w:val="02010609030101010101"/>
    <w:charset w:val="86"/>
    <w:family w:val="modern"/>
    <w:pitch w:val="default"/>
    <w:sig w:usb0="00000000" w:usb1="00000000" w:usb2="00000000" w:usb3="00000000" w:csb0="00000000" w:csb1="00000000"/>
    <w:embedRegular r:id="rId10" w:fontKey="{CA9EC977-1DE0-49E4-8121-F8C2CC4EA566}"/>
  </w:font>
  <w:font w:name="DengXian-Regular">
    <w:altName w:val="宋体"/>
    <w:panose1 w:val="00000000000000000000"/>
    <w:charset w:val="86"/>
    <w:family w:val="auto"/>
    <w:pitch w:val="default"/>
    <w:sig w:usb0="00000000" w:usb1="00000000" w:usb2="00000010" w:usb3="00000000" w:csb0="00040000" w:csb1="00000000"/>
    <w:embedRegular r:id="rId11" w:fontKey="{23DD4C09-AEBC-4BC0-86B2-C7D597585D68}"/>
  </w:font>
  <w:font w:name="ArialUnicodeMS">
    <w:altName w:val="Malgun Gothic"/>
    <w:panose1 w:val="00000000000000000000"/>
    <w:charset w:val="81"/>
    <w:family w:val="auto"/>
    <w:pitch w:val="default"/>
    <w:sig w:usb0="00000000" w:usb1="00000000" w:usb2="00000010" w:usb3="00000000" w:csb0="00080000" w:csb1="00000000"/>
    <w:embedRegular r:id="rId12" w:fontKey="{338ED29C-644B-46F6-A14A-E96E1C21B82C}"/>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C76772D9-0CB2-4E1A-BF41-7F7C9F7081F6}"/>
  </w:font>
  <w:font w:name="楷体_GB2312">
    <w:panose1 w:val="02010609030101010101"/>
    <w:charset w:val="86"/>
    <w:family w:val="modern"/>
    <w:pitch w:val="default"/>
    <w:sig w:usb0="00000000" w:usb1="00000000" w:usb2="00000000" w:usb3="00000000" w:csb0="00000000" w:csb1="00000000"/>
    <w:embedRegular r:id="rId14" w:fontKey="{7948E065-6715-4B35-B13E-8FD8A4CEB4D4}"/>
  </w:font>
  <w:font w:name="DengXian-Bold">
    <w:altName w:val="宋体"/>
    <w:panose1 w:val="00000000000000000000"/>
    <w:charset w:val="86"/>
    <w:family w:val="auto"/>
    <w:pitch w:val="default"/>
    <w:sig w:usb0="00000000" w:usb1="00000000" w:usb2="00000010" w:usb3="00000000" w:csb0="00040000" w:csb1="00000000"/>
    <w:embedRegular r:id="rId15" w:fontKey="{41999444-7D24-4D22-B748-4A4A71AC2FB0}"/>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4073F84"/>
    <w:rsid w:val="0B60750A"/>
    <w:rsid w:val="10686488"/>
    <w:rsid w:val="10DF728A"/>
    <w:rsid w:val="1264200E"/>
    <w:rsid w:val="141C5B77"/>
    <w:rsid w:val="16A67771"/>
    <w:rsid w:val="18D8339D"/>
    <w:rsid w:val="1A21388F"/>
    <w:rsid w:val="1A570D2F"/>
    <w:rsid w:val="1AA23F92"/>
    <w:rsid w:val="28FB0B8D"/>
    <w:rsid w:val="2AF36DAA"/>
    <w:rsid w:val="2D2B7942"/>
    <w:rsid w:val="2D46481D"/>
    <w:rsid w:val="2E733B28"/>
    <w:rsid w:val="2E78083F"/>
    <w:rsid w:val="31852B5A"/>
    <w:rsid w:val="32D01238"/>
    <w:rsid w:val="3CC52890"/>
    <w:rsid w:val="3DFC59A8"/>
    <w:rsid w:val="3ECF245E"/>
    <w:rsid w:val="3FB96314"/>
    <w:rsid w:val="53A44FAF"/>
    <w:rsid w:val="594329EC"/>
    <w:rsid w:val="5BEE1540"/>
    <w:rsid w:val="5CA62001"/>
    <w:rsid w:val="5DE61A5D"/>
    <w:rsid w:val="5F5D3909"/>
    <w:rsid w:val="63C04243"/>
    <w:rsid w:val="645C4DD7"/>
    <w:rsid w:val="649C01C7"/>
    <w:rsid w:val="66BC594B"/>
    <w:rsid w:val="699A3F60"/>
    <w:rsid w:val="72902E62"/>
    <w:rsid w:val="73C61104"/>
    <w:rsid w:val="776452EA"/>
    <w:rsid w:val="797B6C29"/>
    <w:rsid w:val="7A6E5E9B"/>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character" w:customStyle="1" w:styleId="33">
    <w:name w:val="font01"/>
    <w:basedOn w:val="1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130"/>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101"/>
    <customShpInfo spid="_x0000_s1102"/>
    <customShpInfo spid="_x0000_s1100"/>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163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adizuo</cp:lastModifiedBy>
  <cp:lastPrinted>2019-08-02T01:01:00Z</cp:lastPrinted>
  <dcterms:modified xsi:type="dcterms:W3CDTF">2022-03-12T01:19:59Z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DD5869CAA2304641B21244549EBEF12C</vt:lpwstr>
  </property>
</Properties>
</file>