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bookmarkStart w:id="0" w:name="_GoBack"/>
      <w:bookmarkEnd w:id="0"/>
      <w:r>
        <w:pict>
          <v:shape id="文本框 10" o:spid="_x0000_s1033" o:spt="202" type="#_x0000_t202" style="position:absolute;left:0pt;margin-left:106.25pt;margin-top:693.55pt;height:79.95pt;width:404.15pt;z-index:25166438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val="en-US" w:eastAsia="zh-CN"/>
                    </w:rPr>
                    <w:t>九</w:t>
                  </w:r>
                  <w:r>
                    <w:rPr>
                      <w:rFonts w:hint="eastAsia" w:ascii="楷体_GB2312" w:hAnsi="楷体_GB2312" w:eastAsia="楷体_GB2312" w:cs="楷体_GB2312"/>
                      <w:color w:val="000000"/>
                      <w:kern w:val="0"/>
                      <w:sz w:val="44"/>
                      <w:szCs w:val="44"/>
                    </w:rPr>
                    <w:t>月</w:t>
                  </w:r>
                </w:p>
              </w:txbxContent>
            </v:textbox>
          </v:shape>
        </w:pict>
      </w:r>
      <w:r>
        <w:pict>
          <v:shape id="椭圆 8" o:spid="_x0000_s1034" o:spt="3" type="#_x0000_t3" style="position:absolute;left:0pt;margin-left:53.5pt;margin-top:232.45pt;height:121.95pt;width:121.95pt;z-index:251661312;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35" o:spt="1" style="position:absolute;left:0pt;margin-left:33.6pt;margin-top:256.75pt;height:69.6pt;width:160.65pt;z-index:251666432;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36" o:spt="3" type="#_x0000_t3" style="position:absolute;left:0pt;margin-left:62.2pt;margin-top:242.75pt;height:103.45pt;width:103.45pt;z-index:251665408;v-text-anchor:middle;mso-width-relative:page;mso-height-relative:page;" fillcolor="#1F2959" filled="t" stroked="f" coordsize="21600,21600">
            <v:path/>
            <v:fill on="t" focussize="0,0"/>
            <v:stroke on="f" weight="1pt" joinstyle="miter"/>
            <v:imagedata o:title=""/>
            <o:lock v:ext="edit"/>
            <v:textbox>
              <w:txbxContent>
                <w:p/>
              </w:txbxContent>
            </v:textbox>
          </v:shape>
        </w:pict>
      </w:r>
      <w:r>
        <w:pict>
          <v:group id="_x0000_s1037" o:spid="_x0000_s1037" o:spt="203" style="position:absolute;left:0pt;margin-left:1.25pt;margin-top:821.7pt;height:21.45pt;width:595.25pt;z-index:251662336;mso-width-relative:page;mso-height-relative:page;" coordorigin="1483,16692" coordsize="11905,429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group id="_x0000_s1040" o:spid="_x0000_s1040" o:spt="203" style="position:absolute;left:0pt;margin-left:-2.5pt;margin-top:-3.35pt;height:69.6pt;width:600.25pt;z-index:-251657216;mso-width-relative:page;mso-height-relative:page;" coordorigin="13622,-66719" coordsize="12005,1392046">
            <o:lock v:ext="edit"/>
            <v:rect id="矩形 5" o:spid="_x0000_s1041" o:spt="1" style="position:absolute;left:13622;top:283;height:6170;width:12005;v-text-anchor:middle;" fillcolor="#FDBC11" filled="t" stroked="f" coordsize="21600,21600">
              <v:path/>
              <v:fill on="t" focussize="0,0"/>
              <v:stroke on="f" weight="1pt"/>
              <v:imagedata o:title=""/>
              <o:lock v:ext="edit"/>
            </v:rect>
            <v:shape id="_x0000_s1042" o:spid="_x0000_s1042"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43" o:spt="1" style="position:absolute;left:0pt;margin-left:184.75pt;margin-top:286.6pt;height:31.25pt;width:339.65pt;mso-wrap-style:none;z-index:251663360;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default" w:ascii="楷体_GB2312" w:hAnsi="楷体_GB2312" w:eastAsia="楷体_GB2312" w:cs="楷体_GB2312"/>
          <w:color w:val="000000"/>
          <w:kern w:val="0"/>
          <w:sz w:val="44"/>
          <w:szCs w:val="44"/>
          <w:highlight w:val="none"/>
          <w:lang w:val="en-US" w:eastAsia="zh-CN"/>
        </w:rPr>
      </w:pPr>
      <w:r>
        <w:rPr>
          <w:rFonts w:hint="eastAsia" w:ascii="楷体_GB2312" w:hAnsi="楷体_GB2312" w:eastAsia="楷体_GB2312" w:cs="楷体_GB2312"/>
          <w:color w:val="000000"/>
          <w:kern w:val="0"/>
          <w:sz w:val="44"/>
          <w:szCs w:val="44"/>
          <w:highlight w:val="none"/>
          <w:lang w:val="en-US" w:eastAsia="zh-CN"/>
        </w:rPr>
        <w:t>保定市满城区审计局</w:t>
      </w:r>
    </w:p>
    <w:p>
      <w:pPr>
        <w:rPr>
          <w:rFonts w:ascii="黑体" w:hAnsi="Times New Roman" w:eastAsia="黑体"/>
          <w:sz w:val="48"/>
          <w:szCs w:val="48"/>
        </w:rPr>
      </w:pPr>
      <w:r>
        <w:rPr>
          <w:rFonts w:ascii="黑体" w:hAnsi="Times New Roman" w:eastAsia="黑体"/>
          <w:sz w:val="48"/>
          <w:szCs w:val="48"/>
        </w:rPr>
        <w:br w:type="page"/>
      </w: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eastAsia="黑体"/>
          <w:sz w:val="32"/>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line="580" w:lineRule="exact"/>
        <w:ind w:firstLine="640" w:firstLineChars="200"/>
        <w:rPr>
          <w:rFonts w:eastAsia="黑体"/>
          <w:sz w:val="32"/>
          <w:szCs w:val="32"/>
        </w:rPr>
      </w:pPr>
    </w:p>
    <w:p>
      <w:r>
        <w:pict>
          <v:shape id="_x0000_s1053" o:spid="_x0000_s1053" o:spt="202" type="#_x0000_t202" style="position:absolute;left:0pt;margin-left:-85.7pt;margin-top:80.7pt;height:263.1pt;width:613.65pt;z-index:251667456;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numPr>
          <w:ilvl w:val="0"/>
          <w:numId w:val="1"/>
        </w:numPr>
        <w:spacing w:before="0" w:after="0" w:line="580" w:lineRule="exact"/>
        <w:ind w:firstLine="640" w:firstLineChars="200"/>
        <w:jc w:val="left"/>
        <w:rPr>
          <w:rFonts w:hint="eastAsia" w:ascii="黑体" w:eastAsia="黑体" w:cs="黑体"/>
          <w:b w:val="0"/>
          <w:bCs w:val="0"/>
          <w:kern w:val="0"/>
          <w:sz w:val="32"/>
          <w:szCs w:val="32"/>
        </w:rPr>
      </w:pPr>
      <w:r>
        <w:rPr>
          <w:rFonts w:hint="eastAsia" w:ascii="黑体" w:eastAsia="黑体" w:cs="黑体"/>
          <w:b w:val="0"/>
          <w:bCs w:val="0"/>
          <w:kern w:val="0"/>
          <w:sz w:val="32"/>
          <w:szCs w:val="32"/>
        </w:rPr>
        <w:t>部门职责</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保定市满城区审计局是政府的组成部门，其主要职责是：</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1、编制保定市满城区审计工作计划，确定年度工作重点。</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2、向区政府报告和向区政府有关部门通报审计情况，提出制定和完善有关政策法规、工作措施的建议。</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3、根据《中华人民共和国审计法》和《中华人民共和国审计法实施条例》规定，直接进行下列审计：</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（1）区本级财政预算执行情况和其他财政收支。</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（2）区直各部门、事业单位及下属单位的财务收支。</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（3）乡（镇）人民政府财政决算。</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（4）区政府各部门和乡（镇）人民政府预算外财政收支。</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（5）区属地方金融机构的资产、负债和损益情况；上级审计机关安排授权的国有金融机构、非银行金融机构资产、负债和损益情况。</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（6）区政府管理的和受区政府委托由社会团体管理的社会保障基金、环境保护资金、社会捐赠基金及其他有关基金、资金的财务收支。</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（7）审计署授权的国际组织和外国政府援助、贷款项目的财务收支。</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（8）区属境外企业、合资合作企业的资产、负债和损益状况。</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（9）区国有企业、国有控股企业的资产、负责和损益状况。</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（10）国家投资建设项目的预算或概算执行情况和决算。</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（11）其他法律法规规定的审计事项。</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4、向区政府提交区本级预算执行情况的审计结果报告；受区政府委托向区人大常委会提出预算执行情况和其他财政收支审计工作报告。</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 xml:space="preserve"> 5、组织实施对贯彻执行国家财经方针政策和宏观调控措施情况的行业审计、专项审计和审计调查；组织、实施对区级以下党政领导干部和国有企业及国有控股企业领导人员进行任期经济责任审计。</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6、组织实施对内部审计的指导与监督；组织审计专业培训；监督社会审计组织的审计业务质量。</w:t>
      </w:r>
    </w:p>
    <w:p>
      <w:pPr>
        <w:spacing w:line="580" w:lineRule="exact"/>
        <w:ind w:firstLine="640" w:firstLineChars="200"/>
        <w:rPr>
          <w:rFonts w:hint="default"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rPr>
        <w:t>7、承办区政府和市审计局交办的其他事项。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保定市满城区审计局</w:t>
            </w:r>
          </w:p>
        </w:tc>
        <w:tc>
          <w:tcPr>
            <w:tcW w:w="2445" w:type="dxa"/>
          </w:tcPr>
          <w:p>
            <w:pPr>
              <w:spacing w:line="560" w:lineRule="exact"/>
              <w:jc w:val="center"/>
              <w:rPr>
                <w:rFonts w:ascii="仿宋_GB2312" w:hAnsi="Calibri" w:eastAsia="仿宋_GB2312" w:cs="ArialUnicodeMS"/>
                <w:kern w:val="0"/>
                <w:sz w:val="28"/>
                <w:szCs w:val="28"/>
                <w:highlight w:val="none"/>
              </w:rPr>
            </w:pPr>
            <w:r>
              <w:rPr>
                <w:rFonts w:hint="eastAsia" w:ascii="仿宋_GB2312" w:hAnsi="Calibri" w:eastAsia="仿宋_GB2312" w:cs="ArialUnicodeMS"/>
                <w:kern w:val="0"/>
                <w:sz w:val="28"/>
                <w:szCs w:val="28"/>
                <w:highlight w:val="none"/>
              </w:rPr>
              <w:t>行政单位</w:t>
            </w:r>
          </w:p>
        </w:tc>
        <w:tc>
          <w:tcPr>
            <w:tcW w:w="2665" w:type="dxa"/>
          </w:tcPr>
          <w:p>
            <w:pPr>
              <w:spacing w:line="560" w:lineRule="exact"/>
              <w:jc w:val="center"/>
              <w:rPr>
                <w:rFonts w:ascii="仿宋_GB2312" w:hAnsi="Calibri" w:eastAsia="仿宋_GB2312" w:cs="ArialUnicodeMS"/>
                <w:kern w:val="0"/>
                <w:sz w:val="28"/>
                <w:szCs w:val="28"/>
                <w:highlight w:val="none"/>
              </w:rPr>
            </w:pPr>
            <w:r>
              <w:rPr>
                <w:rFonts w:hint="eastAsia" w:ascii="仿宋_GB2312" w:hAnsi="Calibri" w:eastAsia="仿宋_GB2312" w:cs="ArialUnicodeMS"/>
                <w:kern w:val="0"/>
                <w:sz w:val="28"/>
                <w:szCs w:val="28"/>
                <w:highlight w:val="none"/>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5" w:type="first"/>
          <w:footerReference r:id="rId7" w:type="first"/>
          <w:headerReference r:id="rId4" w:type="default"/>
          <w:footerReference r:id="rId6"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7155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w:t>
      </w:r>
      <w:r>
        <w:rPr>
          <w:rFonts w:hint="eastAsia" w:ascii="仿宋_GB2312" w:hAnsi="Times New Roman" w:eastAsia="仿宋_GB2312" w:cs="DengXian-Regular"/>
          <w:sz w:val="32"/>
          <w:szCs w:val="32"/>
          <w:lang w:val="en-US" w:eastAsia="zh-CN"/>
        </w:rPr>
        <w:t>453.50</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年度决算相比，收入增加</w:t>
      </w:r>
      <w:r>
        <w:rPr>
          <w:rFonts w:hint="eastAsia" w:ascii="仿宋_GB2312" w:hAnsi="Times New Roman" w:eastAsia="仿宋_GB2312" w:cs="DengXian-Regular"/>
          <w:sz w:val="32"/>
          <w:szCs w:val="32"/>
          <w:lang w:val="en-US" w:eastAsia="zh-CN"/>
        </w:rPr>
        <w:t>64.14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14.14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本年度审计项目资金，审计经费增加</w:t>
      </w:r>
      <w:r>
        <w:rPr>
          <w:rFonts w:hint="eastAsia" w:ascii="仿宋_GB2312" w:hAnsi="Times New Roman" w:eastAsia="仿宋_GB2312" w:cs="DengXian-Regular"/>
          <w:sz w:val="32"/>
          <w:szCs w:val="32"/>
        </w:rPr>
        <w:t>。支出总计</w:t>
      </w:r>
      <w:r>
        <w:rPr>
          <w:rFonts w:hint="eastAsia" w:ascii="仿宋_GB2312" w:hAnsi="Times New Roman" w:eastAsia="仿宋_GB2312" w:cs="DengXian-Regular"/>
          <w:sz w:val="32"/>
          <w:szCs w:val="32"/>
          <w:lang w:val="en-US" w:eastAsia="zh-CN"/>
        </w:rPr>
        <w:t>453.50</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年度决算相比，支出增加</w:t>
      </w:r>
      <w:r>
        <w:rPr>
          <w:rFonts w:hint="eastAsia" w:ascii="仿宋_GB2312" w:hAnsi="Times New Roman" w:eastAsia="仿宋_GB2312" w:cs="DengXian-Regular"/>
          <w:sz w:val="32"/>
          <w:szCs w:val="32"/>
          <w:lang w:val="en-US" w:eastAsia="zh-CN"/>
        </w:rPr>
        <w:t>64.14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14.14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本年度审计项目资金，审计经费增加。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hint="eastAsia" w:ascii="仿宋_GB2312" w:hAnsi="Times New Roman" w:eastAsia="仿宋_GB2312" w:cs="DengXian-Regular"/>
          <w:sz w:val="32"/>
          <w:szCs w:val="32"/>
          <w:lang w:val="en-US" w:eastAsia="zh-CN"/>
        </w:rPr>
        <w:t>453.50</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453.50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pict>
          <v:group id="_x0000_s1063" o:spid="_x0000_s1063" o:spt="203" style="position:absolute;left:0pt;margin-left:71.65pt;margin-top:19.55pt;height:217.5pt;width:308.75pt;z-index:251669504;mso-width-relative:page;mso-height-relative:page;" coordorigin="6817,180284" coordsize="5156,3464203">
            <o:lock v:ext="edit"/>
            <v:shape id="图片 1" o:spid="_x0000_s1064" o:spt="75" type="#_x0000_t75" style="position:absolute;left:6817;top:180284;height:2988;width:5156;" filled="f" o:preferrelative="t" stroked="f" coordsize="21600,21600">
              <v:path/>
              <v:fill on="f" focussize="0,0"/>
              <v:stroke on="f" joinstyle="miter"/>
              <v:imagedata r:id="rId11" cropleft="2131f" croptop="1490f" cropright="1218f" cropbottom="5217f" o:title=""/>
              <o:lock v:ext="edit" aspectratio="t"/>
            </v:shape>
            <v:shape id="文本框 32" o:spid="_x0000_s1065" o:spt="202" type="#_x0000_t202" style="position:absolute;left:7580;top:183134;height:615;width:3630;"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v:textbox>
            </v:shape>
          </v:group>
        </w:pict>
      </w:r>
      <w:r>
        <w:rPr>
          <w:rFonts w:hint="eastAsia" w:ascii="仿宋_GB2312" w:hAnsi="Times New Roman" w:eastAsia="仿宋_GB2312" w:cs="DengXian-Regular"/>
          <w:sz w:val="32"/>
          <w:szCs w:val="32"/>
          <w:lang w:eastAsia="zh-CN"/>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hint="eastAsia" w:ascii="仿宋_GB2312" w:hAnsi="Times New Roman" w:eastAsia="仿宋_GB2312" w:cs="DengXian-Regular"/>
          <w:sz w:val="32"/>
          <w:szCs w:val="32"/>
          <w:lang w:val="en-US" w:eastAsia="zh-CN"/>
        </w:rPr>
        <w:t>453.50</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453.50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；经营支出0万元，占0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420" w:firstLineChars="200"/>
        <w:rPr>
          <w:rFonts w:ascii="黑体" w:hAnsi="Calibri" w:eastAsia="黑体"/>
          <w:b/>
          <w:bCs/>
          <w:sz w:val="32"/>
          <w:szCs w:val="32"/>
        </w:rPr>
      </w:pPr>
      <w:r>
        <w:pict>
          <v:group id="_x0000_s1066" o:spid="_x0000_s1066" o:spt="203" style="position:absolute;left:0pt;margin-left:58.35pt;margin-top:-21.2pt;height:192.85pt;width:287.95pt;z-index:-251648000;mso-width-relative:page;mso-height-relative:page;" coordorigin="7032,190738" coordsize="4600,3345203">
            <o:lock v:ext="edit"/>
            <v:shape id="图片 3" o:spid="_x0000_s1067" o:spt="75" type="#_x0000_t75" style="position:absolute;left:7032;top:190738;height:2665;width:4600;" filled="f" o:preferrelative="t" stroked="f" coordsize="21600,21600">
              <v:path/>
              <v:fill on="f" focussize="0,0"/>
              <v:stroke on="f" joinstyle="miter"/>
              <v:imagedata r:id="rId11" cropleft="2131f" croptop="1490f" cropright="1218f" cropbottom="5217f" o:title=""/>
              <o:lock v:ext="edit" aspectratio="t"/>
            </v:shape>
            <v:shape id="_x0000_s1068" o:spid="_x0000_s1068" o:spt="202" type="#_x0000_t202" style="position:absolute;left:7289;top:193423;height:660;width:4169;"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w:t>
      </w:r>
      <w:r>
        <w:rPr>
          <w:rFonts w:hint="eastAsia" w:ascii="仿宋_GB2312" w:hAnsi="Times New Roman" w:eastAsia="仿宋_GB2312" w:cs="DengXian-Regular"/>
          <w:sz w:val="32"/>
          <w:szCs w:val="32"/>
          <w:lang w:val="en-US" w:eastAsia="zh-CN"/>
        </w:rPr>
        <w:t>453.50</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w:t>
      </w:r>
      <w:r>
        <w:rPr>
          <w:rFonts w:hint="eastAsia" w:ascii="仿宋_GB2312" w:hAnsi="Times New Roman" w:eastAsia="仿宋_GB2312" w:cs="DengXian-Regular"/>
          <w:sz w:val="32"/>
          <w:szCs w:val="32"/>
          <w:lang w:val="en-US" w:eastAsia="zh-CN"/>
        </w:rPr>
        <w:t>64.14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14.14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日常经费</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453.50</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64.14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14.14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日常经费</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w:t>
      </w:r>
      <w:r>
        <w:rPr>
          <w:rFonts w:hint="eastAsia" w:ascii="仿宋_GB2312" w:hAnsi="Times New Roman" w:eastAsia="仿宋_GB2312" w:cs="DengXian-Regular"/>
          <w:sz w:val="32"/>
          <w:szCs w:val="32"/>
          <w:lang w:val="en-US" w:eastAsia="zh-CN"/>
        </w:rPr>
        <w:t>453.50</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102.75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12.49</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审计项目增多，经费增加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453.50</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102.75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12.49</w:t>
      </w:r>
      <w:r>
        <w:rPr>
          <w:rFonts w:hint="eastAsia" w:ascii="仿宋_GB2312" w:hAnsi="Times New Roman" w:eastAsia="仿宋_GB2312" w:cs="DengXian-Regular"/>
          <w:sz w:val="32"/>
          <w:szCs w:val="32"/>
        </w:rPr>
        <w:t>万元，决算数大于预算数主要原因是主要是</w:t>
      </w:r>
      <w:r>
        <w:rPr>
          <w:rFonts w:hint="eastAsia" w:ascii="仿宋_GB2312" w:hAnsi="Times New Roman" w:eastAsia="仿宋_GB2312" w:cs="DengXian-Regular"/>
          <w:sz w:val="32"/>
          <w:szCs w:val="32"/>
          <w:lang w:val="en-US" w:eastAsia="zh-CN"/>
        </w:rPr>
        <w:t>审计项目增多，经费增加</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hint="eastAsia" w:ascii="仿宋_GB2312" w:hAnsi="Times New Roman" w:eastAsia="仿宋_GB2312" w:cs="DengXian-Regular"/>
          <w:sz w:val="32"/>
          <w:szCs w:val="32"/>
          <w:lang w:val="en-US" w:eastAsia="zh-CN"/>
        </w:rPr>
        <w:t>453.50</w:t>
      </w:r>
      <w:r>
        <w:rPr>
          <w:rFonts w:hint="eastAsia" w:ascii="仿宋_GB2312" w:hAnsi="Times New Roman" w:eastAsia="仿宋_GB2312" w:cs="DengXian-Regular"/>
          <w:sz w:val="32"/>
          <w:szCs w:val="32"/>
        </w:rPr>
        <w:t>万元，主要用于以下</w:t>
      </w:r>
      <w:r>
        <w:rPr>
          <w:rFonts w:hint="eastAsia" w:ascii="仿宋_GB2312" w:hAnsi="Times New Roman" w:eastAsia="仿宋_GB2312" w:cs="DengXian-Regular"/>
          <w:sz w:val="32"/>
          <w:szCs w:val="32"/>
          <w:highlight w:val="none"/>
        </w:rPr>
        <w:t>方面：</w:t>
      </w: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378.05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83.36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48.57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10.71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卫生健康支出18.98万元，占4.19%；</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13.89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3.06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pict>
          <v:group id="_x0000_s1069" o:spid="_x0000_s1069" o:spt="203" style="position:absolute;left:0pt;margin-left:77.25pt;margin-top:16.6pt;height:173.95pt;width:281.6pt;z-index:-251645952;mso-width-relative:page;mso-height-relative:page;" coordorigin="6921,180284" coordsize="5065,3465203">
            <o:lock v:ext="edit"/>
            <v:shape id="图片 1" o:spid="_x0000_s1070" o:spt="75" type="#_x0000_t75" style="position:absolute;left:7157;top:180284;height:2988;width:4586;" filled="f" o:preferrelative="t" stroked="f" coordsize="21600,21600">
              <v:path/>
              <v:fill on="f" focussize="0,0"/>
              <v:stroke on="f" joinstyle="miter"/>
              <v:imagedata r:id="rId11" cropleft="2131f" croptop="1490f" cropright="1218f" cropbottom="5217f" o:title=""/>
              <o:lock v:ext="edit" aspectratio="t"/>
            </v:shape>
            <v:shape id="文本框 32" o:spid="_x0000_s1071" o:spt="202" type="#_x0000_t202" style="position:absolute;left:6921;top:183134;height:615;width:5065;"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hint="eastAsia" w:ascii="仿宋_GB2312" w:hAnsi="Times New Roman" w:eastAsia="仿宋_GB2312" w:cs="DengXian-Regular"/>
          <w:sz w:val="32"/>
          <w:szCs w:val="32"/>
          <w:lang w:val="en-US" w:eastAsia="zh-CN"/>
        </w:rPr>
        <w:t>453.50</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272.92</w:t>
      </w:r>
      <w:r>
        <w:rPr>
          <w:rFonts w:hint="eastAsia" w:ascii="仿宋_GB2312" w:hAnsi="Times New Roman" w:eastAsia="仿宋_GB2312" w:cs="DengXian-Regular"/>
          <w:sz w:val="32"/>
          <w:szCs w:val="32"/>
        </w:rPr>
        <w:t>万元，主要包括基本工资、津贴补贴、奖金、绩效工资、机关事业单位基本养老保险缴费、职业年金缴费、职工基本医疗保险缴费、住房公积金、医疗费、其他工资福利支出、退休费、；公用经费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157.18</w:t>
      </w:r>
      <w:r>
        <w:rPr>
          <w:rFonts w:hint="eastAsia" w:ascii="仿宋_GB2312" w:hAnsi="Times New Roman" w:eastAsia="仿宋_GB2312" w:cs="DengXian-Regular"/>
          <w:sz w:val="32"/>
          <w:szCs w:val="32"/>
        </w:rPr>
        <w:t>万元，主要包括办公费、印刷费、水费、电费、邮电费、委托业务费、公务用车运行维护费。</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hint="eastAsia" w:ascii="仿宋_GB2312" w:hAnsi="Times New Roman" w:eastAsia="仿宋_GB2312" w:cs="DengXian-Regular"/>
          <w:sz w:val="32"/>
          <w:szCs w:val="32"/>
          <w:lang w:val="en-US" w:eastAsia="zh-CN"/>
        </w:rPr>
        <w:t>1.48</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59.20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较预算增加减少</w:t>
      </w:r>
      <w:r>
        <w:rPr>
          <w:rFonts w:hint="eastAsia" w:ascii="仿宋_GB2312" w:hAnsi="Times New Roman" w:eastAsia="仿宋_GB2312" w:cs="DengXian-Regular"/>
          <w:sz w:val="32"/>
          <w:szCs w:val="32"/>
          <w:lang w:val="en-US" w:eastAsia="zh-CN"/>
        </w:rPr>
        <w:t>1.02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40.80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厉行节约，严控三公经费支出</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0.48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24.49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公务用车运行维护费</w:t>
      </w:r>
      <w:r>
        <w:rPr>
          <w:rFonts w:hint="eastAsia" w:ascii="仿宋_GB2312" w:hAnsi="Times New Roman" w:eastAsia="仿宋_GB2312" w:cs="DengXian-Regular"/>
          <w:sz w:val="32"/>
          <w:szCs w:val="32"/>
        </w:rPr>
        <w:t>。</w:t>
      </w:r>
    </w:p>
    <w:p>
      <w:pPr>
        <w:numPr>
          <w:ilvl w:val="0"/>
          <w:numId w:val="3"/>
        </w:numPr>
        <w:adjustRightInd w:val="0"/>
        <w:snapToGrid w:val="0"/>
        <w:spacing w:line="580" w:lineRule="exact"/>
        <w:ind w:firstLine="643" w:firstLineChars="200"/>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为0。</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p>
    <w:p>
      <w:pPr>
        <w:numPr>
          <w:ilvl w:val="0"/>
          <w:numId w:val="0"/>
        </w:num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1.48</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w:t>
      </w:r>
      <w:r>
        <w:rPr>
          <w:rFonts w:hint="eastAsia" w:ascii="仿宋_GB2312" w:hAnsi="Times New Roman" w:eastAsia="仿宋_GB2312" w:cs="DengXian-Regular"/>
          <w:sz w:val="32"/>
          <w:szCs w:val="32"/>
          <w:lang w:val="en-US" w:eastAsia="zh-CN"/>
        </w:rPr>
        <w:t>1.02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40.80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厉行节约，严控三公经费支出</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0.48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24.49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公务用车运行维护费</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年度公务用车购置量0辆，发生“公务用车购置”经费支出0万元。公务用车购置费支出较预算增加0万元，增长0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1.02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40.80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厉行节约，严控三公经费支出</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0.48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24.49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厉行节约，严控三公经费支出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年度公务接待共0批次、0人次。公务接待费支出较预算减少0万元，降低0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；较上年度减少0万元，降低0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我单位本年度没有项目支出，不需进行项目绩效评价。</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hint="eastAsia" w:ascii="仿宋_GB2312" w:eastAsia="仿宋_GB2312" w:cs="DengXian-Regular"/>
          <w:sz w:val="32"/>
          <w:szCs w:val="32"/>
          <w:highlight w:val="none"/>
        </w:rPr>
      </w:pPr>
      <w:r>
        <w:rPr>
          <w:rFonts w:hint="eastAsia" w:ascii="仿宋_GB2312" w:hAnsi="Times New Roman" w:eastAsia="仿宋_GB2312" w:cs="DengXian-Regular"/>
          <w:sz w:val="32"/>
          <w:szCs w:val="32"/>
          <w:highlight w:val="none"/>
        </w:rPr>
        <w:t>本部门</w:t>
      </w:r>
      <w:r>
        <w:rPr>
          <w:rFonts w:ascii="仿宋_GB2312" w:hAnsi="Times New Roman" w:eastAsia="仿宋_GB2312" w:cs="DengXian-Regular"/>
          <w:sz w:val="32"/>
          <w:szCs w:val="32"/>
          <w:highlight w:val="none"/>
        </w:rPr>
        <w:t>2019</w:t>
      </w:r>
      <w:r>
        <w:rPr>
          <w:rFonts w:hint="eastAsia" w:ascii="仿宋_GB2312" w:hAnsi="Times New Roman" w:eastAsia="仿宋_GB2312" w:cs="DengXian-Regular"/>
          <w:sz w:val="32"/>
          <w:szCs w:val="32"/>
          <w:highlight w:val="none"/>
        </w:rPr>
        <w:t>年度机关运行经费支出</w:t>
      </w:r>
      <w:r>
        <w:rPr>
          <w:rFonts w:hint="eastAsia" w:ascii="仿宋_GB2312" w:hAnsi="Times New Roman" w:eastAsia="仿宋_GB2312" w:cs="DengXian-Regular"/>
          <w:sz w:val="32"/>
          <w:szCs w:val="32"/>
          <w:highlight w:val="none"/>
          <w:lang w:val="en-US" w:eastAsia="zh-CN"/>
        </w:rPr>
        <w:t>157.18</w:t>
      </w:r>
      <w:r>
        <w:rPr>
          <w:rFonts w:hint="eastAsia" w:ascii="仿宋_GB2312" w:hAnsi="Times New Roman" w:eastAsia="仿宋_GB2312" w:cs="DengXian-Regular"/>
          <w:sz w:val="32"/>
          <w:szCs w:val="32"/>
          <w:highlight w:val="none"/>
        </w:rPr>
        <w:t>万元，比</w:t>
      </w:r>
      <w:r>
        <w:rPr>
          <w:rFonts w:ascii="仿宋_GB2312" w:hAnsi="Times New Roman" w:eastAsia="仿宋_GB2312" w:cs="DengXian-Regular"/>
          <w:sz w:val="32"/>
          <w:szCs w:val="32"/>
          <w:highlight w:val="none"/>
        </w:rPr>
        <w:t>2018</w:t>
      </w:r>
      <w:r>
        <w:rPr>
          <w:rFonts w:hint="eastAsia" w:ascii="仿宋_GB2312" w:hAnsi="Times New Roman" w:eastAsia="仿宋_GB2312" w:cs="DengXian-Regular"/>
          <w:sz w:val="32"/>
          <w:szCs w:val="32"/>
          <w:highlight w:val="none"/>
        </w:rPr>
        <w:t>年度增加</w:t>
      </w:r>
      <w:r>
        <w:rPr>
          <w:rFonts w:hint="eastAsia" w:ascii="仿宋_GB2312" w:hAnsi="Times New Roman" w:eastAsia="仿宋_GB2312" w:cs="DengXian-Regular"/>
          <w:sz w:val="32"/>
          <w:szCs w:val="32"/>
          <w:highlight w:val="none"/>
          <w:lang w:val="en-US" w:eastAsia="zh-CN"/>
        </w:rPr>
        <w:t>68.22</w:t>
      </w:r>
      <w:r>
        <w:rPr>
          <w:rFonts w:hint="eastAsia" w:ascii="仿宋_GB2312" w:hAnsi="Times New Roman" w:eastAsia="仿宋_GB2312" w:cs="DengXian-Regular"/>
          <w:sz w:val="32"/>
          <w:szCs w:val="32"/>
          <w:highlight w:val="none"/>
        </w:rPr>
        <w:t>万元，增长</w:t>
      </w:r>
      <w:r>
        <w:rPr>
          <w:rFonts w:hint="eastAsia" w:ascii="仿宋_GB2312" w:hAnsi="Times New Roman" w:eastAsia="仿宋_GB2312" w:cs="DengXian-Regular"/>
          <w:sz w:val="32"/>
          <w:szCs w:val="32"/>
          <w:highlight w:val="none"/>
          <w:lang w:val="en-US" w:eastAsia="zh-CN"/>
        </w:rPr>
        <w:t>76.69</w:t>
      </w:r>
      <w:r>
        <w:rPr>
          <w:rFonts w:ascii="仿宋_GB2312" w:hAnsi="Times New Roman" w:eastAsia="仿宋_GB2312" w:cs="DengXian-Regular"/>
          <w:sz w:val="32"/>
          <w:szCs w:val="32"/>
          <w:highlight w:val="none"/>
        </w:rPr>
        <w:t>%</w:t>
      </w:r>
      <w:r>
        <w:rPr>
          <w:rFonts w:hint="eastAsia" w:ascii="仿宋_GB2312" w:hAnsi="Times New Roman" w:eastAsia="仿宋_GB2312" w:cs="DengXian-Regular"/>
          <w:sz w:val="32"/>
          <w:szCs w:val="32"/>
          <w:highlight w:val="none"/>
        </w:rPr>
        <w:t>。主要原因是</w:t>
      </w:r>
      <w:r>
        <w:rPr>
          <w:rFonts w:hint="eastAsia" w:ascii="仿宋_GB2312" w:hAnsi="Times New Roman" w:eastAsia="仿宋_GB2312" w:cs="DengXian-Regular"/>
          <w:sz w:val="32"/>
          <w:szCs w:val="32"/>
          <w:highlight w:val="none"/>
          <w:lang w:val="en-US" w:eastAsia="zh-CN"/>
        </w:rPr>
        <w:t>审计协审费用增加</w:t>
      </w:r>
      <w:r>
        <w:rPr>
          <w:rFonts w:hint="eastAsia" w:ascii="仿宋_GB2312" w:hAnsi="Times New Roman" w:eastAsia="仿宋_GB2312" w:cs="DengXian-Regular"/>
          <w:sz w:val="32"/>
          <w:szCs w:val="32"/>
          <w:highlight w:val="none"/>
        </w:rPr>
        <w:t>。</w:t>
      </w:r>
      <w:r>
        <w:rPr>
          <w:rFonts w:hint="eastAsia" w:ascii="仿宋_GB2312" w:eastAsia="仿宋_GB2312" w:cs="DengXian-Regular"/>
          <w:sz w:val="32"/>
          <w:szCs w:val="32"/>
          <w:highlight w:val="none"/>
        </w:rPr>
        <w:t>本部门</w:t>
      </w:r>
      <w:r>
        <w:rPr>
          <w:rFonts w:ascii="仿宋_GB2312" w:eastAsia="仿宋_GB2312" w:cs="DengXian-Regular"/>
          <w:sz w:val="32"/>
          <w:szCs w:val="32"/>
          <w:highlight w:val="none"/>
        </w:rPr>
        <w:t>2019</w:t>
      </w:r>
      <w:r>
        <w:rPr>
          <w:rFonts w:hint="eastAsia" w:ascii="仿宋_GB2312" w:eastAsia="仿宋_GB2312" w:cs="DengXian-Regular"/>
          <w:sz w:val="32"/>
          <w:szCs w:val="32"/>
          <w:highlight w:val="none"/>
        </w:rPr>
        <w:t>年度机关运行经费支出</w:t>
      </w:r>
      <w:r>
        <w:rPr>
          <w:rFonts w:hint="eastAsia" w:ascii="仿宋_GB2312" w:eastAsia="仿宋_GB2312" w:cs="DengXian-Regular"/>
          <w:sz w:val="32"/>
          <w:szCs w:val="32"/>
          <w:highlight w:val="none"/>
          <w:lang w:val="en-US" w:eastAsia="zh-CN"/>
        </w:rPr>
        <w:t>157.18</w:t>
      </w:r>
      <w:r>
        <w:rPr>
          <w:rFonts w:hint="eastAsia" w:ascii="仿宋_GB2312" w:eastAsia="仿宋_GB2312" w:cs="DengXian-Regular"/>
          <w:sz w:val="32"/>
          <w:szCs w:val="32"/>
          <w:highlight w:val="none"/>
        </w:rPr>
        <w:t>万元，比年初预算数增加</w:t>
      </w:r>
      <w:r>
        <w:rPr>
          <w:rFonts w:hint="eastAsia" w:ascii="仿宋_GB2312" w:eastAsia="仿宋_GB2312" w:cs="DengXian-Regular"/>
          <w:sz w:val="32"/>
          <w:szCs w:val="32"/>
          <w:highlight w:val="none"/>
          <w:lang w:val="en-US" w:eastAsia="zh-CN"/>
        </w:rPr>
        <w:t>33.42</w:t>
      </w:r>
      <w:r>
        <w:rPr>
          <w:rFonts w:hint="eastAsia" w:ascii="仿宋_GB2312" w:eastAsia="仿宋_GB2312" w:cs="DengXian-Regular"/>
          <w:sz w:val="32"/>
          <w:szCs w:val="32"/>
          <w:highlight w:val="none"/>
        </w:rPr>
        <w:t>万元，增长</w:t>
      </w:r>
      <w:r>
        <w:rPr>
          <w:rFonts w:hint="eastAsia" w:ascii="仿宋_GB2312" w:eastAsia="仿宋_GB2312" w:cs="DengXian-Regular"/>
          <w:sz w:val="32"/>
          <w:szCs w:val="32"/>
          <w:highlight w:val="none"/>
          <w:lang w:val="en-US" w:eastAsia="zh-CN"/>
        </w:rPr>
        <w:t>27</w:t>
      </w:r>
      <w:r>
        <w:rPr>
          <w:rFonts w:ascii="仿宋_GB2312" w:eastAsia="仿宋_GB2312" w:cs="DengXian-Regular"/>
          <w:sz w:val="32"/>
          <w:szCs w:val="32"/>
          <w:highlight w:val="none"/>
        </w:rPr>
        <w:t>%</w:t>
      </w:r>
      <w:r>
        <w:rPr>
          <w:rFonts w:hint="eastAsia" w:ascii="仿宋_GB2312" w:eastAsia="仿宋_GB2312" w:cs="DengXian-Regular"/>
          <w:sz w:val="32"/>
          <w:szCs w:val="32"/>
          <w:highlight w:val="none"/>
        </w:rPr>
        <w:t>。主要原因是</w:t>
      </w:r>
      <w:r>
        <w:rPr>
          <w:rFonts w:hint="eastAsia" w:ascii="仿宋_GB2312" w:eastAsia="仿宋_GB2312" w:cs="DengXian-Regular"/>
          <w:sz w:val="32"/>
          <w:szCs w:val="32"/>
          <w:highlight w:val="none"/>
          <w:lang w:val="en-US" w:eastAsia="zh-CN"/>
        </w:rPr>
        <w:t>审计项目增多，协审费用增加</w:t>
      </w:r>
      <w:r>
        <w:rPr>
          <w:rFonts w:hint="eastAsia" w:ascii="仿宋_GB2312" w:eastAsia="仿宋_GB2312" w:cs="DengXian-Regular"/>
          <w:sz w:val="32"/>
          <w:szCs w:val="32"/>
          <w:highlight w:val="none"/>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0万元。授予中小企业合同金0万元，占政府采购支出总额的0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val="en-US" w:eastAsia="zh-CN"/>
        </w:rPr>
        <w:t>与上年持平</w:t>
      </w:r>
      <w:r>
        <w:rPr>
          <w:rFonts w:hint="eastAsia" w:ascii="仿宋_GB2312" w:hAnsi="Times New Roman" w:eastAsia="仿宋_GB2312" w:cs="DengXian-Regular"/>
          <w:sz w:val="32"/>
          <w:szCs w:val="32"/>
        </w:rPr>
        <w:t>。其中，应急保障用车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hint="eastAsia" w:ascii="楷体_GB2312" w:hAnsi="Times New Roman" w:eastAsia="仿宋_GB2312" w:cs="DengXian-Bold"/>
          <w:b/>
          <w:bCs/>
          <w:sz w:val="32"/>
          <w:szCs w:val="32"/>
          <w:lang w:eastAsia="zh-CN"/>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与上年持平</w:t>
      </w:r>
      <w:r>
        <w:rPr>
          <w:rFonts w:hint="eastAsia" w:ascii="仿宋_GB2312" w:hAnsi="Times New Roman" w:eastAsia="仿宋_GB2312" w:cs="DengXian-Regular"/>
          <w:sz w:val="32"/>
          <w:szCs w:val="32"/>
        </w:rPr>
        <w:t>。位价值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与上年持平</w:t>
      </w:r>
      <w:r>
        <w:rPr>
          <w:rFonts w:hint="eastAsia" w:ascii="仿宋_GB2312" w:hAnsi="Times New Roman" w:eastAsia="仿宋_GB2312" w:cs="DengXian-Regular"/>
          <w:sz w:val="32"/>
          <w:szCs w:val="32"/>
          <w:lang w:eastAsia="zh-CN"/>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val="en-US" w:eastAsia="zh-CN"/>
        </w:rPr>
        <w:t>政府性基金、国有资本经营预算</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val="en-US" w:eastAsia="zh-CN"/>
        </w:rPr>
        <w:t>8.9</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jc w:val="center"/>
        <w:rPr>
          <w:rFonts w:ascii="黑体" w:hAnsi="黑体" w:eastAsia="黑体" w:cs="黑体"/>
          <w:sz w:val="56"/>
          <w:szCs w:val="72"/>
        </w:rPr>
      </w:pPr>
    </w:p>
    <w:p>
      <w:pPr>
        <w:jc w:val="center"/>
        <w:rPr>
          <w:sz w:val="72"/>
        </w:rPr>
      </w:pPr>
    </w:p>
    <w:p/>
    <w:p/>
    <w:p/>
    <w:p/>
    <w:p/>
    <w:p/>
    <w:p/>
    <w:p/>
    <w:p/>
    <w:p/>
    <w:p/>
    <w:p/>
    <w:p>
      <w:r>
        <w:pict>
          <v:shape id="_x0000_s1088" o:spid="_x0000_s1088" o:spt="202" type="#_x0000_t202" style="position:absolute;left:0pt;margin-left:-90.2pt;margin-top:23.8pt;height:263.1pt;width:613.65pt;z-index:251672576;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hint="eastAsia" w:ascii="黑体" w:hAnsi="黑体" w:eastAsia="黑体" w:cs="黑体"/>
                      <w:color w:val="000000"/>
                      <w:sz w:val="90"/>
                      <w:szCs w:val="90"/>
                    </w:rPr>
                  </w:pPr>
                </w:p>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Pr>
        <w:tabs>
          <w:tab w:val="left" w:pos="886"/>
        </w:tabs>
        <w:jc w:val="left"/>
        <w:sectPr>
          <w:headerReference r:id="rId8"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sectPr>
          <w:headerReference r:id="rId9" w:type="default"/>
          <w:pgSz w:w="11906" w:h="16838"/>
          <w:pgMar w:top="2098" w:right="1474" w:bottom="1985" w:left="1588" w:header="851" w:footer="992" w:gutter="0"/>
          <w:pgNumType w:fmt="numberInDash"/>
          <w:cols w:space="425" w:num="1"/>
          <w:docGrid w:type="lines" w:linePitch="312" w:charSpace="0"/>
        </w:sect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tabs>
          <w:tab w:val="left" w:pos="886"/>
        </w:tabs>
        <w:jc w:val="left"/>
        <w:sectPr>
          <w:pgSz w:w="11906" w:h="16838"/>
          <w:pgMar w:top="1701" w:right="1417" w:bottom="1281" w:left="1417" w:header="851" w:footer="992" w:gutter="0"/>
          <w:pgNumType w:fmt="numberInDash"/>
          <w:cols w:space="0" w:num="1"/>
          <w:docGrid w:type="lines" w:linePitch="312" w:charSpace="0"/>
        </w:sectPr>
      </w:pPr>
      <w:r>
        <w:pict>
          <v:shape id="_x0000_s1089" o:spid="_x0000_s1089" o:spt="202" type="#_x0000_t202" style="position:absolute;left:0pt;margin-left:-89.25pt;margin-top:155.1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hint="eastAsia" w:ascii="黑体" w:hAnsi="黑体" w:eastAsia="黑体" w:cs="黑体"/>
                      <w:color w:val="000000"/>
                      <w:sz w:val="90"/>
                      <w:szCs w:val="90"/>
                    </w:rPr>
                  </w:pP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453.50</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378.05</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48.57</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12.98</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13.89</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453.50</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453.50</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453.50</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453.50</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p>
      <w:pPr>
        <w:jc w:val="left"/>
      </w:pPr>
    </w:p>
    <w:tbl>
      <w:tblPr>
        <w:tblStyle w:val="6"/>
        <w:tblW w:w="9757" w:type="dxa"/>
        <w:tblInd w:w="99" w:type="dxa"/>
        <w:shd w:val="clear" w:color="auto" w:fill="auto"/>
        <w:tblLayout w:type="fixed"/>
        <w:tblCellMar>
          <w:top w:w="0" w:type="dxa"/>
          <w:left w:w="108" w:type="dxa"/>
          <w:bottom w:w="0" w:type="dxa"/>
          <w:right w:w="108" w:type="dxa"/>
        </w:tblCellMar>
      </w:tblPr>
      <w:tblGrid>
        <w:gridCol w:w="816"/>
        <w:gridCol w:w="222"/>
        <w:gridCol w:w="222"/>
        <w:gridCol w:w="3568"/>
        <w:gridCol w:w="1174"/>
        <w:gridCol w:w="1253"/>
        <w:gridCol w:w="536"/>
        <w:gridCol w:w="523"/>
        <w:gridCol w:w="525"/>
        <w:gridCol w:w="573"/>
        <w:gridCol w:w="345"/>
      </w:tblGrid>
      <w:tr>
        <w:tblPrEx>
          <w:shd w:val="clear" w:color="auto" w:fill="auto"/>
          <w:tblCellMar>
            <w:top w:w="0" w:type="dxa"/>
            <w:left w:w="108" w:type="dxa"/>
            <w:bottom w:w="0" w:type="dxa"/>
            <w:right w:w="108" w:type="dxa"/>
          </w:tblCellMar>
        </w:tblPrEx>
        <w:trPr>
          <w:trHeight w:val="402" w:hRule="atLeast"/>
        </w:trPr>
        <w:tc>
          <w:tcPr>
            <w:tcW w:w="9757"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收入决算表</w:t>
            </w:r>
          </w:p>
        </w:tc>
      </w:tr>
      <w:tr>
        <w:tblPrEx>
          <w:tblCellMar>
            <w:top w:w="0" w:type="dxa"/>
            <w:left w:w="108" w:type="dxa"/>
            <w:bottom w:w="0" w:type="dxa"/>
            <w:right w:w="108" w:type="dxa"/>
          </w:tblCellMar>
        </w:tblPrEx>
        <w:trPr>
          <w:trHeight w:val="249" w:hRule="atLeast"/>
        </w:trPr>
        <w:tc>
          <w:tcPr>
            <w:tcW w:w="816" w:type="dxa"/>
            <w:tcBorders>
              <w:top w:val="nil"/>
              <w:left w:val="nil"/>
              <w:bottom w:val="nil"/>
              <w:right w:val="nil"/>
            </w:tcBorders>
            <w:shd w:val="clear" w:color="auto" w:fill="auto"/>
            <w:noWrap/>
            <w:vAlign w:val="bottom"/>
          </w:tcPr>
          <w:p>
            <w:pPr>
              <w:jc w:val="both"/>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3568"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1174"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1253"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536"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523"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525"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918"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w:t>
            </w:r>
            <w:r>
              <w:rPr>
                <w:rStyle w:val="14"/>
                <w:lang w:val="en-US" w:eastAsia="zh-CN" w:bidi="ar"/>
              </w:rPr>
              <w:t>表</w:t>
            </w:r>
          </w:p>
        </w:tc>
      </w:tr>
      <w:tr>
        <w:tblPrEx>
          <w:tblCellMar>
            <w:top w:w="0" w:type="dxa"/>
            <w:left w:w="108" w:type="dxa"/>
            <w:bottom w:w="0" w:type="dxa"/>
            <w:right w:w="108" w:type="dxa"/>
          </w:tblCellMar>
        </w:tblPrEx>
        <w:trPr>
          <w:trHeight w:val="278" w:hRule="atLeast"/>
        </w:trPr>
        <w:tc>
          <w:tcPr>
            <w:tcW w:w="8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p>
        </w:tc>
        <w:tc>
          <w:tcPr>
            <w:tcW w:w="222"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3568"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1174"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1253"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536"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523" w:type="dxa"/>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1443"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12" w:hRule="atLeast"/>
        </w:trPr>
        <w:tc>
          <w:tcPr>
            <w:tcW w:w="4828"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74"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25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53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52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52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57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34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CellMar>
            <w:top w:w="0" w:type="dxa"/>
            <w:left w:w="108" w:type="dxa"/>
            <w:bottom w:w="0" w:type="dxa"/>
            <w:right w:w="108" w:type="dxa"/>
          </w:tblCellMar>
        </w:tblPrEx>
        <w:trPr>
          <w:trHeight w:val="297" w:hRule="atLeast"/>
        </w:trPr>
        <w:tc>
          <w:tcPr>
            <w:tcW w:w="1260" w:type="dxa"/>
            <w:gridSpan w:val="3"/>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568"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74"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7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63" w:hRule="atLeast"/>
        </w:trPr>
        <w:tc>
          <w:tcPr>
            <w:tcW w:w="1260" w:type="dxa"/>
            <w:gridSpan w:val="3"/>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68"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7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63" w:hRule="atLeast"/>
        </w:trPr>
        <w:tc>
          <w:tcPr>
            <w:tcW w:w="1260" w:type="dxa"/>
            <w:gridSpan w:val="3"/>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68"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7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4828" w:type="dxa"/>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108" w:type="dxa"/>
            <w:bottom w:w="0" w:type="dxa"/>
            <w:right w:w="108" w:type="dxa"/>
          </w:tblCellMar>
        </w:tblPrEx>
        <w:trPr>
          <w:trHeight w:val="312" w:hRule="atLeast"/>
        </w:trPr>
        <w:tc>
          <w:tcPr>
            <w:tcW w:w="4828" w:type="dxa"/>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7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453.5</w:t>
            </w:r>
          </w:p>
        </w:tc>
        <w:tc>
          <w:tcPr>
            <w:tcW w:w="1253"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453.5</w:t>
            </w:r>
          </w:p>
        </w:tc>
        <w:tc>
          <w:tcPr>
            <w:tcW w:w="536"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b/>
                <w:bCs/>
                <w:i w:val="0"/>
                <w:iCs w:val="0"/>
                <w:color w:val="000000"/>
                <w:sz w:val="22"/>
                <w:szCs w:val="22"/>
                <w:u w:val="none"/>
              </w:rPr>
            </w:pPr>
          </w:p>
        </w:tc>
        <w:tc>
          <w:tcPr>
            <w:tcW w:w="52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b/>
                <w:bCs/>
                <w:i w:val="0"/>
                <w:iCs w:val="0"/>
                <w:color w:val="000000"/>
                <w:sz w:val="22"/>
                <w:szCs w:val="22"/>
                <w:u w:val="none"/>
              </w:rPr>
            </w:pPr>
          </w:p>
        </w:tc>
        <w:tc>
          <w:tcPr>
            <w:tcW w:w="52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b/>
                <w:bCs/>
                <w:i w:val="0"/>
                <w:iCs w:val="0"/>
                <w:color w:val="000000"/>
                <w:sz w:val="22"/>
                <w:szCs w:val="22"/>
                <w:u w:val="none"/>
              </w:rPr>
            </w:pPr>
          </w:p>
        </w:tc>
        <w:tc>
          <w:tcPr>
            <w:tcW w:w="57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b/>
                <w:bCs/>
                <w:i w:val="0"/>
                <w:iCs w:val="0"/>
                <w:color w:val="000000"/>
                <w:sz w:val="22"/>
                <w:szCs w:val="22"/>
                <w:u w:val="none"/>
              </w:rPr>
            </w:pPr>
          </w:p>
        </w:tc>
        <w:tc>
          <w:tcPr>
            <w:tcW w:w="34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1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5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17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378.05</w:t>
            </w:r>
          </w:p>
        </w:tc>
        <w:tc>
          <w:tcPr>
            <w:tcW w:w="1253"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378.05</w:t>
            </w:r>
          </w:p>
        </w:tc>
        <w:tc>
          <w:tcPr>
            <w:tcW w:w="536"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34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1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w:t>
            </w:r>
          </w:p>
        </w:tc>
        <w:tc>
          <w:tcPr>
            <w:tcW w:w="35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审计事务</w:t>
            </w:r>
          </w:p>
        </w:tc>
        <w:tc>
          <w:tcPr>
            <w:tcW w:w="117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378.05</w:t>
            </w:r>
          </w:p>
        </w:tc>
        <w:tc>
          <w:tcPr>
            <w:tcW w:w="1253"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378.05</w:t>
            </w:r>
          </w:p>
        </w:tc>
        <w:tc>
          <w:tcPr>
            <w:tcW w:w="536"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34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1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2010801</w:t>
            </w:r>
          </w:p>
        </w:tc>
        <w:tc>
          <w:tcPr>
            <w:tcW w:w="35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7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212.71</w:t>
            </w:r>
          </w:p>
        </w:tc>
        <w:tc>
          <w:tcPr>
            <w:tcW w:w="1253"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212.71</w:t>
            </w:r>
          </w:p>
        </w:tc>
        <w:tc>
          <w:tcPr>
            <w:tcW w:w="536"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34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1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2010804</w:t>
            </w:r>
          </w:p>
        </w:tc>
        <w:tc>
          <w:tcPr>
            <w:tcW w:w="35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审计业务</w:t>
            </w:r>
          </w:p>
        </w:tc>
        <w:tc>
          <w:tcPr>
            <w:tcW w:w="117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142.95</w:t>
            </w:r>
          </w:p>
        </w:tc>
        <w:tc>
          <w:tcPr>
            <w:tcW w:w="1253"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142.95</w:t>
            </w:r>
          </w:p>
        </w:tc>
        <w:tc>
          <w:tcPr>
            <w:tcW w:w="536"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34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1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2010805</w:t>
            </w:r>
          </w:p>
        </w:tc>
        <w:tc>
          <w:tcPr>
            <w:tcW w:w="35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审计管理</w:t>
            </w:r>
          </w:p>
        </w:tc>
        <w:tc>
          <w:tcPr>
            <w:tcW w:w="117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5.00</w:t>
            </w:r>
          </w:p>
        </w:tc>
        <w:tc>
          <w:tcPr>
            <w:tcW w:w="1253"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5.00</w:t>
            </w:r>
          </w:p>
        </w:tc>
        <w:tc>
          <w:tcPr>
            <w:tcW w:w="536"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34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1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2010899</w:t>
            </w:r>
          </w:p>
        </w:tc>
        <w:tc>
          <w:tcPr>
            <w:tcW w:w="35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其他审计事务支出</w:t>
            </w:r>
          </w:p>
        </w:tc>
        <w:tc>
          <w:tcPr>
            <w:tcW w:w="117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w:t>
            </w:r>
          </w:p>
        </w:tc>
        <w:tc>
          <w:tcPr>
            <w:tcW w:w="1253"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w:t>
            </w:r>
          </w:p>
        </w:tc>
        <w:tc>
          <w:tcPr>
            <w:tcW w:w="536"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34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1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5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7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48.57</w:t>
            </w:r>
          </w:p>
        </w:tc>
        <w:tc>
          <w:tcPr>
            <w:tcW w:w="1253"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48.57</w:t>
            </w:r>
          </w:p>
        </w:tc>
        <w:tc>
          <w:tcPr>
            <w:tcW w:w="536"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34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1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5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117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48.57</w:t>
            </w:r>
          </w:p>
        </w:tc>
        <w:tc>
          <w:tcPr>
            <w:tcW w:w="1253"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48.57</w:t>
            </w:r>
          </w:p>
        </w:tc>
        <w:tc>
          <w:tcPr>
            <w:tcW w:w="536"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34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1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5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117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w:t>
            </w:r>
          </w:p>
        </w:tc>
        <w:tc>
          <w:tcPr>
            <w:tcW w:w="1253"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w:t>
            </w:r>
          </w:p>
        </w:tc>
        <w:tc>
          <w:tcPr>
            <w:tcW w:w="536"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34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1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5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7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39.46</w:t>
            </w:r>
          </w:p>
        </w:tc>
        <w:tc>
          <w:tcPr>
            <w:tcW w:w="1253"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39.46</w:t>
            </w:r>
          </w:p>
        </w:tc>
        <w:tc>
          <w:tcPr>
            <w:tcW w:w="536"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34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1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35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17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1253"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536"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34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1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5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7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1253"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536"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34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1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5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17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1253"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536"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34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1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5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7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1253"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536"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34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1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5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17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1253"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536"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34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1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5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17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1253"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536"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34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1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5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7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1253"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536"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2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573"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345" w:type="dxa"/>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2" w:hRule="atLeast"/>
        </w:trPr>
        <w:tc>
          <w:tcPr>
            <w:tcW w:w="9757"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r>
        <w:br w:type="page"/>
      </w:r>
    </w:p>
    <w:tbl>
      <w:tblPr>
        <w:tblStyle w:val="6"/>
        <w:tblW w:w="9558" w:type="dxa"/>
        <w:tblInd w:w="99" w:type="dxa"/>
        <w:shd w:val="clear" w:color="auto" w:fill="auto"/>
        <w:tblLayout w:type="autofit"/>
        <w:tblCellMar>
          <w:top w:w="0" w:type="dxa"/>
          <w:left w:w="108" w:type="dxa"/>
          <w:bottom w:w="0" w:type="dxa"/>
          <w:right w:w="108" w:type="dxa"/>
        </w:tblCellMar>
      </w:tblPr>
      <w:tblGrid>
        <w:gridCol w:w="816"/>
        <w:gridCol w:w="222"/>
        <w:gridCol w:w="222"/>
        <w:gridCol w:w="3956"/>
        <w:gridCol w:w="915"/>
        <w:gridCol w:w="915"/>
        <w:gridCol w:w="466"/>
        <w:gridCol w:w="466"/>
        <w:gridCol w:w="500"/>
        <w:gridCol w:w="1116"/>
      </w:tblGrid>
      <w:tr>
        <w:tblPrEx>
          <w:shd w:val="clear" w:color="auto" w:fill="auto"/>
          <w:tblCellMar>
            <w:top w:w="0" w:type="dxa"/>
            <w:left w:w="108" w:type="dxa"/>
            <w:bottom w:w="0" w:type="dxa"/>
            <w:right w:w="108" w:type="dxa"/>
          </w:tblCellMar>
        </w:tblPrEx>
        <w:trPr>
          <w:trHeight w:val="402" w:hRule="atLeast"/>
        </w:trPr>
        <w:tc>
          <w:tcPr>
            <w:tcW w:w="9560"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支出决算表</w:t>
            </w:r>
          </w:p>
        </w:tc>
      </w:tr>
      <w:tr>
        <w:tblPrEx>
          <w:tblCellMar>
            <w:top w:w="0" w:type="dxa"/>
            <w:left w:w="108" w:type="dxa"/>
            <w:bottom w:w="0" w:type="dxa"/>
            <w:right w:w="108" w:type="dxa"/>
          </w:tblCellMar>
        </w:tblPrEx>
        <w:trPr>
          <w:trHeight w:val="249" w:hRule="atLeast"/>
        </w:trPr>
        <w:tc>
          <w:tcPr>
            <w:tcW w:w="0" w:type="auto"/>
            <w:tcBorders>
              <w:top w:val="nil"/>
              <w:left w:val="nil"/>
              <w:bottom w:val="nil"/>
              <w:right w:val="nil"/>
            </w:tcBorders>
            <w:shd w:val="clear" w:color="auto" w:fill="auto"/>
            <w:noWrap/>
            <w:vAlign w:val="bottom"/>
          </w:tcPr>
          <w:p>
            <w:pPr>
              <w:jc w:val="both"/>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CellMar>
            <w:top w:w="0" w:type="dxa"/>
            <w:left w:w="108" w:type="dxa"/>
            <w:bottom w:w="0" w:type="dxa"/>
            <w:right w:w="108" w:type="dxa"/>
          </w:tblCellMar>
        </w:tblPrEx>
        <w:trPr>
          <w:trHeight w:val="27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12"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5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95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5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95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95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95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CellMar>
            <w:top w:w="0" w:type="dxa"/>
            <w:left w:w="108" w:type="dxa"/>
            <w:bottom w:w="0" w:type="dxa"/>
            <w:right w:w="108" w:type="dxa"/>
          </w:tblCellMar>
        </w:tblPrEx>
        <w:trPr>
          <w:trHeight w:val="297" w:hRule="atLeast"/>
        </w:trPr>
        <w:tc>
          <w:tcPr>
            <w:tcW w:w="2868" w:type="dxa"/>
            <w:gridSpan w:val="3"/>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63" w:hRule="atLeast"/>
        </w:trPr>
        <w:tc>
          <w:tcPr>
            <w:tcW w:w="2868" w:type="dxa"/>
            <w:gridSpan w:val="3"/>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63" w:hRule="atLeast"/>
        </w:trPr>
        <w:tc>
          <w:tcPr>
            <w:tcW w:w="2868" w:type="dxa"/>
            <w:gridSpan w:val="3"/>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0" w:type="auto"/>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12" w:hRule="atLeast"/>
        </w:trPr>
        <w:tc>
          <w:tcPr>
            <w:tcW w:w="0" w:type="auto"/>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453.5</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453.5</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378.05</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378.05</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审计事务</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378.05</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378.05</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212.71</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212.71</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审计业务</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142.95</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142.95</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审计管理</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其他审计事务支出</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48.57</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48.57</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48.57</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48.57</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39.46</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39.46</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2"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922"/>
        <w:gridCol w:w="425"/>
        <w:gridCol w:w="836"/>
        <w:gridCol w:w="2472"/>
        <w:gridCol w:w="531"/>
        <w:gridCol w:w="823"/>
        <w:gridCol w:w="722"/>
        <w:gridCol w:w="789"/>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47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34"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47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34"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18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337"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3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47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3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2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2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7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3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47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453.50</w:t>
            </w: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378.05</w:t>
            </w: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378.05</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48.57</w:t>
            </w: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48.57</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12.98</w:t>
            </w: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12.98</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13.87</w:t>
            </w: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13.87</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453.50</w:t>
            </w: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453.50</w:t>
            </w: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453.50</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453.50</w:t>
            </w:r>
          </w:p>
        </w:tc>
        <w:tc>
          <w:tcPr>
            <w:tcW w:w="24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82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453.50</w:t>
            </w:r>
          </w:p>
        </w:tc>
        <w:tc>
          <w:tcPr>
            <w:tcW w:w="7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453.50</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6686" w:type="dxa"/>
        <w:tblInd w:w="99" w:type="dxa"/>
        <w:shd w:val="clear" w:color="auto" w:fill="auto"/>
        <w:tblLayout w:type="autofit"/>
        <w:tblCellMar>
          <w:top w:w="0" w:type="dxa"/>
          <w:left w:w="108" w:type="dxa"/>
          <w:bottom w:w="0" w:type="dxa"/>
          <w:right w:w="108" w:type="dxa"/>
        </w:tblCellMar>
      </w:tblPr>
      <w:tblGrid>
        <w:gridCol w:w="816"/>
        <w:gridCol w:w="222"/>
        <w:gridCol w:w="222"/>
        <w:gridCol w:w="3956"/>
        <w:gridCol w:w="882"/>
        <w:gridCol w:w="956"/>
        <w:gridCol w:w="660"/>
      </w:tblGrid>
      <w:tr>
        <w:tblPrEx>
          <w:shd w:val="clear" w:color="auto" w:fill="auto"/>
          <w:tblCellMar>
            <w:top w:w="0" w:type="dxa"/>
            <w:left w:w="108" w:type="dxa"/>
            <w:bottom w:w="0" w:type="dxa"/>
            <w:right w:w="108" w:type="dxa"/>
          </w:tblCellMar>
        </w:tblPrEx>
        <w:trPr>
          <w:trHeight w:val="402" w:hRule="atLeast"/>
        </w:trPr>
        <w:tc>
          <w:tcPr>
            <w:tcW w:w="6692"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一般公共预算财政拨款支出决算表</w:t>
            </w:r>
          </w:p>
        </w:tc>
      </w:tr>
      <w:tr>
        <w:tblPrEx>
          <w:tblCellMar>
            <w:top w:w="0" w:type="dxa"/>
            <w:left w:w="108" w:type="dxa"/>
            <w:bottom w:w="0" w:type="dxa"/>
            <w:right w:w="108" w:type="dxa"/>
          </w:tblCellMar>
        </w:tblPrEx>
        <w:trPr>
          <w:trHeight w:val="249" w:hRule="atLeast"/>
        </w:trPr>
        <w:tc>
          <w:tcPr>
            <w:tcW w:w="0" w:type="auto"/>
            <w:tcBorders>
              <w:top w:val="nil"/>
              <w:left w:val="nil"/>
              <w:bottom w:val="nil"/>
              <w:right w:val="nil"/>
            </w:tcBorders>
            <w:shd w:val="clear" w:color="auto" w:fill="auto"/>
            <w:noWrap/>
            <w:vAlign w:val="bottom"/>
          </w:tcPr>
          <w:p>
            <w:pPr>
              <w:jc w:val="both"/>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CellMar>
            <w:top w:w="0" w:type="dxa"/>
            <w:left w:w="108" w:type="dxa"/>
            <w:bottom w:w="0" w:type="dxa"/>
            <w:right w:w="108" w:type="dxa"/>
          </w:tblCellMar>
        </w:tblPrEx>
        <w:trPr>
          <w:trHeight w:val="27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12"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868"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CellMar>
            <w:top w:w="0" w:type="dxa"/>
            <w:left w:w="108" w:type="dxa"/>
            <w:bottom w:w="0" w:type="dxa"/>
            <w:right w:w="108" w:type="dxa"/>
          </w:tblCellMar>
        </w:tblPrEx>
        <w:trPr>
          <w:trHeight w:val="297" w:hRule="atLeast"/>
        </w:trPr>
        <w:tc>
          <w:tcPr>
            <w:tcW w:w="2868" w:type="dxa"/>
            <w:gridSpan w:val="3"/>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5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5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5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263" w:hRule="atLeast"/>
        </w:trPr>
        <w:tc>
          <w:tcPr>
            <w:tcW w:w="2868" w:type="dxa"/>
            <w:gridSpan w:val="3"/>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63" w:hRule="atLeast"/>
        </w:trPr>
        <w:tc>
          <w:tcPr>
            <w:tcW w:w="2868" w:type="dxa"/>
            <w:gridSpan w:val="3"/>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0" w:type="auto"/>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312" w:hRule="atLeast"/>
        </w:trPr>
        <w:tc>
          <w:tcPr>
            <w:tcW w:w="0" w:type="auto"/>
            <w:gridSpan w:val="4"/>
            <w:tcBorders>
              <w:top w:val="nil"/>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nil"/>
              <w:right w:val="single" w:color="000000" w:sz="8" w:space="0"/>
            </w:tcBorders>
            <w:shd w:val="clear" w:color="auto" w:fill="auto"/>
            <w:noWrap/>
            <w:vAlign w:val="bottom"/>
          </w:tcPr>
          <w:p>
            <w:pPr>
              <w:keepNext w:val="0"/>
              <w:keepLines w:val="0"/>
              <w:widowControl/>
              <w:suppressLineNumbers w:val="0"/>
              <w:jc w:val="right"/>
              <w:textAlignment w:val="bottom"/>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453.50</w:t>
            </w:r>
          </w:p>
        </w:tc>
        <w:tc>
          <w:tcPr>
            <w:tcW w:w="0" w:type="auto"/>
            <w:tcBorders>
              <w:top w:val="nil"/>
              <w:left w:val="nil"/>
              <w:bottom w:val="nil"/>
              <w:right w:val="single" w:color="000000" w:sz="8" w:space="0"/>
            </w:tcBorders>
            <w:shd w:val="clear" w:color="auto" w:fill="auto"/>
            <w:noWrap/>
            <w:vAlign w:val="bottom"/>
          </w:tcPr>
          <w:p>
            <w:pPr>
              <w:keepNext w:val="0"/>
              <w:keepLines w:val="0"/>
              <w:widowControl/>
              <w:suppressLineNumbers w:val="0"/>
              <w:jc w:val="right"/>
              <w:textAlignment w:val="bottom"/>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453.50</w:t>
            </w:r>
          </w:p>
        </w:tc>
        <w:tc>
          <w:tcPr>
            <w:tcW w:w="0" w:type="auto"/>
            <w:tcBorders>
              <w:top w:val="nil"/>
              <w:left w:val="nil"/>
              <w:bottom w:val="nil"/>
              <w:right w:val="single" w:color="000000" w:sz="8" w:space="0"/>
            </w:tcBorders>
            <w:shd w:val="clear" w:color="auto" w:fill="auto"/>
            <w:noWrap/>
            <w:vAlign w:val="bottom"/>
          </w:tcPr>
          <w:p>
            <w:pPr>
              <w:jc w:val="right"/>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审计业务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审计管理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其他审计事务支出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2"/>
                <w:szCs w:val="22"/>
                <w:u w:val="none"/>
              </w:rPr>
            </w:pPr>
          </w:p>
        </w:tc>
      </w:tr>
    </w:tbl>
    <w:p>
      <w:r>
        <w:br w:type="page"/>
      </w:r>
    </w:p>
    <w:tbl>
      <w:tblPr>
        <w:tblStyle w:val="6"/>
        <w:tblW w:w="8598" w:type="dxa"/>
        <w:tblInd w:w="99" w:type="dxa"/>
        <w:shd w:val="clear" w:color="auto" w:fill="auto"/>
        <w:tblLayout w:type="autofit"/>
        <w:tblCellMar>
          <w:top w:w="0" w:type="dxa"/>
          <w:left w:w="108" w:type="dxa"/>
          <w:bottom w:w="0" w:type="dxa"/>
          <w:right w:w="108" w:type="dxa"/>
        </w:tblCellMar>
      </w:tblPr>
      <w:tblGrid>
        <w:gridCol w:w="955"/>
        <w:gridCol w:w="955"/>
        <w:gridCol w:w="956"/>
        <w:gridCol w:w="955"/>
        <w:gridCol w:w="955"/>
        <w:gridCol w:w="956"/>
        <w:gridCol w:w="955"/>
        <w:gridCol w:w="954"/>
        <w:gridCol w:w="957"/>
      </w:tblGrid>
      <w:tr>
        <w:tblPrEx>
          <w:shd w:val="clear" w:color="auto" w:fill="auto"/>
          <w:tblCellMar>
            <w:top w:w="0" w:type="dxa"/>
            <w:left w:w="108" w:type="dxa"/>
            <w:bottom w:w="0" w:type="dxa"/>
            <w:right w:w="108" w:type="dxa"/>
          </w:tblCellMar>
        </w:tblPrEx>
        <w:trPr>
          <w:trHeight w:val="403" w:hRule="atLeast"/>
        </w:trPr>
        <w:tc>
          <w:tcPr>
            <w:tcW w:w="8604"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一般公共预算财政拨款基本支出决算表</w:t>
            </w:r>
          </w:p>
        </w:tc>
      </w:tr>
      <w:tr>
        <w:tblPrEx>
          <w:tblCellMar>
            <w:top w:w="0" w:type="dxa"/>
            <w:left w:w="108" w:type="dxa"/>
            <w:bottom w:w="0" w:type="dxa"/>
            <w:right w:w="108" w:type="dxa"/>
          </w:tblCellMar>
        </w:tblPrEx>
        <w:trPr>
          <w:trHeight w:val="248" w:hRule="atLeast"/>
        </w:trPr>
        <w:tc>
          <w:tcPr>
            <w:tcW w:w="0" w:type="auto"/>
            <w:tcBorders>
              <w:top w:val="nil"/>
              <w:left w:val="nil"/>
              <w:bottom w:val="nil"/>
              <w:right w:val="nil"/>
            </w:tcBorders>
            <w:shd w:val="clear" w:color="auto" w:fill="auto"/>
            <w:noWrap/>
            <w:vAlign w:val="bottom"/>
          </w:tcPr>
          <w:p>
            <w:pPr>
              <w:jc w:val="both"/>
              <w:rPr>
                <w:rFonts w:hint="eastAsia" w:ascii="Arial" w:hAnsi="Arial" w:cs="Arial"/>
                <w:i w:val="0"/>
                <w:iCs w:val="0"/>
                <w:color w:val="000000"/>
                <w:sz w:val="20"/>
                <w:szCs w:val="20"/>
                <w:u w:val="none"/>
              </w:rPr>
            </w:pPr>
          </w:p>
        </w:tc>
        <w:tc>
          <w:tcPr>
            <w:tcW w:w="956" w:type="dxa"/>
            <w:tcBorders>
              <w:top w:val="nil"/>
              <w:left w:val="nil"/>
              <w:bottom w:val="nil"/>
              <w:right w:val="nil"/>
            </w:tcBorders>
            <w:shd w:val="clear" w:color="auto" w:fill="auto"/>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956" w:type="dxa"/>
            <w:tcBorders>
              <w:top w:val="nil"/>
              <w:left w:val="nil"/>
              <w:bottom w:val="nil"/>
              <w:right w:val="nil"/>
            </w:tcBorders>
            <w:shd w:val="clear" w:color="auto" w:fill="auto"/>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w:t>
            </w:r>
            <w:r>
              <w:rPr>
                <w:rStyle w:val="15"/>
                <w:lang w:val="en-US" w:eastAsia="zh-CN" w:bidi="ar"/>
              </w:rPr>
              <w:t>表</w:t>
            </w:r>
          </w:p>
        </w:tc>
      </w:tr>
      <w:tr>
        <w:tblPrEx>
          <w:tblCellMar>
            <w:top w:w="0" w:type="dxa"/>
            <w:left w:w="108" w:type="dxa"/>
            <w:bottom w:w="0" w:type="dxa"/>
            <w:right w:w="108" w:type="dxa"/>
          </w:tblCellMar>
        </w:tblPrEx>
        <w:trPr>
          <w:trHeight w:val="27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p>
        </w:tc>
        <w:tc>
          <w:tcPr>
            <w:tcW w:w="956" w:type="dxa"/>
            <w:tcBorders>
              <w:top w:val="nil"/>
              <w:left w:val="nil"/>
              <w:bottom w:val="nil"/>
              <w:right w:val="nil"/>
            </w:tcBorders>
            <w:shd w:val="clear" w:color="auto" w:fill="auto"/>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956" w:type="dxa"/>
            <w:tcBorders>
              <w:top w:val="nil"/>
              <w:left w:val="nil"/>
              <w:bottom w:val="nil"/>
              <w:right w:val="nil"/>
            </w:tcBorders>
            <w:shd w:val="clear" w:color="auto" w:fill="auto"/>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jc w:val="both"/>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CellMar>
            <w:top w:w="0" w:type="dxa"/>
            <w:left w:w="108" w:type="dxa"/>
            <w:bottom w:w="0" w:type="dxa"/>
            <w:right w:w="108" w:type="dxa"/>
          </w:tblCellMar>
        </w:tblPrEx>
        <w:trPr>
          <w:trHeight w:val="312"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CellMar>
            <w:top w:w="0" w:type="dxa"/>
            <w:left w:w="108" w:type="dxa"/>
            <w:bottom w:w="0" w:type="dxa"/>
            <w:right w:w="108" w:type="dxa"/>
          </w:tblCellMar>
        </w:tblPrEx>
        <w:trPr>
          <w:trHeight w:val="313" w:hRule="atLeast"/>
        </w:trPr>
        <w:tc>
          <w:tcPr>
            <w:tcW w:w="956"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w:t>
            </w:r>
          </w:p>
        </w:tc>
        <w:tc>
          <w:tcPr>
            <w:tcW w:w="95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5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5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95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5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56"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w:t>
            </w:r>
          </w:p>
        </w:tc>
        <w:tc>
          <w:tcPr>
            <w:tcW w:w="95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5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298" w:hRule="atLeast"/>
        </w:trPr>
        <w:tc>
          <w:tcPr>
            <w:tcW w:w="95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编码</w:t>
            </w:r>
          </w:p>
        </w:tc>
        <w:tc>
          <w:tcPr>
            <w:tcW w:w="9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编码</w:t>
            </w:r>
          </w:p>
        </w:tc>
        <w:tc>
          <w:tcPr>
            <w:tcW w:w="9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61"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272.92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12"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12"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12"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12"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12"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09"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12"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61"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61"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61"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61"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12"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61"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61"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12"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61"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w:t>
            </w: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61"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12"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12"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97"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12"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142.95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61"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189"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15"/>
                <w:lang w:val="en-US" w:eastAsia="zh-CN" w:bidi="ar"/>
              </w:rPr>
              <w:t xml:space="preserve"> 对民间非营利组织和群众性自治组织补贴</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61"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61"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956" w:type="dxa"/>
            <w:tcBorders>
              <w:top w:val="nil"/>
              <w:left w:val="nil"/>
              <w:bottom w:val="single" w:color="000000" w:sz="8" w:space="0"/>
              <w:right w:val="single" w:color="000000" w:sz="8" w:space="0"/>
            </w:tcBorders>
            <w:shd w:val="clear" w:color="auto" w:fill="auto"/>
            <w:vAlign w:val="bottom"/>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12" w:hRule="atLeast"/>
        </w:trPr>
        <w:tc>
          <w:tcPr>
            <w:tcW w:w="0" w:type="auto"/>
            <w:tcBorders>
              <w:top w:val="nil"/>
              <w:left w:val="single" w:color="000000" w:sz="8" w:space="0"/>
              <w:bottom w:val="single" w:color="000000" w:sz="8" w:space="0"/>
              <w:right w:val="single" w:color="000000" w:sz="8"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956" w:type="dxa"/>
            <w:tcBorders>
              <w:top w:val="nil"/>
              <w:left w:val="nil"/>
              <w:bottom w:val="single" w:color="000000" w:sz="8" w:space="0"/>
              <w:right w:val="single" w:color="000000" w:sz="8" w:space="0"/>
            </w:tcBorders>
            <w:shd w:val="clear" w:color="auto" w:fill="auto"/>
            <w:vAlign w:val="bottom"/>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956" w:type="dxa"/>
            <w:tcBorders>
              <w:top w:val="nil"/>
              <w:left w:val="nil"/>
              <w:bottom w:val="single" w:color="000000" w:sz="8" w:space="0"/>
              <w:right w:val="single" w:color="000000" w:sz="8" w:space="0"/>
            </w:tcBorders>
            <w:shd w:val="clear" w:color="auto" w:fill="auto"/>
            <w:vAlign w:val="bottom"/>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61" w:hRule="atLeast"/>
        </w:trPr>
        <w:tc>
          <w:tcPr>
            <w:tcW w:w="0" w:type="auto"/>
            <w:tcBorders>
              <w:top w:val="nil"/>
              <w:left w:val="single" w:color="000000" w:sz="8" w:space="0"/>
              <w:bottom w:val="single" w:color="000000" w:sz="8" w:space="0"/>
              <w:right w:val="single" w:color="000000" w:sz="8"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956" w:type="dxa"/>
            <w:tcBorders>
              <w:top w:val="nil"/>
              <w:left w:val="nil"/>
              <w:bottom w:val="single" w:color="000000" w:sz="8" w:space="0"/>
              <w:right w:val="single" w:color="000000" w:sz="8" w:space="0"/>
            </w:tcBorders>
            <w:shd w:val="clear" w:color="auto" w:fill="auto"/>
            <w:vAlign w:val="bottom"/>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9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956" w:type="dxa"/>
            <w:tcBorders>
              <w:top w:val="nil"/>
              <w:left w:val="nil"/>
              <w:bottom w:val="single" w:color="000000" w:sz="8" w:space="0"/>
              <w:right w:val="single" w:color="000000" w:sz="8" w:space="0"/>
            </w:tcBorders>
            <w:shd w:val="clear" w:color="auto" w:fill="auto"/>
            <w:vAlign w:val="bottom"/>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78" w:hRule="atLeast"/>
        </w:trPr>
        <w:tc>
          <w:tcPr>
            <w:tcW w:w="0" w:type="auto"/>
            <w:gridSpan w:val="2"/>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296.32</w:t>
            </w:r>
          </w:p>
        </w:tc>
        <w:tc>
          <w:tcPr>
            <w:tcW w:w="0" w:type="auto"/>
            <w:gridSpan w:val="5"/>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0" w:type="auto"/>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157.18</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1.48</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1.48</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1.48</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本部门本年度无收支及结转结余情况，按要求以空表列示。</w:t>
      </w:r>
      <w:r>
        <w:br w:type="page"/>
      </w:r>
    </w:p>
    <w:tbl>
      <w:tblPr>
        <w:tblStyle w:val="6"/>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本部门本年度无收支及结转结余情况，按要求以空表列示。</w:t>
      </w:r>
    </w:p>
    <w:p/>
    <w:p/>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altName w:val="Meiryo UI"/>
    <w:panose1 w:val="020B0700000000000000"/>
    <w:charset w:val="80"/>
    <w:family w:val="swiss"/>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1E40DD"/>
    <w:multiLevelType w:val="singleLevel"/>
    <w:tmpl w:val="D01E40DD"/>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2">
    <w:nsid w:val="7B173968"/>
    <w:multiLevelType w:val="singleLevel"/>
    <w:tmpl w:val="7B173968"/>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AF1C96"/>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E45D3"/>
    <w:rsid w:val="002650EC"/>
    <w:rsid w:val="002A6C46"/>
    <w:rsid w:val="002C19B5"/>
    <w:rsid w:val="00371224"/>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2015C"/>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4337A"/>
    <w:rsid w:val="00A929C2"/>
    <w:rsid w:val="00AD097F"/>
    <w:rsid w:val="00B844F4"/>
    <w:rsid w:val="00BA06A1"/>
    <w:rsid w:val="00BA770A"/>
    <w:rsid w:val="00BF4D15"/>
    <w:rsid w:val="00C054DE"/>
    <w:rsid w:val="00C679A9"/>
    <w:rsid w:val="00C7541C"/>
    <w:rsid w:val="00CC0FAA"/>
    <w:rsid w:val="00CD0736"/>
    <w:rsid w:val="00D1570F"/>
    <w:rsid w:val="00D32830"/>
    <w:rsid w:val="00D70AB5"/>
    <w:rsid w:val="00DB7153"/>
    <w:rsid w:val="00DB7F05"/>
    <w:rsid w:val="00E028C3"/>
    <w:rsid w:val="00E14F77"/>
    <w:rsid w:val="00E3076B"/>
    <w:rsid w:val="00E36978"/>
    <w:rsid w:val="00E82A1E"/>
    <w:rsid w:val="00EC06F4"/>
    <w:rsid w:val="00EE4E36"/>
    <w:rsid w:val="00F665F4"/>
    <w:rsid w:val="00FB1D00"/>
    <w:rsid w:val="00FD225F"/>
    <w:rsid w:val="0A8208C8"/>
    <w:rsid w:val="0D262241"/>
    <w:rsid w:val="23FF4E6B"/>
    <w:rsid w:val="27BC0008"/>
    <w:rsid w:val="31C2036A"/>
    <w:rsid w:val="320D02A5"/>
    <w:rsid w:val="348E566F"/>
    <w:rsid w:val="3A226944"/>
    <w:rsid w:val="3A516811"/>
    <w:rsid w:val="3AEE6A48"/>
    <w:rsid w:val="3C1620AA"/>
    <w:rsid w:val="3D8F080F"/>
    <w:rsid w:val="44CE1FA4"/>
    <w:rsid w:val="487F73ED"/>
    <w:rsid w:val="4A347EAE"/>
    <w:rsid w:val="52600405"/>
    <w:rsid w:val="529B4319"/>
    <w:rsid w:val="57773DD6"/>
    <w:rsid w:val="578B79AB"/>
    <w:rsid w:val="5CCD3FD5"/>
    <w:rsid w:val="61FA5F9D"/>
    <w:rsid w:val="64CD6910"/>
    <w:rsid w:val="6789158D"/>
    <w:rsid w:val="67D81BA4"/>
    <w:rsid w:val="6AAF1C96"/>
    <w:rsid w:val="71E92620"/>
    <w:rsid w:val="75681757"/>
    <w:rsid w:val="75A346A8"/>
    <w:rsid w:val="79B9382C"/>
    <w:rsid w:val="7B043B76"/>
    <w:rsid w:val="7C041A6A"/>
    <w:rsid w:val="7E327570"/>
    <w:rsid w:val="7E4E13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Heading 1 Char"/>
    <w:basedOn w:val="8"/>
    <w:link w:val="2"/>
    <w:qFormat/>
    <w:uiPriority w:val="9"/>
    <w:rPr>
      <w:rFonts w:ascii="等线" w:hAnsi="等线" w:eastAsia="等线"/>
      <w:b/>
      <w:bCs/>
      <w:kern w:val="44"/>
      <w:sz w:val="44"/>
      <w:szCs w:val="44"/>
    </w:rPr>
  </w:style>
  <w:style w:type="character" w:customStyle="1" w:styleId="10">
    <w:name w:val="Body Text Char"/>
    <w:basedOn w:val="8"/>
    <w:link w:val="3"/>
    <w:semiHidden/>
    <w:qFormat/>
    <w:uiPriority w:val="99"/>
    <w:rPr>
      <w:rFonts w:ascii="等线" w:hAnsi="等线" w:eastAsia="等线"/>
    </w:rPr>
  </w:style>
  <w:style w:type="character" w:customStyle="1" w:styleId="11">
    <w:name w:val="Footer Char"/>
    <w:basedOn w:val="8"/>
    <w:link w:val="4"/>
    <w:qFormat/>
    <w:locked/>
    <w:uiPriority w:val="99"/>
    <w:rPr>
      <w:rFonts w:cs="Times New Roman"/>
      <w:sz w:val="18"/>
      <w:szCs w:val="18"/>
    </w:rPr>
  </w:style>
  <w:style w:type="character" w:customStyle="1" w:styleId="12">
    <w:name w:val="Header Char"/>
    <w:basedOn w:val="8"/>
    <w:link w:val="5"/>
    <w:locked/>
    <w:uiPriority w:val="99"/>
    <w:rPr>
      <w:rFonts w:ascii="等线" w:hAnsi="等线" w:eastAsia="等线" w:cs="Times New Roman"/>
      <w:sz w:val="18"/>
      <w:szCs w:val="18"/>
    </w:rPr>
  </w:style>
  <w:style w:type="paragraph" w:customStyle="1" w:styleId="13">
    <w:name w:val="列出段落1"/>
    <w:basedOn w:val="1"/>
    <w:uiPriority w:val="99"/>
    <w:pPr>
      <w:spacing w:before="2"/>
      <w:ind w:left="119" w:right="434" w:firstLine="643"/>
    </w:pPr>
    <w:rPr>
      <w:rFonts w:ascii="仿宋_GB2312" w:hAnsi="仿宋_GB2312" w:eastAsia="仿宋_GB2312" w:cs="仿宋_GB2312"/>
      <w:lang w:val="zh-CN"/>
    </w:rPr>
  </w:style>
  <w:style w:type="character" w:customStyle="1" w:styleId="14">
    <w:name w:val="font21"/>
    <w:basedOn w:val="8"/>
    <w:qFormat/>
    <w:uiPriority w:val="0"/>
    <w:rPr>
      <w:rFonts w:hint="eastAsia" w:ascii="宋体" w:hAnsi="宋体" w:eastAsia="宋体" w:cs="宋体"/>
      <w:color w:val="000000"/>
      <w:sz w:val="20"/>
      <w:szCs w:val="20"/>
      <w:u w:val="none"/>
    </w:rPr>
  </w:style>
  <w:style w:type="character" w:customStyle="1" w:styleId="15">
    <w:name w:val="font5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3"/>
    <customShpInfo spid="_x0000_s1034"/>
    <customShpInfo spid="_x0000_s1035"/>
    <customShpInfo spid="_x0000_s1036"/>
    <customShpInfo spid="_x0000_s1038"/>
    <customShpInfo spid="_x0000_s1039"/>
    <customShpInfo spid="_x0000_s1037"/>
    <customShpInfo spid="_x0000_s1041"/>
    <customShpInfo spid="_x0000_s1042"/>
    <customShpInfo spid="_x0000_s1040"/>
    <customShpInfo spid="_x0000_s1043"/>
    <customShpInfo spid="_x0000_s1053"/>
    <customShpInfo spid="_x0000_s1062"/>
    <customShpInfo spid="_x0000_s1064"/>
    <customShpInfo spid="_x0000_s1065"/>
    <customShpInfo spid="_x0000_s1063"/>
    <customShpInfo spid="_x0000_s1067"/>
    <customShpInfo spid="_x0000_s1068"/>
    <customShpInfo spid="_x0000_s1066"/>
    <customShpInfo spid="_x0000_s1070"/>
    <customShpInfo spid="_x0000_s1071"/>
    <customShpInfo spid="_x0000_s1069"/>
    <customShpInfo spid="_x0000_s1088"/>
    <customShpInfo spid="_x0000_s108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35</Pages>
  <Words>1681</Words>
  <Characters>9585</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adizuo</cp:lastModifiedBy>
  <cp:lastPrinted>2020-07-30T02:37:00Z</cp:lastPrinted>
  <dcterms:modified xsi:type="dcterms:W3CDTF">2022-03-12T01:20:58Z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4076C70423DF4AFE905FA030038FCA68</vt:lpwstr>
  </property>
</Properties>
</file>