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2"/>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3"/>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一）主管全区审计工作。负责对全区财政收支和依法属于审计监督范围的财务收支的真实、合法和效益进行审计监督，对公共资金、国有资产、国有资源和领导干部履行经济责任情况实行审计全覆盖，对领导干部实行自然资源资产离任审计，对国家、省、市和区委、区政府相关重大政策措施贯彻落实情况进行跟踪审计。对审计、专项审计调查和核查社会审计机构相关审计报告的结果承担责任，并负有督促被审计单位整改的责任。</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(二)贯彻执行审计法律、法规和方针、政策。制定审计规范性文件并监督执行；制定并组织实施全区审计工作发展规划和专业领域审计工作规划；制定并组织实施全区年度审计计划，审核、调整年度审计项目计</w:t>
      </w:r>
      <w:r>
        <w:rPr>
          <w:rFonts w:hint="eastAsia" w:ascii="仿宋_GB2312" w:hAnsi="仿宋_GB2312" w:eastAsia="仿宋_GB2312" w:cs="仿宋_GB2312"/>
          <w:bCs/>
          <w:color w:val="auto"/>
          <w:spacing w:val="-8"/>
          <w:sz w:val="32"/>
          <w:szCs w:val="32"/>
          <w:highlight w:val="none"/>
        </w:rPr>
        <w:t>划；制定审计内容的标准和规范；参与制订满城区有关审计、财政经济方面的政府规章草案、制订审计规章制度并监督执行；对直接审计、调查和核查的事项依</w:t>
      </w:r>
      <w:r>
        <w:rPr>
          <w:rFonts w:hint="eastAsia" w:ascii="仿宋_GB2312" w:hAnsi="仿宋_GB2312" w:eastAsia="仿宋_GB2312" w:cs="仿宋_GB2312"/>
          <w:bCs/>
          <w:spacing w:val="-8"/>
          <w:sz w:val="32"/>
          <w:szCs w:val="32"/>
        </w:rPr>
        <w:t>法进行审计评价，作出审计决定或提出审计建议。</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 xml:space="preserve">（三）向中共保定市满城区委审计委员会提出年度区本级预算执行和其他财政支出情况审计报告。向区长提出年度区本级预算执行和其他财政收支情况的审计结果报告。组织起草区政府向区人大常委会提出的区本级预算执行和其他财政收支情况审计工作报告、审计查出问题整改情况报告。向区委、区政府报告对其他事项的审计和专项审计调查情况及结果。依法向社会公布审计结果。向被审计单位通报审计情况和审计结果。    </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（四）直接审计下列事项，出具审计报告，在法定职权范围内作出审计决定。</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1、国家、省、市和区有关重大政策措施贯彻落实情况。</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2、区本级预算执行情况和其他财政收支，区直各部门（含所属单位）预算执行情况、决算草案和其他财政收支。</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3、乡（镇）政府预算执行情况、决算和其他财政收支。</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4、使用区级财政资金的事业单位和社会团体的财务收支。</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5、区投资和以区投资为主的建设项目的预算执行情况和决算，区公共工程项目的资金管理使用和建设运营情况。</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6、自然资源管理、污染防治和生态保护与修复情况。</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7、对中央、省、市财政安排我区的项目投资进行审计监督，对区重点建设项目的实施情况进行跟踪审计。</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8、区属国有和国有资本占控股或者主导地位的企业境内外</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资产、负债和损益以及区驻外非经营性机构的财务收支。</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9、有关社会保障基金、社会捐赠资金和其他基金、资金的</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财务收支；国际组织和外国政府援助、贷款项目。</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10、法律法规规定的其他事项。</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（五）按规定对区管党政主要领导干部、区属国有及国有控股企业领导人及依法属于区级审计机构审计监督对象的其他单位主要负责人实施经济责任审计和自然资源资产离任审计。</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（六）组织实施对财经法律法规、规章、政策和宏观调控措施执行情况、财政预算管理及国有资产管理使用、重点建设项目的实施情况、与财政收支有关的特定事项进行专项审计调查或跟踪审计。</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（七）依法检查审计决定执行情况，督促整改审计查出的问题，依法办理被审计单位对审计决定提请行政复议、行政诉讼或区政府裁决中的有关事项，协助配合有关部门查处相关重大案件。</w:t>
      </w:r>
    </w:p>
    <w:p>
      <w:pPr>
        <w:spacing w:line="600" w:lineRule="exact"/>
        <w:ind w:firstLine="608" w:firstLineChars="20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（八）指导和监督内部审计工作，核查社会审计机构对依法属于审计监督对象的单位出具的相关审计报告。</w:t>
      </w:r>
    </w:p>
    <w:p>
      <w:pPr>
        <w:keepNext/>
        <w:keepLines/>
        <w:spacing w:line="580" w:lineRule="exact"/>
        <w:ind w:firstLine="608" w:firstLineChars="200"/>
        <w:jc w:val="left"/>
        <w:outlineLvl w:val="0"/>
        <w:rPr>
          <w:rFonts w:hint="eastAsia" w:ascii="仿宋_GB2312" w:hAnsi="仿宋_GB2312" w:eastAsia="仿宋_GB2312" w:cs="仿宋_GB2312"/>
          <w:bCs/>
          <w:spacing w:val="-8"/>
          <w:sz w:val="32"/>
          <w:szCs w:val="32"/>
        </w:rPr>
      </w:pPr>
      <w:r>
        <w:rPr>
          <w:rFonts w:hint="eastAsia" w:ascii="仿宋_GB2312" w:hAnsi="仿宋_GB2312" w:eastAsia="仿宋_GB2312" w:cs="仿宋_GB2312"/>
          <w:bCs/>
          <w:spacing w:val="-8"/>
          <w:sz w:val="32"/>
          <w:szCs w:val="32"/>
        </w:rPr>
        <w:t>（九）完成区委、区政府和审计署、省和市审计部门交办的其他任务。</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vAlign w:val="top"/>
          </w:tcPr>
          <w:p>
            <w:pPr>
              <w:spacing w:line="560" w:lineRule="exact"/>
              <w:rPr>
                <w:rFonts w:hint="default" w:ascii="仿宋_GB2312" w:hAnsi="Calibri" w:eastAsia="仿宋_GB2312" w:cs="ArialUnicodeMS"/>
                <w:kern w:val="0"/>
                <w:sz w:val="28"/>
                <w:szCs w:val="28"/>
                <w:lang w:val="en-US" w:eastAsia="zh-CN" w:bidi="ar-SA"/>
              </w:rPr>
            </w:pPr>
            <w:r>
              <w:rPr>
                <w:rFonts w:hint="eastAsia" w:ascii="仿宋_GB2312" w:hAnsi="Calibri" w:eastAsia="仿宋_GB2312" w:cs="ArialUnicodeMS"/>
                <w:kern w:val="0"/>
                <w:sz w:val="28"/>
                <w:szCs w:val="28"/>
                <w:lang w:val="en-US" w:eastAsia="zh-CN"/>
              </w:rPr>
              <w:t>保定市满城区审计局</w:t>
            </w:r>
          </w:p>
        </w:tc>
        <w:tc>
          <w:tcPr>
            <w:tcW w:w="2404" w:type="dxa"/>
            <w:vAlign w:val="top"/>
          </w:tcPr>
          <w:p>
            <w:pPr>
              <w:spacing w:line="560" w:lineRule="exact"/>
              <w:jc w:val="center"/>
              <w:rPr>
                <w:rFonts w:ascii="仿宋_GB2312" w:hAnsi="Calibri" w:eastAsia="仿宋_GB2312" w:cs="ArialUnicodeMS"/>
                <w:kern w:val="0"/>
                <w:sz w:val="28"/>
                <w:szCs w:val="28"/>
                <w:highlight w:val="none"/>
                <w:lang w:val="en-US" w:eastAsia="zh-CN" w:bidi="ar-SA"/>
              </w:rPr>
            </w:pPr>
            <w:r>
              <w:rPr>
                <w:rFonts w:hint="eastAsia" w:ascii="仿宋_GB2312" w:hAnsi="Calibri" w:eastAsia="仿宋_GB2312" w:cs="ArialUnicodeMS"/>
                <w:kern w:val="0"/>
                <w:sz w:val="28"/>
                <w:szCs w:val="28"/>
                <w:highlight w:val="none"/>
              </w:rPr>
              <w:t>行政单位</w:t>
            </w:r>
          </w:p>
        </w:tc>
        <w:tc>
          <w:tcPr>
            <w:tcW w:w="2622" w:type="dxa"/>
            <w:vAlign w:val="top"/>
          </w:tcPr>
          <w:p>
            <w:pPr>
              <w:spacing w:line="560" w:lineRule="exact"/>
              <w:jc w:val="center"/>
              <w:rPr>
                <w:rFonts w:ascii="仿宋_GB2312" w:hAnsi="Calibri" w:eastAsia="仿宋_GB2312" w:cs="ArialUnicodeMS"/>
                <w:kern w:val="0"/>
                <w:sz w:val="28"/>
                <w:szCs w:val="28"/>
                <w:highlight w:val="none"/>
                <w:lang w:val="en-US" w:eastAsia="zh-CN" w:bidi="ar-SA"/>
              </w:rPr>
            </w:pPr>
            <w:r>
              <w:rPr>
                <w:rFonts w:hint="eastAsia" w:ascii="仿宋_GB2312" w:hAnsi="Calibri" w:eastAsia="仿宋_GB2312" w:cs="ArialUnicodeMS"/>
                <w:kern w:val="0"/>
                <w:sz w:val="28"/>
                <w:szCs w:val="28"/>
                <w:highlight w:val="none"/>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1440" w:firstLineChars="200"/>
        <w:rPr>
          <w:rFonts w:ascii="黑体" w:hAnsi="黑体" w:eastAsia="黑体" w:cs="黑体"/>
          <w:sz w:val="56"/>
          <w:szCs w:val="72"/>
        </w:r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3"/>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黑体" w:hAnsi="Calibri" w:eastAsia="黑体" w:cs="Times New Roman"/>
          <w:sz w:val="32"/>
          <w:szCs w:val="32"/>
          <w:highlight w:val="none"/>
        </w:rPr>
      </w:pPr>
      <w:r>
        <w:rPr>
          <w:rFonts w:hint="eastAsia" w:ascii="仿宋_GB2312" w:hAnsi="Times New Roman" w:eastAsia="仿宋_GB2312" w:cs="Wingdings"/>
          <w:sz w:val="32"/>
          <w:szCs w:val="32"/>
          <w:highlight w:val="none"/>
        </w:rPr>
        <w:t>本部门2020年度收、支总计（含结转和结余）</w:t>
      </w:r>
      <w:r>
        <w:rPr>
          <w:rFonts w:hint="eastAsia" w:ascii="仿宋_GB2312" w:hAnsi="Times New Roman" w:eastAsia="仿宋_GB2312" w:cs="Wingdings"/>
          <w:sz w:val="32"/>
          <w:szCs w:val="32"/>
          <w:highlight w:val="none"/>
          <w:lang w:val="en-US" w:eastAsia="zh-CN"/>
        </w:rPr>
        <w:t>637.08</w:t>
      </w:r>
      <w:r>
        <w:rPr>
          <w:rFonts w:hint="eastAsia" w:ascii="仿宋_GB2312" w:hAnsi="Times New Roman" w:eastAsia="仿宋_GB2312" w:cs="Wingdings"/>
          <w:sz w:val="32"/>
          <w:szCs w:val="32"/>
          <w:highlight w:val="none"/>
        </w:rPr>
        <w:t>万元。与2019年度决算相比，收支各增加</w:t>
      </w:r>
      <w:r>
        <w:rPr>
          <w:rFonts w:hint="eastAsia" w:ascii="仿宋_GB2312" w:hAnsi="Times New Roman" w:eastAsia="仿宋_GB2312" w:cs="Wingdings"/>
          <w:sz w:val="32"/>
          <w:szCs w:val="32"/>
          <w:highlight w:val="none"/>
          <w:lang w:val="en-US" w:eastAsia="zh-CN"/>
        </w:rPr>
        <w:t>183.58</w:t>
      </w:r>
      <w:r>
        <w:rPr>
          <w:rFonts w:hint="eastAsia" w:ascii="仿宋_GB2312" w:hAnsi="Times New Roman" w:eastAsia="仿宋_GB2312" w:cs="Wingdings"/>
          <w:sz w:val="32"/>
          <w:szCs w:val="32"/>
          <w:highlight w:val="none"/>
        </w:rPr>
        <w:t>万元，增长</w:t>
      </w:r>
      <w:r>
        <w:rPr>
          <w:rFonts w:hint="eastAsia" w:ascii="仿宋_GB2312" w:hAnsi="Times New Roman" w:eastAsia="仿宋_GB2312" w:cs="Wingdings"/>
          <w:sz w:val="32"/>
          <w:szCs w:val="32"/>
          <w:highlight w:val="none"/>
          <w:lang w:val="en-US" w:eastAsia="zh-CN"/>
        </w:rPr>
        <w:t>28.82</w:t>
      </w:r>
      <w:r>
        <w:rPr>
          <w:rFonts w:hint="eastAsia" w:ascii="仿宋_GB2312" w:hAnsi="Times New Roman" w:eastAsia="仿宋_GB2312" w:cs="Wingdings"/>
          <w:sz w:val="32"/>
          <w:szCs w:val="32"/>
          <w:highlight w:val="none"/>
        </w:rPr>
        <w:t>%，主要原因是</w:t>
      </w:r>
      <w:r>
        <w:rPr>
          <w:rFonts w:hint="eastAsia" w:ascii="仿宋_GB2312" w:hAnsi="Times New Roman" w:eastAsia="仿宋_GB2312" w:cs="DengXian-Regular"/>
          <w:sz w:val="32"/>
          <w:szCs w:val="32"/>
          <w:lang w:val="en-US" w:eastAsia="zh-CN"/>
        </w:rPr>
        <w:t>本年度审计项目资金，审计经费增加</w:t>
      </w:r>
      <w:r>
        <w:rPr>
          <w:rFonts w:hint="eastAsia" w:ascii="仿宋_GB2312" w:hAnsi="Times New Roman" w:eastAsia="仿宋_GB2312" w:cs="Wingdings"/>
          <w:sz w:val="32"/>
          <w:szCs w:val="32"/>
          <w:highlight w:val="none"/>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黑体" w:hAnsi="Calibri" w:eastAsia="黑体" w:cs="Times New Roman"/>
          <w:sz w:val="32"/>
          <w:szCs w:val="32"/>
        </w:rPr>
      </w:pPr>
      <w:r>
        <w:rPr>
          <w:rFonts w:hint="eastAsia" w:ascii="仿宋_GB2312" w:hAnsi="Times New Roman" w:eastAsia="仿宋_GB2312" w:cs="Wingdings"/>
          <w:sz w:val="32"/>
          <w:szCs w:val="32"/>
        </w:rPr>
        <w:t>本部门2020年度本年收入合计</w:t>
      </w:r>
      <w:r>
        <w:rPr>
          <w:rFonts w:hint="eastAsia" w:ascii="仿宋_GB2312" w:hAnsi="Times New Roman" w:eastAsia="仿宋_GB2312" w:cs="Wingdings"/>
          <w:sz w:val="32"/>
          <w:szCs w:val="32"/>
          <w:lang w:val="en-US" w:eastAsia="zh-CN"/>
        </w:rPr>
        <w:t>637.08</w:t>
      </w:r>
      <w:r>
        <w:rPr>
          <w:rFonts w:hint="eastAsia" w:ascii="仿宋_GB2312" w:hAnsi="Times New Roman" w:eastAsia="仿宋_GB2312" w:cs="Wingdings"/>
          <w:sz w:val="32"/>
          <w:szCs w:val="32"/>
        </w:rPr>
        <w:t>万元，其中：财政拨款收入</w:t>
      </w:r>
      <w:r>
        <w:rPr>
          <w:rFonts w:hint="eastAsia" w:ascii="仿宋_GB2312" w:hAnsi="Times New Roman" w:eastAsia="仿宋_GB2312" w:cs="Wingdings"/>
          <w:sz w:val="32"/>
          <w:szCs w:val="32"/>
          <w:lang w:val="en-US" w:eastAsia="zh-CN"/>
        </w:rPr>
        <w:t>637.08</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黑体" w:hAnsi="Calibri" w:eastAsia="黑体" w:cs="Times New Roman"/>
          <w:b/>
          <w:bCs/>
          <w:sz w:val="32"/>
          <w:szCs w:val="32"/>
        </w:rPr>
      </w:pPr>
      <w:r>
        <w:rPr>
          <w:rFonts w:hint="eastAsia" w:ascii="仿宋_GB2312" w:hAnsi="Times New Roman" w:eastAsia="仿宋_GB2312" w:cs="Wingdings"/>
          <w:sz w:val="32"/>
          <w:szCs w:val="32"/>
        </w:rPr>
        <w:t>本部门2020年度本年支出合计</w:t>
      </w:r>
      <w:r>
        <w:rPr>
          <w:rFonts w:hint="eastAsia" w:ascii="仿宋_GB2312" w:hAnsi="Times New Roman" w:eastAsia="仿宋_GB2312" w:cs="Wingdings"/>
          <w:sz w:val="32"/>
          <w:szCs w:val="32"/>
          <w:lang w:val="en-US" w:eastAsia="zh-CN"/>
        </w:rPr>
        <w:t>637.08</w:t>
      </w:r>
      <w:r>
        <w:rPr>
          <w:rFonts w:hint="eastAsia" w:ascii="仿宋_GB2312" w:hAnsi="Times New Roman" w:eastAsia="仿宋_GB2312" w:cs="Wingdings"/>
          <w:sz w:val="32"/>
          <w:szCs w:val="32"/>
        </w:rPr>
        <w:t>万元，其中：基本支出</w:t>
      </w:r>
      <w:r>
        <w:rPr>
          <w:rFonts w:hint="eastAsia" w:ascii="仿宋_GB2312" w:hAnsi="Times New Roman" w:eastAsia="仿宋_GB2312" w:cs="Wingdings"/>
          <w:sz w:val="32"/>
          <w:szCs w:val="32"/>
          <w:lang w:val="en-US" w:eastAsia="zh-CN"/>
        </w:rPr>
        <w:t>637.08</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w:t>
      </w:r>
      <w:r>
        <w:rPr>
          <w:rFonts w:hint="eastAsia" w:ascii="仿宋_GB2312" w:hAnsi="Times New Roman" w:eastAsia="仿宋_GB2312" w:cs="Wingdings"/>
          <w:sz w:val="32"/>
          <w:szCs w:val="32"/>
          <w:lang w:val="en-US" w:eastAsia="zh-CN"/>
        </w:rPr>
        <w:t>637.08</w:t>
      </w:r>
      <w:r>
        <w:rPr>
          <w:rFonts w:hint="eastAsia" w:ascii="仿宋_GB2312" w:hAnsi="Times New Roman" w:eastAsia="仿宋_GB2312" w:cs="Wingdings"/>
          <w:sz w:val="32"/>
          <w:szCs w:val="32"/>
        </w:rPr>
        <w:t>万元,比2019年度增加</w:t>
      </w:r>
      <w:r>
        <w:rPr>
          <w:rFonts w:hint="eastAsia" w:ascii="仿宋_GB2312" w:hAnsi="Times New Roman" w:eastAsia="仿宋_GB2312" w:cs="Wingdings"/>
          <w:sz w:val="32"/>
          <w:szCs w:val="32"/>
          <w:lang w:val="en-US" w:eastAsia="zh-CN"/>
        </w:rPr>
        <w:t>183.58</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28.82</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lang w:val="en-US" w:eastAsia="zh-CN"/>
        </w:rPr>
        <w:t>本年度审计项目资金，审计经费增加</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637.08</w:t>
      </w:r>
      <w:r>
        <w:rPr>
          <w:rFonts w:hint="eastAsia" w:ascii="仿宋_GB2312" w:hAnsi="Times New Roman" w:eastAsia="仿宋_GB2312" w:cs="Wingdings"/>
          <w:sz w:val="32"/>
          <w:szCs w:val="32"/>
        </w:rPr>
        <w:t>万元，增加</w:t>
      </w:r>
      <w:r>
        <w:rPr>
          <w:rFonts w:hint="eastAsia" w:ascii="仿宋_GB2312" w:hAnsi="Times New Roman" w:eastAsia="仿宋_GB2312" w:cs="Wingdings"/>
          <w:sz w:val="32"/>
          <w:szCs w:val="32"/>
          <w:lang w:val="en-US" w:eastAsia="zh-CN"/>
        </w:rPr>
        <w:t>183.58</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28.82</w:t>
      </w:r>
      <w:r>
        <w:rPr>
          <w:rFonts w:hint="eastAsia" w:ascii="仿宋_GB2312" w:hAnsi="Times New Roman" w:eastAsia="仿宋_GB2312" w:cs="Wingdings"/>
          <w:sz w:val="32"/>
          <w:szCs w:val="32"/>
        </w:rPr>
        <w:t>%，主要是</w:t>
      </w:r>
      <w:r>
        <w:rPr>
          <w:rFonts w:hint="eastAsia" w:ascii="仿宋_GB2312" w:hAnsi="Times New Roman" w:eastAsia="仿宋_GB2312" w:cs="DengXian-Regular"/>
          <w:sz w:val="32"/>
          <w:szCs w:val="32"/>
          <w:lang w:val="en-US" w:eastAsia="zh-CN"/>
        </w:rPr>
        <w:t>本年度审计项目资金，审计经费增加</w:t>
      </w:r>
      <w:r>
        <w:rPr>
          <w:rFonts w:hint="eastAsia" w:ascii="仿宋_GB2312" w:hAnsi="Times New Roman" w:eastAsia="仿宋_GB2312" w:cs="DengXian-Regular"/>
          <w:sz w:val="32"/>
          <w:szCs w:val="32"/>
        </w:rPr>
        <w:t>。</w:t>
      </w:r>
      <w:r>
        <w:rPr>
          <w:rFonts w:hint="eastAsia" w:ascii="仿宋_GB2312" w:hAnsi="Times New Roman" w:eastAsia="仿宋_GB2312" w:cs="Wingdings"/>
          <w:sz w:val="32"/>
          <w:szCs w:val="32"/>
        </w:rPr>
        <w:t>。</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w:t>
      </w:r>
      <w:r>
        <w:rPr>
          <w:rFonts w:hint="eastAsia" w:ascii="仿宋_GB2312" w:hAnsi="Times New Roman" w:eastAsia="仿宋_GB2312" w:cs="Wingdings"/>
          <w:sz w:val="32"/>
          <w:szCs w:val="32"/>
          <w:lang w:val="en-US" w:eastAsia="zh-CN"/>
        </w:rPr>
        <w:t>637.08</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106.25</w:t>
      </w:r>
      <w:r>
        <w:rPr>
          <w:rFonts w:hint="eastAsia" w:ascii="仿宋_GB2312" w:hAnsi="Times New Roman" w:eastAsia="仿宋_GB2312" w:cs="Wingdings"/>
          <w:sz w:val="32"/>
          <w:szCs w:val="32"/>
        </w:rPr>
        <w:t>%,比年初预算</w:t>
      </w:r>
      <w:r>
        <w:rPr>
          <w:rFonts w:hint="eastAsia" w:ascii="仿宋_GB2312" w:hAnsi="Times New Roman" w:eastAsia="仿宋_GB2312" w:cs="Wingdings"/>
          <w:sz w:val="32"/>
          <w:szCs w:val="32"/>
          <w:lang w:val="en-US" w:eastAsia="zh-CN"/>
        </w:rPr>
        <w:t>增加37.47</w:t>
      </w:r>
      <w:r>
        <w:rPr>
          <w:rFonts w:hint="eastAsia" w:ascii="仿宋_GB2312" w:hAnsi="Times New Roman" w:eastAsia="仿宋_GB2312" w:cs="Wingdings"/>
          <w:sz w:val="32"/>
          <w:szCs w:val="32"/>
        </w:rPr>
        <w:t>万元，决算数</w:t>
      </w:r>
      <w:r>
        <w:rPr>
          <w:rFonts w:hint="eastAsia" w:ascii="仿宋_GB2312" w:hAnsi="Times New Roman" w:eastAsia="仿宋_GB2312" w:cs="Wingdings"/>
          <w:sz w:val="32"/>
          <w:szCs w:val="32"/>
          <w:lang w:val="en-US" w:eastAsia="zh-CN"/>
        </w:rPr>
        <w:t>大</w:t>
      </w:r>
      <w:r>
        <w:rPr>
          <w:rFonts w:hint="eastAsia" w:ascii="仿宋_GB2312" w:hAnsi="Times New Roman" w:eastAsia="仿宋_GB2312" w:cs="Wingdings"/>
          <w:sz w:val="32"/>
          <w:szCs w:val="32"/>
        </w:rPr>
        <w:t>于预算数主要原因是</w:t>
      </w:r>
      <w:r>
        <w:rPr>
          <w:rFonts w:hint="eastAsia" w:ascii="仿宋_GB2312" w:hAnsi="Times New Roman" w:eastAsia="仿宋_GB2312" w:cs="DengXian-Regular"/>
          <w:sz w:val="32"/>
          <w:szCs w:val="32"/>
          <w:lang w:val="en-US" w:eastAsia="zh-CN"/>
        </w:rPr>
        <w:t>审计经费增加</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637.08</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106.25</w:t>
      </w:r>
      <w:r>
        <w:rPr>
          <w:rFonts w:hint="eastAsia" w:ascii="仿宋_GB2312" w:hAnsi="Times New Roman" w:eastAsia="仿宋_GB2312" w:cs="Wingdings"/>
          <w:sz w:val="32"/>
          <w:szCs w:val="32"/>
        </w:rPr>
        <w:t>%,比年初预算</w:t>
      </w:r>
      <w:r>
        <w:rPr>
          <w:rFonts w:hint="eastAsia" w:ascii="仿宋_GB2312" w:hAnsi="Times New Roman" w:eastAsia="仿宋_GB2312" w:cs="Wingdings"/>
          <w:sz w:val="32"/>
          <w:szCs w:val="32"/>
          <w:lang w:val="en-US" w:eastAsia="zh-CN"/>
        </w:rPr>
        <w:t>增加37.47</w:t>
      </w:r>
      <w:r>
        <w:rPr>
          <w:rFonts w:hint="eastAsia" w:ascii="仿宋_GB2312" w:hAnsi="Times New Roman" w:eastAsia="仿宋_GB2312" w:cs="Wingdings"/>
          <w:sz w:val="32"/>
          <w:szCs w:val="32"/>
        </w:rPr>
        <w:t>万元，决算数</w:t>
      </w:r>
      <w:r>
        <w:rPr>
          <w:rFonts w:hint="eastAsia" w:ascii="仿宋_GB2312" w:hAnsi="Times New Roman" w:eastAsia="仿宋_GB2312" w:cs="Wingdings"/>
          <w:sz w:val="32"/>
          <w:szCs w:val="32"/>
          <w:lang w:val="en-US" w:eastAsia="zh-CN"/>
        </w:rPr>
        <w:t>大</w:t>
      </w:r>
      <w:r>
        <w:rPr>
          <w:rFonts w:hint="eastAsia" w:ascii="仿宋_GB2312" w:hAnsi="Times New Roman" w:eastAsia="仿宋_GB2312" w:cs="Wingdings"/>
          <w:sz w:val="32"/>
          <w:szCs w:val="32"/>
        </w:rPr>
        <w:t>于预算数主要原因是</w:t>
      </w:r>
      <w:r>
        <w:rPr>
          <w:rFonts w:hint="eastAsia" w:ascii="仿宋_GB2312" w:hAnsi="Times New Roman" w:eastAsia="仿宋_GB2312" w:cs="DengXian-Regular"/>
          <w:sz w:val="32"/>
          <w:szCs w:val="32"/>
          <w:lang w:val="en-US" w:eastAsia="zh-CN"/>
        </w:rPr>
        <w:t>审计经费增加</w:t>
      </w:r>
      <w:r>
        <w:rPr>
          <w:rFonts w:hint="eastAsia" w:ascii="仿宋_GB2312" w:hAnsi="Times New Roman" w:eastAsia="仿宋_GB2312" w:cs="Wingdings"/>
          <w:sz w:val="32"/>
          <w:szCs w:val="32"/>
        </w:rPr>
        <w:t>。</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楷体_GB2312" w:hAnsi="Times New Roman" w:eastAsia="楷体_GB2312" w:cs="Mongolian Baiti"/>
          <w:b/>
          <w:bCs/>
          <w:sz w:val="32"/>
          <w:szCs w:val="32"/>
        </w:rPr>
      </w:pPr>
      <w:r>
        <w:rPr>
          <w:rFonts w:hint="eastAsia" w:ascii="仿宋_GB2312" w:hAnsi="Times New Roman" w:eastAsia="仿宋_GB2312" w:cs="Wingdings"/>
          <w:sz w:val="32"/>
          <w:szCs w:val="32"/>
        </w:rPr>
        <w:t>2020 年度财政拨款支出</w:t>
      </w:r>
      <w:r>
        <w:rPr>
          <w:rFonts w:hint="eastAsia" w:ascii="仿宋_GB2312" w:hAnsi="Times New Roman" w:eastAsia="仿宋_GB2312" w:cs="Wingdings"/>
          <w:sz w:val="32"/>
          <w:szCs w:val="32"/>
          <w:lang w:val="en-US" w:eastAsia="zh-CN"/>
        </w:rPr>
        <w:t>637.08</w:t>
      </w:r>
      <w:r>
        <w:rPr>
          <w:rFonts w:hint="eastAsia" w:ascii="仿宋_GB2312" w:hAnsi="Times New Roman" w:eastAsia="仿宋_GB2312" w:cs="Wingdings"/>
          <w:sz w:val="32"/>
          <w:szCs w:val="32"/>
        </w:rPr>
        <w:t>万元，主要用于以下方面：一般公共服务（类）支出</w:t>
      </w:r>
      <w:r>
        <w:rPr>
          <w:rFonts w:hint="eastAsia" w:ascii="仿宋_GB2312" w:hAnsi="Times New Roman" w:eastAsia="仿宋_GB2312" w:cs="Wingdings"/>
          <w:sz w:val="32"/>
          <w:szCs w:val="32"/>
          <w:lang w:val="en-US" w:eastAsia="zh-CN"/>
        </w:rPr>
        <w:t>556.61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87.37</w:t>
      </w:r>
      <w:r>
        <w:rPr>
          <w:rFonts w:hint="eastAsia" w:ascii="仿宋_GB2312" w:hAnsi="Times New Roman" w:eastAsia="仿宋_GB2312" w:cs="Wingdings"/>
          <w:sz w:val="32"/>
          <w:szCs w:val="32"/>
        </w:rPr>
        <w:t>%，；社会保障和就业（类）支出</w:t>
      </w:r>
      <w:r>
        <w:rPr>
          <w:rFonts w:hint="eastAsia" w:ascii="仿宋_GB2312" w:hAnsi="Times New Roman" w:eastAsia="仿宋_GB2312" w:cs="Wingdings"/>
          <w:sz w:val="32"/>
          <w:szCs w:val="32"/>
          <w:lang w:val="en-US" w:eastAsia="zh-CN"/>
        </w:rPr>
        <w:t>53.22</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8.35</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卫生健康（类）支出13.66万元，占2.14%；</w:t>
      </w:r>
      <w:r>
        <w:rPr>
          <w:rFonts w:hint="eastAsia" w:ascii="仿宋_GB2312" w:hAnsi="Times New Roman" w:eastAsia="仿宋_GB2312" w:cs="Wingdings"/>
          <w:sz w:val="32"/>
          <w:szCs w:val="32"/>
        </w:rPr>
        <w:t>住房保障（类）支出</w:t>
      </w:r>
      <w:r>
        <w:rPr>
          <w:rFonts w:hint="eastAsia" w:ascii="仿宋_GB2312" w:hAnsi="Times New Roman" w:eastAsia="仿宋_GB2312" w:cs="Wingdings"/>
          <w:sz w:val="32"/>
          <w:szCs w:val="32"/>
          <w:lang w:val="en-US" w:eastAsia="zh-CN"/>
        </w:rPr>
        <w:t>13.60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2.13</w:t>
      </w:r>
      <w:r>
        <w:rPr>
          <w:rFonts w:hint="eastAsia" w:ascii="仿宋_GB2312" w:hAnsi="Times New Roman" w:eastAsia="仿宋_GB2312" w:cs="Wingdings"/>
          <w:sz w:val="32"/>
          <w:szCs w:val="32"/>
        </w:rPr>
        <w:t>%。</w: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hint="eastAsia" w:ascii="仿宋_GB2312" w:hAnsi="Times New Roman" w:eastAsia="仿宋_GB2312" w:cs="Wingdings"/>
          <w:sz w:val="32"/>
          <w:szCs w:val="32"/>
          <w:lang w:val="en-US" w:eastAsia="zh-CN"/>
        </w:rPr>
        <w:t>637.08</w:t>
      </w:r>
      <w:r>
        <w:rPr>
          <w:rFonts w:hint="eastAsia" w:ascii="仿宋_GB2312" w:hAnsi="Times New Roman" w:eastAsia="仿宋_GB2312" w:cs="Wingdings"/>
          <w:sz w:val="32"/>
          <w:szCs w:val="32"/>
        </w:rPr>
        <w:t xml:space="preserve">万元，其中：人员经费 </w:t>
      </w:r>
      <w:r>
        <w:rPr>
          <w:rFonts w:hint="eastAsia" w:ascii="仿宋_GB2312" w:hAnsi="Times New Roman" w:eastAsia="仿宋_GB2312" w:cs="Wingdings"/>
          <w:sz w:val="32"/>
          <w:szCs w:val="32"/>
          <w:lang w:val="en-US" w:eastAsia="zh-CN"/>
        </w:rPr>
        <w:t>278.32</w:t>
      </w:r>
      <w:r>
        <w:rPr>
          <w:rFonts w:hint="eastAsia" w:ascii="仿宋_GB2312" w:hAnsi="Times New Roman" w:eastAsia="仿宋_GB2312" w:cs="Wingdings"/>
          <w:sz w:val="32"/>
          <w:szCs w:val="32"/>
        </w:rPr>
        <w:t>万元，主要包括基本工资、津贴补贴、奖金、绩效工资、机关事业单位基本养老保险缴费、职业年金缴费、职工基本医疗保险缴费、住房公积金</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生活补助；公用经费</w:t>
      </w:r>
      <w:r>
        <w:rPr>
          <w:rFonts w:hint="eastAsia" w:ascii="仿宋_GB2312" w:hAnsi="Times New Roman" w:eastAsia="仿宋_GB2312" w:cs="Wingdings"/>
          <w:sz w:val="32"/>
          <w:szCs w:val="32"/>
          <w:lang w:val="en-US" w:eastAsia="zh-CN"/>
        </w:rPr>
        <w:t>358.77</w:t>
      </w:r>
      <w:r>
        <w:rPr>
          <w:rFonts w:hint="eastAsia" w:ascii="仿宋_GB2312" w:hAnsi="Times New Roman" w:eastAsia="仿宋_GB2312" w:cs="Wingdings"/>
          <w:sz w:val="32"/>
          <w:szCs w:val="32"/>
        </w:rPr>
        <w:t>万元，主要包括办公费、水费、电费、邮电费、差旅费、委托业务费、公务用车运行维护费、其他交通费用</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办公设备购置。</w:t>
      </w:r>
    </w:p>
    <w:p>
      <w:pPr>
        <w:adjustRightInd w:val="0"/>
        <w:snapToGrid w:val="0"/>
        <w:spacing w:line="600" w:lineRule="exact"/>
        <w:ind w:firstLine="640" w:firstLineChars="200"/>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2.58</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2.50</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96.90</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0.08</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3.10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未支出公务招待费</w:t>
      </w:r>
      <w:r>
        <w:rPr>
          <w:rFonts w:hint="eastAsia" w:ascii="仿宋_GB2312" w:hAnsi="Times New Roman" w:eastAsia="仿宋_GB2312" w:cs="Wingdings"/>
          <w:sz w:val="32"/>
          <w:szCs w:val="32"/>
        </w:rPr>
        <w:t>；较2019年度增加</w:t>
      </w:r>
      <w:r>
        <w:rPr>
          <w:rFonts w:hint="eastAsia" w:ascii="仿宋_GB2312" w:hAnsi="Times New Roman" w:eastAsia="仿宋_GB2312" w:cs="Wingdings"/>
          <w:sz w:val="32"/>
          <w:szCs w:val="32"/>
          <w:lang w:val="en-US" w:eastAsia="zh-CN"/>
        </w:rPr>
        <w:t>1.02</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68.92</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审计项目增加，所需车辆运行费增加</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numPr>
          <w:ilvl w:val="0"/>
          <w:numId w:val="2"/>
        </w:numPr>
        <w:adjustRightInd w:val="0"/>
        <w:snapToGrid w:val="0"/>
        <w:spacing w:line="580" w:lineRule="exact"/>
        <w:ind w:firstLine="643" w:firstLineChars="200"/>
        <w:rPr>
          <w:rFonts w:hint="eastAsia" w:ascii="楷体_GB2312" w:hAnsi="Times New Roman" w:eastAsia="楷体_GB2312" w:cs="DengXian-Bold"/>
          <w:b/>
          <w:bC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100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个、无本单位组织的出国（境）团组。</w:t>
      </w:r>
      <w:r>
        <w:rPr>
          <w:rFonts w:hint="eastAsia" w:ascii="仿宋_GB2312" w:hAnsi="Times New Roman" w:eastAsia="仿宋_GB2312" w:cs="DengXian-Regular"/>
          <w:sz w:val="32"/>
          <w:szCs w:val="32"/>
        </w:rPr>
        <w:t>因公出国（境）费支出较预算增加0万元，增长0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；较上年增加0万元，增长0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2.50</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100</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与年初预算持平</w:t>
      </w:r>
      <w:r>
        <w:rPr>
          <w:rFonts w:hint="eastAsia" w:ascii="仿宋_GB2312" w:hAnsi="Times New Roman" w:eastAsia="仿宋_GB2312" w:cs="Wingdings"/>
          <w:sz w:val="32"/>
          <w:szCs w:val="32"/>
        </w:rPr>
        <w:t>；较上年</w:t>
      </w:r>
      <w:r>
        <w:rPr>
          <w:rFonts w:hint="eastAsia" w:ascii="仿宋_GB2312" w:hAnsi="Times New Roman" w:eastAsia="仿宋_GB2312" w:cs="Wingdings"/>
          <w:sz w:val="32"/>
          <w:szCs w:val="32"/>
          <w:lang w:val="en-US" w:eastAsia="zh-CN"/>
        </w:rPr>
        <w:t>增加1.02</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68.92</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审计项目增加，所需车辆运行费增加</w:t>
      </w:r>
      <w:r>
        <w:rPr>
          <w:rFonts w:hint="eastAsia" w:ascii="仿宋_GB2312" w:hAnsi="Times New Roman" w:eastAsia="仿宋_GB2312" w:cs="Wingdings"/>
          <w:sz w:val="32"/>
          <w:szCs w:val="32"/>
        </w:rPr>
        <w:t>。</w:t>
      </w:r>
      <w:r>
        <w:rPr>
          <w:rFonts w:hint="eastAsia" w:ascii="仿宋_GB2312" w:hAnsi="Times New Roman" w:eastAsia="仿宋_GB2312" w:cs="Mongolian Baiti"/>
          <w:b/>
          <w:bCs/>
          <w:sz w:val="32"/>
          <w:szCs w:val="32"/>
        </w:rPr>
        <w:t>其中：</w:t>
      </w:r>
    </w:p>
    <w:p>
      <w:pPr>
        <w:adjustRightInd w:val="0"/>
        <w:snapToGrid w:val="0"/>
        <w:spacing w:line="580" w:lineRule="exact"/>
        <w:ind w:firstLine="643" w:firstLineChars="200"/>
        <w:rPr>
          <w:rFonts w:hint="eastAsia" w:ascii="仿宋_GB2312" w:hAnsi="Times New Roman" w:eastAsia="仿宋_GB2312" w:cs="DengXian-Regular"/>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w:t>
      </w:r>
      <w:r>
        <w:rPr>
          <w:rFonts w:hint="eastAsia" w:ascii="仿宋_GB2312" w:hAnsi="Times New Roman" w:eastAsia="仿宋_GB2312" w:cs="DengXian-Regular"/>
          <w:sz w:val="32"/>
          <w:szCs w:val="32"/>
        </w:rPr>
        <w:t>公务用车购置费支出较预算增加0万元，增长0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；较上年增加0万元，增长0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1</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,发生运行维护费支出2.50万元，</w:t>
      </w:r>
      <w:r>
        <w:rPr>
          <w:rFonts w:hint="eastAsia" w:ascii="仿宋_GB2312" w:hAnsi="Times New Roman" w:eastAsia="仿宋_GB2312" w:cs="Wingdings"/>
          <w:sz w:val="32"/>
          <w:szCs w:val="32"/>
        </w:rPr>
        <w:t>。公车运行维护费支出较预算增加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val="en-US" w:eastAsia="zh-CN"/>
        </w:rPr>
        <w:t>与年初预算持平</w:t>
      </w:r>
      <w:r>
        <w:rPr>
          <w:rFonts w:hint="eastAsia" w:ascii="仿宋_GB2312" w:hAnsi="Times New Roman" w:eastAsia="仿宋_GB2312" w:cs="Wingdings"/>
          <w:sz w:val="32"/>
          <w:szCs w:val="32"/>
        </w:rPr>
        <w:t>；较上年</w:t>
      </w:r>
      <w:r>
        <w:rPr>
          <w:rFonts w:hint="eastAsia" w:ascii="仿宋_GB2312" w:hAnsi="Times New Roman" w:eastAsia="仿宋_GB2312" w:cs="Wingdings"/>
          <w:sz w:val="32"/>
          <w:szCs w:val="32"/>
          <w:lang w:val="en-US" w:eastAsia="zh-CN"/>
        </w:rPr>
        <w:t>增加1.02</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68.92</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val="en-US" w:eastAsia="zh-CN"/>
        </w:rPr>
        <w:t>审计项目增加，所需车辆运行费增加</w:t>
      </w:r>
      <w:r>
        <w:rPr>
          <w:rFonts w:hint="eastAsia" w:ascii="仿宋_GB2312" w:hAnsi="Times New Roman" w:eastAsia="仿宋_GB2312" w:cs="Wingdings"/>
          <w:sz w:val="32"/>
          <w:szCs w:val="32"/>
        </w:rPr>
        <w:t>。</w:t>
      </w:r>
    </w:p>
    <w:p>
      <w:pPr>
        <w:adjustRightInd w:val="0"/>
        <w:snapToGrid w:val="0"/>
        <w:spacing w:line="58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本部门2020年</w:t>
      </w:r>
      <w:r>
        <w:rPr>
          <w:rFonts w:hint="eastAsia" w:ascii="仿宋_GB2312" w:hAnsi="仿宋_GB2312" w:eastAsia="仿宋_GB2312" w:cs="仿宋_GB2312"/>
          <w:b w:val="0"/>
          <w:bCs w:val="0"/>
          <w:sz w:val="32"/>
          <w:szCs w:val="32"/>
          <w:lang w:val="en-US" w:eastAsia="zh-CN"/>
        </w:rPr>
        <w:t>公务接待费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100</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发生</w:t>
      </w:r>
      <w:r>
        <w:rPr>
          <w:rFonts w:hint="eastAsia" w:ascii="仿宋_GB2312" w:hAnsi="Times New Roman" w:eastAsia="仿宋_GB2312" w:cs="Wingdings"/>
          <w:sz w:val="32"/>
          <w:szCs w:val="32"/>
        </w:rPr>
        <w:t>公务接待共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批次、</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人次。</w:t>
      </w:r>
      <w:r>
        <w:rPr>
          <w:rFonts w:hint="eastAsia" w:ascii="仿宋_GB2312" w:hAnsi="Times New Roman" w:eastAsia="仿宋_GB2312" w:cs="DengXian-Regular"/>
          <w:sz w:val="32"/>
          <w:szCs w:val="32"/>
        </w:rPr>
        <w:t>公务接待费支出较预算减少0万元，降低0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；较上年度减少0万元，降低0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580" w:lineRule="exact"/>
        <w:ind w:firstLine="640" w:firstLineChars="200"/>
        <w:rPr>
          <w:rFonts w:hint="default"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lang w:val="en-US" w:eastAsia="zh-CN"/>
        </w:rPr>
        <w:t>我单位本年度没有项目支出，不需进行项目绩效评价。</w:t>
      </w:r>
    </w:p>
    <w:p>
      <w:pPr>
        <w:numPr>
          <w:ilvl w:val="0"/>
          <w:numId w:val="2"/>
        </w:numPr>
        <w:adjustRightInd w:val="0"/>
        <w:snapToGrid w:val="0"/>
        <w:spacing w:line="600" w:lineRule="exact"/>
        <w:ind w:left="0" w:leftChars="0"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部门决算中项目绩效自评结果。</w:t>
      </w:r>
    </w:p>
    <w:p>
      <w:pPr>
        <w:adjustRightInd w:val="0"/>
        <w:snapToGrid w:val="0"/>
        <w:spacing w:line="580" w:lineRule="exact"/>
        <w:ind w:firstLine="640" w:firstLineChars="200"/>
        <w:rPr>
          <w:rFonts w:hint="eastAsia" w:ascii="楷体_GB2312" w:hAnsi="楷体_GB2312" w:eastAsia="楷体_GB2312" w:cs="楷体_GB2312"/>
          <w:b/>
          <w:bCs/>
          <w:sz w:val="32"/>
          <w:szCs w:val="32"/>
          <w:lang w:val="en-US" w:eastAsia="zh-CN"/>
        </w:rPr>
      </w:pPr>
      <w:r>
        <w:rPr>
          <w:rFonts w:hint="eastAsia" w:ascii="仿宋_GB2312" w:hAnsi="Times New Roman" w:eastAsia="仿宋_GB2312" w:cs="DengXian-Regular"/>
          <w:sz w:val="32"/>
          <w:szCs w:val="32"/>
          <w:lang w:val="en-US" w:eastAsia="zh-CN"/>
        </w:rPr>
        <w:t>我单位本年度没有项目支出，不需进行项目绩效评价。</w:t>
      </w:r>
    </w:p>
    <w:p>
      <w:pPr>
        <w:numPr>
          <w:ilvl w:val="0"/>
          <w:numId w:val="2"/>
        </w:numPr>
        <w:adjustRightInd w:val="0"/>
        <w:snapToGrid w:val="0"/>
        <w:spacing w:line="600" w:lineRule="exact"/>
        <w:ind w:left="0" w:leftChars="0"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财政评价项目绩效评价结果</w:t>
      </w:r>
    </w:p>
    <w:p>
      <w:pPr>
        <w:numPr>
          <w:ilvl w:val="0"/>
          <w:numId w:val="0"/>
        </w:numPr>
        <w:adjustRightInd w:val="0"/>
        <w:snapToGrid w:val="0"/>
        <w:spacing w:line="600" w:lineRule="exact"/>
        <w:ind w:leftChars="200"/>
        <w:rPr>
          <w:rFonts w:hint="default"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 xml:space="preserve">  </w:t>
      </w:r>
      <w:r>
        <w:rPr>
          <w:rFonts w:hint="eastAsia" w:ascii="楷体_GB2312" w:hAnsi="楷体_GB2312" w:eastAsia="楷体_GB2312" w:cs="楷体_GB2312"/>
          <w:b w:val="0"/>
          <w:bCs w:val="0"/>
          <w:sz w:val="32"/>
          <w:szCs w:val="32"/>
          <w:lang w:val="en-US" w:eastAsia="zh-CN"/>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58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358.77</w:t>
      </w:r>
      <w:r>
        <w:rPr>
          <w:rFonts w:hint="eastAsia" w:ascii="仿宋_GB2312" w:hAnsi="仿宋_GB2312" w:eastAsia="仿宋_GB2312" w:cs="仿宋_GB2312"/>
          <w:sz w:val="32"/>
          <w:szCs w:val="32"/>
        </w:rPr>
        <w:t>万元，比2019年度增加</w:t>
      </w:r>
      <w:r>
        <w:rPr>
          <w:rFonts w:hint="eastAsia" w:ascii="仿宋_GB2312" w:hAnsi="仿宋_GB2312" w:eastAsia="仿宋_GB2312" w:cs="仿宋_GB2312"/>
          <w:sz w:val="32"/>
          <w:szCs w:val="32"/>
          <w:lang w:val="en-US" w:eastAsia="zh-CN"/>
        </w:rPr>
        <w:t>201.59</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128.25</w:t>
      </w:r>
      <w:r>
        <w:rPr>
          <w:rFonts w:hint="eastAsia" w:ascii="仿宋_GB2312" w:hAnsi="仿宋_GB2312" w:eastAsia="仿宋_GB2312" w:cs="仿宋_GB2312"/>
          <w:sz w:val="32"/>
          <w:szCs w:val="32"/>
        </w:rPr>
        <w:t>%。主要原因是</w:t>
      </w:r>
      <w:r>
        <w:rPr>
          <w:rFonts w:hint="eastAsia" w:ascii="仿宋_GB2312" w:eastAsia="仿宋_GB2312" w:cs="DengXian-Regular"/>
          <w:sz w:val="32"/>
          <w:szCs w:val="32"/>
          <w:highlight w:val="none"/>
          <w:lang w:val="en-US" w:eastAsia="zh-CN"/>
        </w:rPr>
        <w:t>审计项目增多，协审费用增加</w:t>
      </w:r>
      <w:r>
        <w:rPr>
          <w:rFonts w:hint="eastAsia" w:ascii="仿宋_GB2312" w:eastAsia="仿宋_GB2312" w:cs="DengXian-Regular"/>
          <w:sz w:val="32"/>
          <w:szCs w:val="32"/>
          <w:highlight w:val="none"/>
        </w:rPr>
        <w:t>。</w:t>
      </w:r>
    </w:p>
    <w:p>
      <w:pPr>
        <w:keepNext/>
        <w:keepLines/>
        <w:snapToGrid w:val="0"/>
        <w:spacing w:line="60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t>八、政府采购情况</w:t>
      </w:r>
    </w:p>
    <w:p>
      <w:pPr>
        <w:snapToGrid w:val="0"/>
        <w:spacing w:line="580" w:lineRule="exact"/>
        <w:ind w:firstLine="640" w:firstLineChars="200"/>
        <w:jc w:val="left"/>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w:t>
      </w:r>
      <w:r>
        <w:rPr>
          <w:rFonts w:hint="eastAsia" w:ascii="仿宋_GB2312" w:hAnsi="Times New Roman" w:eastAsia="仿宋_GB2312" w:cs="DengXian-Regular"/>
          <w:sz w:val="32"/>
          <w:szCs w:val="32"/>
          <w:lang w:val="en-US" w:eastAsia="zh-CN"/>
        </w:rPr>
        <w:t>20</w:t>
      </w:r>
      <w:r>
        <w:rPr>
          <w:rFonts w:hint="eastAsia" w:ascii="仿宋_GB2312" w:hAnsi="Times New Roman" w:eastAsia="仿宋_GB2312" w:cs="DengXian-Regular"/>
          <w:sz w:val="32"/>
          <w:szCs w:val="32"/>
        </w:rPr>
        <w:t>年度政府采购支出总额0万元，从采购类型来看，</w:t>
      </w:r>
      <w:r>
        <w:rPr>
          <w:rFonts w:hint="eastAsia" w:ascii="仿宋_GB2312" w:hAnsi="仿宋_GB2312" w:eastAsia="仿宋_GB2312" w:cs="仿宋_GB2312"/>
          <w:color w:val="000000"/>
          <w:kern w:val="0"/>
          <w:sz w:val="32"/>
          <w:szCs w:val="32"/>
        </w:rPr>
        <w:t>政府采购货物支出0万元、政府采购工程支出0万元、政府采购服务支出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rPr>
        <w:t>0万元。授予中小企业合同金0万元，占政府采购支出总额的0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，其中授予小微企业合同金额0万元，占政府采购支出总额的0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r>
        <w:rPr>
          <w:rFonts w:hint="eastAsia" w:ascii="仿宋_GB2312" w:hAnsi="仿宋_GB2312" w:eastAsia="仿宋_GB2312" w:cs="仿宋_GB2312"/>
          <w:sz w:val="32"/>
          <w:szCs w:val="32"/>
        </w:rPr>
        <w:t>截至2020年12月31日，本部门</w:t>
      </w:r>
      <w:r>
        <w:rPr>
          <w:rFonts w:hint="eastAsia" w:ascii="仿宋_GB2312" w:hAnsi="Times New Roman" w:eastAsia="仿宋_GB2312" w:cs="DengXian-Regular"/>
          <w:sz w:val="32"/>
          <w:szCs w:val="32"/>
        </w:rPr>
        <w:t>共有车辆</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val="en-US" w:eastAsia="zh-CN"/>
        </w:rPr>
        <w:t>与上年持平</w:t>
      </w:r>
      <w:r>
        <w:rPr>
          <w:rFonts w:hint="eastAsia" w:ascii="仿宋_GB2312" w:hAnsi="Times New Roman" w:eastAsia="仿宋_GB2312" w:cs="DengXian-Regular"/>
          <w:sz w:val="32"/>
          <w:szCs w:val="32"/>
        </w:rPr>
        <w:t>。其中，应急保障用车</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eastAsia="zh-CN"/>
        </w:rPr>
        <w:t>。</w:t>
      </w:r>
    </w:p>
    <w:p>
      <w:pPr>
        <w:adjustRightInd w:val="0"/>
        <w:snapToGrid w:val="0"/>
        <w:spacing w:line="580" w:lineRule="exact"/>
        <w:ind w:firstLine="640" w:firstLineChars="200"/>
        <w:rPr>
          <w:rFonts w:ascii="仿宋_GB2312" w:hAnsi="仿宋_GB2312" w:eastAsia="仿宋_GB2312" w:cs="仿宋_GB2312"/>
          <w:b/>
          <w:bCs/>
          <w:sz w:val="32"/>
          <w:szCs w:val="32"/>
        </w:rPr>
      </w:pP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与上年持平</w:t>
      </w:r>
      <w:r>
        <w:rPr>
          <w:rFonts w:hint="eastAsia" w:ascii="仿宋_GB2312" w:hAnsi="Times New Roman" w:eastAsia="仿宋_GB2312" w:cs="DengXian-Regular"/>
          <w:sz w:val="32"/>
          <w:szCs w:val="32"/>
        </w:rPr>
        <w:t>。位价值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与上年持平</w:t>
      </w:r>
      <w:r>
        <w:rPr>
          <w:rFonts w:hint="eastAsia" w:ascii="仿宋_GB2312" w:hAnsi="Times New Roman" w:eastAsia="仿宋_GB2312" w:cs="DengXian-Regular"/>
          <w:sz w:val="32"/>
          <w:szCs w:val="32"/>
          <w:lang w:eastAsia="zh-CN"/>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w:t>
      </w:r>
      <w:r>
        <w:rPr>
          <w:rFonts w:hint="eastAsia" w:ascii="仿宋_GB2312" w:hAnsi="Times New Roman" w:eastAsia="仿宋_GB2312" w:cs="DengXian-Regular"/>
          <w:sz w:val="32"/>
          <w:szCs w:val="32"/>
          <w:lang w:val="en-US" w:eastAsia="zh-CN"/>
        </w:rPr>
        <w:t>政府性基金、国有资本经营预算</w:t>
      </w:r>
      <w:r>
        <w:rPr>
          <w:rFonts w:hint="eastAsia" w:ascii="仿宋_GB2312" w:hAnsi="仿宋_GB2312" w:eastAsia="仿宋_GB2312" w:cs="仿宋_GB2312"/>
          <w:sz w:val="32"/>
          <w:szCs w:val="32"/>
        </w:rPr>
        <w:t>收支及结转结余情况，</w:t>
      </w:r>
      <w:r>
        <w:rPr>
          <w:rFonts w:hint="eastAsia" w:ascii="仿宋_GB2312" w:hAnsi="Times New Roman" w:eastAsia="仿宋_GB2312" w:cs="DengXian-Regular"/>
          <w:sz w:val="32"/>
          <w:szCs w:val="32"/>
        </w:rPr>
        <w:t>故</w:t>
      </w:r>
      <w:r>
        <w:rPr>
          <w:rFonts w:hint="eastAsia" w:ascii="仿宋_GB2312" w:hAnsi="Times New Roman" w:eastAsia="仿宋_GB2312" w:cs="DengXian-Regular"/>
          <w:sz w:val="32"/>
          <w:szCs w:val="32"/>
          <w:lang w:val="en-US" w:eastAsia="zh-CN"/>
        </w:rPr>
        <w:t>8.9</w:t>
      </w:r>
      <w:r>
        <w:rPr>
          <w:rFonts w:hint="eastAsia" w:ascii="仿宋_GB2312" w:hAnsi="Times New Roman" w:eastAsia="仿宋_GB2312" w:cs="DengXian-Regular"/>
          <w:sz w:val="32"/>
          <w:szCs w:val="32"/>
        </w:rPr>
        <w:t>表以空表列示。</w:t>
      </w:r>
    </w:p>
    <w:p>
      <w:pPr>
        <w:adjustRightInd w:val="0"/>
        <w:snapToGrid w:val="0"/>
        <w:spacing w:line="600" w:lineRule="exact"/>
        <w:ind w:firstLine="640" w:firstLineChars="200"/>
        <w:rPr>
          <w:rFonts w:ascii="仿宋_GB2312" w:hAnsi="宋体" w:eastAsia="仿宋_GB2312" w:cs="Arial Black"/>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3"/>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pPr>
    </w:p>
    <w:p>
      <w:pPr>
        <w:rPr>
          <w:rFonts w:ascii="黑体" w:hAnsi="黑体" w:eastAsia="黑体" w:cs="黑体"/>
          <w:sz w:val="56"/>
          <w:szCs w:val="72"/>
        </w:rPr>
        <w:sectPr>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5408"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5408;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3"/>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W w:w="7355"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776"/>
        <w:gridCol w:w="536"/>
        <w:gridCol w:w="696"/>
        <w:gridCol w:w="2616"/>
        <w:gridCol w:w="536"/>
        <w:gridCol w:w="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7355" w:type="dxa"/>
            <w:gridSpan w:val="6"/>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gridSpan w:val="3"/>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公开01表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部门：保定市满城区审计局</w:t>
            </w: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gridSpan w:val="3"/>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收入</w:t>
            </w:r>
          </w:p>
        </w:tc>
        <w:tc>
          <w:tcPr>
            <w:tcW w:w="0" w:type="auto"/>
            <w:gridSpan w:val="3"/>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行次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行次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一、一般公共预算财政拨款收入</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一、一般公共服务支出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556.61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二、政府性基金预算财政拨款收入</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二、外交支出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三、国有资本经营预算财政拨款收入</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三、国防支出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四、上级补助收入</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四、公共安全支出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五、事业收入</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五、教育支出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六、经营收入</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六、科学技术支出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七、附属单位上缴收入</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七、文化旅游体育与传媒支出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八、其他收入</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八、社会保障和就业支出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九、卫生健康支出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十、节能环保支出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十一、城乡社区支出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十二、农林水支出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十三、交通运输支出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十四、资源勘探工业信息等支出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十五、商业服务业等支出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十六、金融支出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十七、援助其他地区支出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十八、自然资源海洋气象等支出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十九、住房保障支出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二十、粮油物资储备支出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二十一、国有资本经营预算支出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二十二、灾害防治及应急管理支出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二十三、其他支出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二十四、债务还本支出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二十五、债务付息支出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二十六、抗疫特别国债安排的支出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本年收入合计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本年支出合计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使用非财政拨款结余</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结余分配</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年初结转和结余</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年末结转和结余</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61</w:t>
            </w: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总计</w:t>
            </w:r>
          </w:p>
        </w:tc>
        <w:tc>
          <w:tcPr>
            <w:tcW w:w="0" w:type="auto"/>
            <w:tcBorders>
              <w:top w:val="nil"/>
              <w:left w:val="nil"/>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总计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637.08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6"/>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注：本表反映部门本年度的总收支和年末结转结余情况。</w:t>
            </w:r>
          </w:p>
        </w:tc>
      </w:tr>
    </w:tbl>
    <w:p>
      <w:pPr>
        <w:jc w:val="left"/>
      </w:pPr>
    </w:p>
    <w:tbl>
      <w:tblPr>
        <w:tblStyle w:val="5"/>
        <w:tblW w:w="6840"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36"/>
        <w:gridCol w:w="222"/>
        <w:gridCol w:w="222"/>
        <w:gridCol w:w="2936"/>
        <w:gridCol w:w="700"/>
        <w:gridCol w:w="700"/>
        <w:gridCol w:w="336"/>
        <w:gridCol w:w="336"/>
        <w:gridCol w:w="336"/>
        <w:gridCol w:w="336"/>
        <w:gridCol w:w="3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6841" w:type="dxa"/>
            <w:gridSpan w:val="11"/>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gridSpan w:val="4"/>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公开02表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部门：保定市满城区审计局</w:t>
            </w: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16"/>
                <w:szCs w:val="16"/>
                <w:u w:val="none"/>
              </w:rPr>
            </w:pPr>
          </w:p>
        </w:tc>
        <w:tc>
          <w:tcPr>
            <w:tcW w:w="0" w:type="auto"/>
            <w:gridSpan w:val="4"/>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项目</w:t>
            </w:r>
          </w:p>
        </w:tc>
        <w:tc>
          <w:tcPr>
            <w:tcW w:w="882"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本年收入合计</w:t>
            </w:r>
          </w:p>
        </w:tc>
        <w:tc>
          <w:tcPr>
            <w:tcW w:w="943"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财政拨款收入</w:t>
            </w:r>
          </w:p>
        </w:tc>
        <w:tc>
          <w:tcPr>
            <w:tcW w:w="480"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上级补助收入</w:t>
            </w:r>
          </w:p>
        </w:tc>
        <w:tc>
          <w:tcPr>
            <w:tcW w:w="445"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事业收入</w:t>
            </w:r>
          </w:p>
        </w:tc>
        <w:tc>
          <w:tcPr>
            <w:tcW w:w="394"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经营收入</w:t>
            </w:r>
          </w:p>
        </w:tc>
        <w:tc>
          <w:tcPr>
            <w:tcW w:w="677"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附属单位上缴收入</w:t>
            </w:r>
          </w:p>
        </w:tc>
        <w:tc>
          <w:tcPr>
            <w:tcW w:w="531"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78" w:type="dxa"/>
            <w:gridSpan w:val="3"/>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科目名称</w:t>
            </w:r>
          </w:p>
        </w:tc>
        <w:tc>
          <w:tcPr>
            <w:tcW w:w="882"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943"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48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44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394"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677"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531"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 w:hRule="atLeast"/>
        </w:trPr>
        <w:tc>
          <w:tcPr>
            <w:tcW w:w="878"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2"/>
                <w:szCs w:val="12"/>
                <w:u w:val="none"/>
              </w:rPr>
            </w:pPr>
          </w:p>
        </w:tc>
        <w:tc>
          <w:tcPr>
            <w:tcW w:w="882"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943"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480"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44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394"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677"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c>
          <w:tcPr>
            <w:tcW w:w="531"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2"/>
                <w:szCs w:val="1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栏次</w:t>
            </w:r>
          </w:p>
        </w:tc>
        <w:tc>
          <w:tcPr>
            <w:tcW w:w="88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94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48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44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39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67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53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一般公共服务支出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556.61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556.61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20108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审计事务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556.61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556.61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2010801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行政运行</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204.55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204.55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2010804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审计业务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347.06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347.06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2010805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审计管理</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社会保障和就业支出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53.22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53.22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20805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行政事业单位养老支出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53.22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53.22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2080501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行政单位离退休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6.95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6.95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2080505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37.36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37.36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2080506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机关事业单位职业年金缴费支出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8.91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8.91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卫生健康支出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21011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行政事业单位医疗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2101101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行政单位医疗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住房保障支出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住房改革支出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2210201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住房公积金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11"/>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注：本表反映部门本年度取得的各项收入情况。</w:t>
            </w:r>
          </w:p>
        </w:tc>
      </w:tr>
    </w:tbl>
    <w:p>
      <w:r>
        <w:br w:type="page"/>
      </w:r>
    </w:p>
    <w:p>
      <w:pPr>
        <w:sectPr>
          <w:pgSz w:w="11906" w:h="16838"/>
          <w:pgMar w:top="2098" w:right="1531" w:bottom="1984" w:left="1531" w:header="851" w:footer="992" w:gutter="0"/>
          <w:cols w:space="425" w:num="1"/>
          <w:docGrid w:type="lines" w:linePitch="312" w:charSpace="0"/>
        </w:sectPr>
      </w:pPr>
    </w:p>
    <w:p/>
    <w:tbl>
      <w:tblPr>
        <w:tblStyle w:val="5"/>
        <w:tblW w:w="7938"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29"/>
        <w:gridCol w:w="329"/>
        <w:gridCol w:w="329"/>
        <w:gridCol w:w="3956"/>
        <w:gridCol w:w="882"/>
        <w:gridCol w:w="882"/>
        <w:gridCol w:w="436"/>
        <w:gridCol w:w="436"/>
        <w:gridCol w:w="436"/>
        <w:gridCol w:w="4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7942" w:type="dxa"/>
            <w:gridSpan w:val="10"/>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gridSpan w:val="4"/>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公开03表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0" w:type="auto"/>
            <w:gridSpan w:val="6"/>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部门：保定市满城区审计局</w:t>
            </w:r>
          </w:p>
        </w:tc>
        <w:tc>
          <w:tcPr>
            <w:tcW w:w="0" w:type="auto"/>
            <w:gridSpan w:val="4"/>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1131"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本年支出合计</w:t>
            </w:r>
          </w:p>
        </w:tc>
        <w:tc>
          <w:tcPr>
            <w:tcW w:w="1088"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565"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547"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上缴上级支出</w:t>
            </w:r>
          </w:p>
        </w:tc>
        <w:tc>
          <w:tcPr>
            <w:tcW w:w="556"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经营支出</w:t>
            </w:r>
          </w:p>
        </w:tc>
        <w:tc>
          <w:tcPr>
            <w:tcW w:w="728" w:type="dxa"/>
            <w:vMerge w:val="restar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7" w:type="dxa"/>
            <w:gridSpan w:val="3"/>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1131"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8"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6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47"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6"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7"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1"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8"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6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47"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6"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7"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1"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88"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65"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47"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556"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28" w:type="dxa"/>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113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8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565"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54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556"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28"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一般公共服务支出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556.61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556.61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审计事务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556.61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556.61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2010801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204.55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204.55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2010804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审计业务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347.06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347.06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2010805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审计管理</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53.22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53.22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53.22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53.22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37.36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37.36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卫生健康支出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住房保障支出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住房改革支出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注：本表反映部门本年度各项支出情况。</w:t>
            </w:r>
          </w:p>
        </w:tc>
      </w:tr>
    </w:tbl>
    <w:p>
      <w:r>
        <w:br w:type="page"/>
      </w:r>
    </w:p>
    <w:p/>
    <w:tbl>
      <w:tblPr>
        <w:tblStyle w:val="5"/>
        <w:tblW w:w="8580"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71"/>
        <w:gridCol w:w="389"/>
        <w:gridCol w:w="736"/>
        <w:gridCol w:w="2818"/>
        <w:gridCol w:w="389"/>
        <w:gridCol w:w="736"/>
        <w:gridCol w:w="736"/>
        <w:gridCol w:w="343"/>
        <w:gridCol w:w="3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8587" w:type="dxa"/>
            <w:gridSpan w:val="9"/>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gridSpan w:val="4"/>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48" w:hRule="atLeast"/>
        </w:trPr>
        <w:tc>
          <w:tcPr>
            <w:tcW w:w="0" w:type="auto"/>
            <w:gridSpan w:val="4"/>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部门：保定市满城区审计局</w:t>
            </w: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gridSpan w:val="4"/>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收     入</w:t>
            </w:r>
          </w:p>
        </w:tc>
        <w:tc>
          <w:tcPr>
            <w:tcW w:w="0" w:type="auto"/>
            <w:gridSpan w:val="6"/>
            <w:tcBorders>
              <w:top w:val="single" w:color="000000" w:sz="4" w:space="0"/>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     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1808"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w:t>
            </w:r>
          </w:p>
        </w:tc>
        <w:tc>
          <w:tcPr>
            <w:tcW w:w="454"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行次</w:t>
            </w:r>
          </w:p>
        </w:tc>
        <w:tc>
          <w:tcPr>
            <w:tcW w:w="891"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w:t>
            </w:r>
          </w:p>
        </w:tc>
        <w:tc>
          <w:tcPr>
            <w:tcW w:w="1834"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w:t>
            </w:r>
          </w:p>
        </w:tc>
        <w:tc>
          <w:tcPr>
            <w:tcW w:w="480"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行次</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合计</w:t>
            </w:r>
          </w:p>
        </w:tc>
        <w:tc>
          <w:tcPr>
            <w:tcW w:w="892"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一般公共预算财政拨款</w:t>
            </w:r>
          </w:p>
        </w:tc>
        <w:tc>
          <w:tcPr>
            <w:tcW w:w="703"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政府性基金预算财政拨款</w:t>
            </w:r>
          </w:p>
        </w:tc>
        <w:tc>
          <w:tcPr>
            <w:tcW w:w="711"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9" w:hRule="atLeast"/>
        </w:trPr>
        <w:tc>
          <w:tcPr>
            <w:tcW w:w="1808" w:type="dxa"/>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454"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891"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834"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480"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16"/>
                <w:szCs w:val="16"/>
                <w:u w:val="none"/>
              </w:rPr>
            </w:pPr>
          </w:p>
        </w:tc>
        <w:tc>
          <w:tcPr>
            <w:tcW w:w="892"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03"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711"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一、一般公共预算财政拨款</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一、一般公共服务支出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556.61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556.61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二、政府性基金预算财政拨款</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二、外交支出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三、国有资本经营财政拨款</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三、国防支出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四、公共安全支出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五、教育支出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六、科学技术支出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七、文化旅游体育与传媒支出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八、社会保障和就业支出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53.22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53.22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九、卫生健康支出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十、节能环保支出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十一、城乡社区支出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十二、农林水支出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十三、交通运输支出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十四、资源勘探工业信息等支出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十五、商业服务业等支出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十六、金融支出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十七、援助其他地区支出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十八、自然资源海洋气象等支出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十九、住房保障支出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二十、粮油物资储备支出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二十一、国有资本经营预算支出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二十二、灾害防治及应急管理支出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二十三、其他支出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二十四、债务还本支出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二十五、债务付息支出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0"/>
                <w:szCs w:val="20"/>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二十六、抗疫特别国债安排的支出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本年收入合计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本年支出合计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年初财政拨款结转和结余</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年末财政拨款结转和结余</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一般公共预算财政拨款</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政府性基金预算财政拨款</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国有资本经营预算财政拨款</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总计</w:t>
            </w:r>
          </w:p>
        </w:tc>
        <w:tc>
          <w:tcPr>
            <w:tcW w:w="0" w:type="auto"/>
            <w:tcBorders>
              <w:top w:val="nil"/>
              <w:left w:val="nil"/>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总计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2"/>
                <w:szCs w:val="12"/>
                <w:u w:val="none"/>
              </w:rPr>
            </w:pPr>
            <w:r>
              <w:rPr>
                <w:rFonts w:hint="eastAsia" w:ascii="宋体" w:hAnsi="宋体" w:eastAsia="宋体" w:cs="宋体"/>
                <w:i w:val="0"/>
                <w:iCs w:val="0"/>
                <w:color w:val="000000"/>
                <w:kern w:val="0"/>
                <w:sz w:val="12"/>
                <w:szCs w:val="12"/>
                <w:u w:val="none"/>
                <w:lang w:val="en-US" w:eastAsia="zh-CN" w:bidi="ar"/>
              </w:rPr>
              <w:t>注：本表反映部门本年度一般公共预算财政拨款、政府性基金预算财政拨款和国有资本经营预算财政拨款的总收支和年末结转结余情况。</w:t>
            </w:r>
          </w:p>
        </w:tc>
        <w:tc>
          <w:tcPr>
            <w:tcW w:w="0" w:type="auto"/>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000000"/>
                <w:sz w:val="12"/>
                <w:szCs w:val="12"/>
                <w:u w:val="none"/>
              </w:rPr>
            </w:pPr>
          </w:p>
        </w:tc>
      </w:tr>
    </w:tbl>
    <w:p/>
    <w:tbl>
      <w:tblPr>
        <w:tblStyle w:val="5"/>
        <w:tblW w:w="6009" w:type="dxa"/>
        <w:tblInd w:w="9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28"/>
        <w:gridCol w:w="221"/>
        <w:gridCol w:w="221"/>
        <w:gridCol w:w="3352"/>
        <w:gridCol w:w="774"/>
        <w:gridCol w:w="774"/>
        <w:gridCol w:w="13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6011" w:type="dxa"/>
            <w:gridSpan w:val="7"/>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公开05表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部门：保定市满城区审计局</w:t>
            </w: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2890" w:type="dxa"/>
            <w:gridSpan w:val="3"/>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7" w:type="dxa"/>
            <w:gridSpan w:val="3"/>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1132"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132"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626" w:type="dxa"/>
            <w:vMerge w:val="restar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1047"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2"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32"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2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7" w:type="dxa"/>
            <w:gridSpan w:val="3"/>
            <w:vMerge w:val="continue"/>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132"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132"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626" w:type="dxa"/>
            <w:vMerge w:val="continue"/>
            <w:tcBorders>
              <w:top w:val="nil"/>
              <w:left w:val="nil"/>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637.08</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一般公共服务支出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556.61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556.61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审计事务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556.61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556.61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2010801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204.55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204.55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2010804</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审计业务</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347.06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347.06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2010805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审计管理</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53.22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53.22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53.22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53.22</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行政单位离退休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6.95</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2080505</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37.36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37.36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2080506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8.91</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卫生健康支出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行政事业单位医疗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2101101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13.66</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住房保障支出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住房改革支出</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2210201</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13.60</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注：本表反映部门本年度一般公共预算财政拨款支出情况。</w:t>
            </w:r>
          </w:p>
        </w:tc>
      </w:tr>
    </w:tbl>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271.37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343.48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136.34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10.10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25.29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16.18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15.29</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20.04</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0.51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15.29</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37.36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1.04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8.91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5.64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13.66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0.29</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13.60</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6.95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6.95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315.24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2.50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8.16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278.32</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358.77</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2.58</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0.08</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Cs w:val="22"/>
                <w:lang w:val="en-US" w:eastAsia="zh-CN"/>
              </w:rPr>
            </w:pPr>
            <w:r>
              <w:rPr>
                <w:rFonts w:hint="eastAsia" w:ascii="宋体" w:hAnsi="宋体" w:eastAsia="宋体" w:cs="宋体"/>
                <w:color w:val="000000"/>
                <w:szCs w:val="22"/>
                <w:lang w:val="en-US" w:eastAsia="zh-CN"/>
              </w:rPr>
              <w:t>2.50</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966"/>
        <w:gridCol w:w="61"/>
        <w:gridCol w:w="61"/>
        <w:gridCol w:w="1407"/>
        <w:gridCol w:w="1169"/>
        <w:gridCol w:w="1169"/>
        <w:gridCol w:w="1169"/>
        <w:gridCol w:w="1169"/>
        <w:gridCol w:w="1169"/>
        <w:gridCol w:w="1170"/>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r>
        <w:rPr>
          <w:rFonts w:hint="eastAsia"/>
        </w:rPr>
        <w:t>本部门本年度无收支及结转结余情况，按要求以空表列示。</w:t>
      </w:r>
      <w:r>
        <w:rPr>
          <w:b/>
          <w:sz w:val="20"/>
          <w:szCs w:val="22"/>
          <w:highlight w:val="yellow"/>
        </w:rPr>
        <w:br w:type="page"/>
      </w: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ascii="黑体" w:hAnsi="黑体" w:eastAsia="黑体" w:cs="黑体"/>
          <w:sz w:val="56"/>
          <w:szCs w:val="72"/>
        </w:rPr>
      </w:pPr>
      <w:r>
        <w:rPr>
          <w:rFonts w:hint="eastAsia"/>
        </w:rPr>
        <w:t>本部门本年度无收支及结转结余情况，按要求以空表列示。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4384"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4384;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ArialUnicodeMS">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2AF" w:usb1="01D77CFB" w:usb2="00000012" w:usb3="00000000" w:csb0="00080001" w:csb1="00000000"/>
  </w:font>
  <w:font w:name="Cambria">
    <w:panose1 w:val="02040503050406030204"/>
    <w:charset w:val="00"/>
    <w:family w:val="roman"/>
    <w:pitch w:val="default"/>
    <w:sig w:usb0="E00002FF" w:usb1="400004FF" w:usb2="00000000" w:usb3="00000000" w:csb0="2000019F" w:csb1="00000000"/>
  </w:font>
  <w:font w:name="DengXian-Regular">
    <w:altName w:val="宋体"/>
    <w:panose1 w:val="00000000000000000000"/>
    <w:charset w:val="86"/>
    <w:family w:val="auto"/>
    <w:pitch w:val="default"/>
    <w:sig w:usb0="00000000" w:usb1="00000000" w:usb2="00000010" w:usb3="00000000" w:csb0="00040000" w:csb1="00000000"/>
  </w:font>
  <w:font w:name="Mongolian Baiti">
    <w:panose1 w:val="03000500000000000000"/>
    <w:charset w:val="00"/>
    <w:family w:val="script"/>
    <w:pitch w:val="default"/>
    <w:sig w:usb0="80000023" w:usb1="00000000" w:usb2="00020000" w:usb3="00000000" w:csb0="00000001" w:csb1="00000000"/>
  </w:font>
  <w:font w:name="DengXian-Bold">
    <w:altName w:val="宋体"/>
    <w:panose1 w:val="00000000000000000000"/>
    <w:charset w:val="86"/>
    <w:family w:val="auto"/>
    <w:pitch w:val="default"/>
    <w:sig w:usb0="00000000" w:usb1="00000000" w:usb2="00000010" w:usb3="00000000" w:csb0="00040000" w:csb1="00000000"/>
  </w:font>
  <w:font w:name="TimesNewRomanPSMT">
    <w:altName w:val="Arial"/>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7B173968"/>
    <w:multiLevelType w:val="singleLevel"/>
    <w:tmpl w:val="7B173968"/>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18668E"/>
    <w:rsid w:val="001B73D2"/>
    <w:rsid w:val="001E62BF"/>
    <w:rsid w:val="00293E7B"/>
    <w:rsid w:val="002D1F4F"/>
    <w:rsid w:val="00366D90"/>
    <w:rsid w:val="003D678E"/>
    <w:rsid w:val="00801F66"/>
    <w:rsid w:val="009334BF"/>
    <w:rsid w:val="058B71E0"/>
    <w:rsid w:val="0EA325C9"/>
    <w:rsid w:val="11012186"/>
    <w:rsid w:val="2CF34AD3"/>
    <w:rsid w:val="2F742BE7"/>
    <w:rsid w:val="2FB96948"/>
    <w:rsid w:val="3327616A"/>
    <w:rsid w:val="34C45458"/>
    <w:rsid w:val="35C83C42"/>
    <w:rsid w:val="495B3187"/>
    <w:rsid w:val="5D0C63C4"/>
    <w:rsid w:val="73D824BD"/>
    <w:rsid w:val="77EB7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bmp"/><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0</TotalTime>
  <ScaleCrop>false</ScaleCrop>
  <LinksUpToDate>false</LinksUpToDate>
  <CharactersWithSpaces>11585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adizuo</cp:lastModifiedBy>
  <dcterms:modified xsi:type="dcterms:W3CDTF">2022-03-12T01:21:50Z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65FA352BAB5146309CB066C800874C19</vt:lpwstr>
  </property>
</Properties>
</file>