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bookmarkStart w:id="0" w:name="_GoBack"/>
      <w:bookmarkEnd w:id="0"/>
      <w:r>
        <w:pict>
          <v:shape id="图片 7" o:spid="_x0000_s1026" o:spt="75" alt="wc ga" type="#_x0000_t75" style="position:absolute;left:0pt;margin-left:-78.75pt;margin-top:-106.7pt;height:850.15pt;width:596.6pt;z-index:-251657216;mso-width-relative:page;mso-height-relative:page;" filled="f" o:preferrelative="t" stroked="f" coordsize="21600,21600">
            <v:path/>
            <v:fill on="f" focussize="0,0"/>
            <v:stroke on="f" joinstyle="miter"/>
            <v:imagedata r:id="rId6" o:title=""/>
            <o:lock v:ext="edit" aspectratio="t"/>
          </v:shape>
        </w:pict>
      </w:r>
    </w:p>
    <w:p>
      <w:pPr>
        <w:widowControl/>
        <w:jc w:val="center"/>
        <w:rPr>
          <w:rFonts w:ascii="黑体" w:hAnsi="宋体" w:eastAsia="黑体"/>
          <w:color w:val="002060"/>
          <w:sz w:val="72"/>
          <w:szCs w:val="72"/>
        </w:rPr>
      </w:pPr>
      <w:r>
        <w:pict>
          <v:shape id="文本框 8" o:spid="_x0000_s1027" o:spt="202" type="#_x0000_t202" style="position:absolute;left:0pt;margin-left:-83.1pt;margin-top:43.25pt;height:166.25pt;width:596.2pt;z-index:251660288;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hint="eastAsia" w:ascii="黑体" w:hAnsi="宋体" w:eastAsia="黑体"/>
                      <w:color w:val="FDEFBE"/>
                      <w:sz w:val="96"/>
                      <w:szCs w:val="96"/>
                      <w:lang w:eastAsia="zh-CN"/>
                    </w:rPr>
                  </w:pPr>
                  <w:r>
                    <w:rPr>
                      <w:rFonts w:hint="eastAsia" w:ascii="黑体" w:hAnsi="宋体" w:eastAsia="黑体"/>
                      <w:color w:val="FDEFBE"/>
                      <w:sz w:val="96"/>
                      <w:szCs w:val="96"/>
                      <w:lang w:eastAsia="zh-CN"/>
                    </w:rPr>
                    <w:t>保定市满城区坨南乡</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3092" w:firstLineChars="700"/>
        <w:rPr>
          <w:rFonts w:ascii="楷体" w:hAnsi="楷体" w:eastAsia="楷体" w:cs="楷体"/>
          <w:b/>
          <w:sz w:val="44"/>
          <w:szCs w:val="44"/>
        </w:rPr>
      </w:pPr>
      <w:r>
        <w:rPr>
          <w:rFonts w:hint="eastAsia" w:ascii="楷体" w:hAnsi="楷体" w:eastAsia="楷体" w:cs="楷体"/>
          <w:b/>
          <w:sz w:val="44"/>
          <w:szCs w:val="44"/>
        </w:rPr>
        <w:t>（部门公章）</w:t>
      </w:r>
    </w:p>
    <w:p>
      <w:pPr>
        <w:widowControl/>
        <w:jc w:val="center"/>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w:t>
      </w:r>
      <w:r>
        <w:rPr>
          <w:rFonts w:hint="eastAsia" w:ascii="楷体" w:hAnsi="楷体" w:eastAsia="楷体" w:cs="楷体"/>
          <w:b/>
          <w:sz w:val="44"/>
          <w:szCs w:val="44"/>
          <w:lang w:eastAsia="zh-CN"/>
        </w:rPr>
        <w:t>十一</w:t>
      </w:r>
      <w:r>
        <w:rPr>
          <w:rFonts w:hint="eastAsia" w:ascii="楷体" w:hAnsi="楷体" w:eastAsia="楷体" w:cs="楷体"/>
          <w:b/>
          <w:sz w:val="44"/>
          <w:szCs w:val="44"/>
        </w:rPr>
        <w:t>月</w:t>
      </w:r>
    </w:p>
    <w:p>
      <w:pPr>
        <w:widowControl/>
        <w:spacing w:after="0" w:line="600" w:lineRule="exact"/>
        <w:jc w:val="left"/>
        <w:rPr>
          <w:rFonts w:ascii="楷体" w:hAnsi="楷体" w:eastAsia="楷体" w:cs="楷体"/>
          <w:sz w:val="32"/>
          <w:szCs w:val="32"/>
          <w:highlight w:val="yellow"/>
        </w:rPr>
      </w:pPr>
    </w:p>
    <w:p>
      <w:pPr>
        <w:spacing w:beforeLines="200" w:after="0" w:line="1000" w:lineRule="exact"/>
        <w:jc w:val="center"/>
        <w:rPr>
          <w:rFonts w:ascii="黑体" w:eastAsia="黑体"/>
          <w:sz w:val="48"/>
          <w:szCs w:val="48"/>
        </w:rPr>
      </w:pPr>
      <w:r>
        <w:pict>
          <v:group id="组合 179" o:spid="_x0000_s1028" o:spt="203" style="position:absolute;left:0pt;margin-left:-80.8pt;margin-top:39.95pt;height:46.7pt;width:250.05pt;mso-position-vertical-relative:page;z-index:251673600;mso-width-relative:page;mso-height-relative:page;" coordorigin="4551,52615" coordsize="8546,1398" o:allowoverlap="f">
            <o:lock v:ext="edit"/>
            <v:rect id="矩形 13" o:spid="_x0000_s1029" o:spt="1" style="position:absolute;left:4551;top:52615;height:1175;width:8546;v-text-anchor:middle;" fillcolor="#96DA9D" filled="t" stroked="f" coordsize="21600,21600">
              <v:path/>
              <v:fill on="t" focussize="0,0"/>
              <v:stroke on="f" weight="2pt"/>
              <v:imagedata o:title=""/>
              <o:lock v:ext="edit"/>
            </v:rect>
            <v:rect id="矩形 14" o:spid="_x0000_s103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r>
        <w:rPr>
          <w:rFonts w:eastAsia="仿宋_GB2312"/>
          <w:sz w:val="28"/>
          <w:szCs w:val="36"/>
        </w:rPr>
        <w:t xml:space="preserve">  </w:t>
      </w:r>
      <w:r>
        <w:rPr>
          <w:rFonts w:eastAsia="仿宋_GB2312"/>
          <w:sz w:val="24"/>
          <w:szCs w:val="32"/>
        </w:rPr>
        <w:t xml:space="preserve"> </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2018</w:t>
      </w:r>
      <w:r>
        <w:rPr>
          <w:rFonts w:hint="eastAsia" w:eastAsia="黑体"/>
          <w:sz w:val="32"/>
          <w:szCs w:val="32"/>
        </w:rPr>
        <w:t>年部门决算情况说明</w:t>
      </w:r>
      <w:r>
        <w:pict>
          <v:group id="组合 176" o:spid="_x0000_s1031" o:spt="203" style="position:absolute;left:0pt;margin-left:-80.8pt;margin-top:38.95pt;height:46.7pt;width:222.8pt;mso-position-vertical-relative:page;z-index:251672576;mso-width-relative:page;mso-height-relative:page;" coordorigin="4551,52615" coordsize="8546,1398">
            <o:lock v:ext="edit"/>
            <v:rect id="矩形 13" o:spid="_x0000_s1032" o:spt="1" style="position:absolute;left:4551;top:52615;height:1175;width:8546;v-text-anchor:middle;" fillcolor="#96DA9D" filled="t" stroked="f" coordsize="21600,21600">
              <v:path/>
              <v:fill on="t" focussize="0,0"/>
              <v:stroke on="f" weight="2pt"/>
              <v:imagedata o:title=""/>
              <o:lock v:ext="edit"/>
            </v:rect>
            <v:rect id="矩形 14" o:spid="_x0000_s103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pict>
          <v:shape id="图片 12" o:spid="_x0000_s1034" o:spt="75" alt="2" type="#_x0000_t75" style="position:absolute;left:0pt;margin-left:-80.7pt;margin-top:-106.45pt;height:844.65pt;width:597.3pt;z-index:-251655168;mso-width-relative:page;mso-height-relative:page;" filled="f" o:preferrelative="t" stroked="f" coordsize="21600,21600">
            <v:path/>
            <v:fill on="f" focussize="0,0"/>
            <v:stroke on="f" joinstyle="miter"/>
            <v:imagedata r:id="rId7" o:title=""/>
            <o:lock v:ext="edit" aspectratio="t"/>
          </v:shape>
        </w:pict>
      </w:r>
      <w:r>
        <w:pict>
          <v:shape id="文本框 118" o:spid="_x0000_s1035" o:spt="202" type="#_x0000_t202" style="position:absolute;left:0pt;margin-left:-97.3pt;margin-top:259.1pt;height:81.7pt;width:613.65pt;z-index:251670528;mso-width-relative:page;mso-height-relative:page;" filled="f" stroked="f" coordsize="21600,21600">
            <v:path/>
            <v:fill on="f" focussize="0,0"/>
            <v:stroke on="f" weight="0.5pt" joinstyle="miter"/>
            <v:imagedata o:title=""/>
            <o:lock v:ext="edit"/>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w:r>
    </w:p>
    <w:p/>
    <w:p/>
    <w:p/>
    <w:p/>
    <w:p/>
    <w:p/>
    <w:p/>
    <w:p/>
    <w:p/>
    <w:p/>
    <w:p/>
    <w:p/>
    <w:p/>
    <w:p/>
    <w:p/>
    <w:p>
      <w:pPr>
        <w:pStyle w:val="2"/>
        <w:spacing w:before="0" w:after="0" w:line="600" w:lineRule="exact"/>
        <w:jc w:val="left"/>
        <w:rPr>
          <w:rFonts w:ascii="黑体" w:hAnsi="Cambria" w:eastAsia="黑体" w:cs="黑体"/>
          <w:b w:val="0"/>
          <w:bCs w:val="0"/>
          <w:kern w:val="0"/>
          <w:sz w:val="32"/>
          <w:szCs w:val="32"/>
        </w:rPr>
      </w:pPr>
      <w:r>
        <w:pict>
          <v:group id="组合 15" o:spid="_x0000_s1036" o:spt="203" style="position:absolute;left:0pt;margin-left:-80.8pt;margin-top:39.5pt;height:46.7pt;width:245.25pt;mso-position-vertical-relative:page;z-index:251662336;mso-width-relative:page;mso-height-relative:page;" coordorigin="4551,52615" coordsize="8546,1398">
            <o:lock v:ext="edit"/>
            <v:rect id="_x0000_s1037" o:spid="_x0000_s1037" o:spt="1" style="position:absolute;left:4551;top:52615;height:1175;width:8546;v-text-anchor:middle;" fillcolor="#96DA9D" filled="t" stroked="f" coordsize="21600,21600">
              <v:path/>
              <v:fill on="t" focussize="0,0"/>
              <v:stroke on="f" weight="2pt"/>
              <v:imagedata o:title=""/>
              <o:lock v:ext="edit"/>
            </v:rect>
            <v:rect id="_x0000_s1038" o:spid="_x0000_s103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w:r>
      <w:r>
        <w:rPr>
          <w:rFonts w:hint="eastAsia" w:ascii="黑体" w:hAnsi="Cambria" w:eastAsia="黑体" w:cs="黑体"/>
          <w:b w:val="0"/>
          <w:bCs w:val="0"/>
          <w:kern w:val="0"/>
          <w:sz w:val="32"/>
          <w:szCs w:val="32"/>
        </w:rPr>
        <w:t>一、部门职责</w:t>
      </w:r>
    </w:p>
    <w:p>
      <w:pPr>
        <w:ind w:firstLine="576"/>
        <w:rPr>
          <w:rFonts w:hint="eastAsia" w:ascii="仿宋_GB2312" w:eastAsia="仿宋_GB2312"/>
          <w:sz w:val="28"/>
          <w:szCs w:val="28"/>
        </w:rPr>
      </w:pPr>
      <w:r>
        <w:rPr>
          <w:rFonts w:hint="eastAsia" w:ascii="仿宋_GB2312" w:hAnsi="宋体" w:eastAsia="仿宋_GB2312"/>
          <w:sz w:val="28"/>
          <w:szCs w:val="28"/>
        </w:rPr>
        <w:t xml:space="preserve">我单位编制人数 </w:t>
      </w:r>
      <w:r>
        <w:rPr>
          <w:rFonts w:hint="eastAsia" w:ascii="仿宋_GB2312" w:hAnsi="宋体" w:eastAsia="仿宋_GB2312"/>
          <w:sz w:val="28"/>
          <w:szCs w:val="28"/>
          <w:lang w:val="en-US" w:eastAsia="zh-CN"/>
        </w:rPr>
        <w:t>42</w:t>
      </w:r>
      <w:r>
        <w:rPr>
          <w:rFonts w:hint="eastAsia" w:ascii="仿宋_GB2312" w:hAnsi="宋体" w:eastAsia="仿宋_GB2312"/>
          <w:sz w:val="28"/>
          <w:szCs w:val="28"/>
        </w:rPr>
        <w:t xml:space="preserve"> 个，行政编制数</w:t>
      </w:r>
      <w:r>
        <w:rPr>
          <w:rFonts w:hint="eastAsia" w:ascii="仿宋_GB2312" w:hAnsi="宋体" w:eastAsia="仿宋_GB2312"/>
          <w:sz w:val="28"/>
          <w:szCs w:val="28"/>
          <w:lang w:val="en-US" w:eastAsia="zh-CN"/>
        </w:rPr>
        <w:t>24</w:t>
      </w:r>
      <w:r>
        <w:rPr>
          <w:rFonts w:hint="eastAsia" w:ascii="仿宋_GB2312" w:hAnsi="宋体" w:eastAsia="仿宋_GB2312"/>
          <w:sz w:val="28"/>
          <w:szCs w:val="28"/>
        </w:rPr>
        <w:t>个，机关工勤编制数2个，事业编制数</w:t>
      </w:r>
      <w:r>
        <w:rPr>
          <w:rFonts w:hint="eastAsia" w:ascii="仿宋_GB2312" w:hAnsi="宋体" w:eastAsia="仿宋_GB2312"/>
          <w:sz w:val="28"/>
          <w:szCs w:val="28"/>
          <w:lang w:val="en-US" w:eastAsia="zh-CN"/>
        </w:rPr>
        <w:t>16</w:t>
      </w:r>
      <w:r>
        <w:rPr>
          <w:rFonts w:hint="eastAsia" w:ascii="仿宋_GB2312" w:hAnsi="宋体" w:eastAsia="仿宋_GB2312"/>
          <w:sz w:val="28"/>
          <w:szCs w:val="28"/>
        </w:rPr>
        <w:t xml:space="preserve">个。实有在职人员 </w:t>
      </w:r>
      <w:r>
        <w:rPr>
          <w:rFonts w:hint="eastAsia" w:ascii="仿宋_GB2312" w:hAnsi="宋体" w:eastAsia="仿宋_GB2312"/>
          <w:sz w:val="28"/>
          <w:szCs w:val="28"/>
          <w:lang w:val="en-US" w:eastAsia="zh-CN"/>
        </w:rPr>
        <w:t>36</w:t>
      </w:r>
      <w:r>
        <w:rPr>
          <w:rFonts w:hint="eastAsia" w:ascii="仿宋_GB2312" w:hAnsi="宋体" w:eastAsia="仿宋_GB2312"/>
          <w:sz w:val="28"/>
          <w:szCs w:val="28"/>
        </w:rPr>
        <w:t xml:space="preserve">人，退休人员 </w:t>
      </w:r>
      <w:r>
        <w:rPr>
          <w:rFonts w:hint="eastAsia" w:ascii="仿宋_GB2312" w:hAnsi="宋体" w:eastAsia="仿宋_GB2312"/>
          <w:sz w:val="28"/>
          <w:szCs w:val="28"/>
          <w:lang w:val="en-US" w:eastAsia="zh-CN"/>
        </w:rPr>
        <w:t>2</w:t>
      </w:r>
      <w:r>
        <w:rPr>
          <w:rFonts w:hint="eastAsia" w:ascii="仿宋_GB2312" w:hAnsi="宋体" w:eastAsia="仿宋_GB2312"/>
          <w:sz w:val="28"/>
          <w:szCs w:val="28"/>
        </w:rPr>
        <w:t>人。</w:t>
      </w:r>
    </w:p>
    <w:p>
      <w:pPr>
        <w:widowControl/>
        <w:spacing w:line="5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满城区</w:t>
      </w:r>
      <w:r>
        <w:rPr>
          <w:rFonts w:hint="eastAsia" w:ascii="仿宋_GB2312" w:hAnsi="仿宋_GB2312" w:eastAsia="仿宋_GB2312" w:cs="仿宋_GB2312"/>
          <w:sz w:val="28"/>
          <w:szCs w:val="28"/>
          <w:lang w:eastAsia="zh-CN"/>
        </w:rPr>
        <w:t>坨南</w:t>
      </w:r>
      <w:r>
        <w:rPr>
          <w:rFonts w:hint="eastAsia" w:ascii="仿宋_GB2312" w:hAnsi="仿宋_GB2312" w:eastAsia="仿宋_GB2312" w:cs="仿宋_GB2312"/>
          <w:sz w:val="28"/>
          <w:szCs w:val="28"/>
        </w:rPr>
        <w:t>乡人民政府由行政编制和事业编制组成。满城区</w:t>
      </w:r>
      <w:r>
        <w:rPr>
          <w:rFonts w:hint="eastAsia" w:ascii="仿宋_GB2312" w:hAnsi="仿宋_GB2312" w:eastAsia="仿宋_GB2312" w:cs="仿宋_GB2312"/>
          <w:sz w:val="28"/>
          <w:szCs w:val="28"/>
          <w:lang w:eastAsia="zh-CN"/>
        </w:rPr>
        <w:t>坨南</w:t>
      </w:r>
      <w:r>
        <w:rPr>
          <w:rFonts w:hint="eastAsia" w:ascii="仿宋_GB2312" w:hAnsi="仿宋_GB2312" w:eastAsia="仿宋_GB2312" w:cs="仿宋_GB2312"/>
          <w:sz w:val="28"/>
          <w:szCs w:val="28"/>
        </w:rPr>
        <w:t>乡人民政府内设人大监督、人大代表活动、司法工作、计划生育、统计工作、财政工作民政事务管理、信访活动、安保工作等各部门。主要职责是：</w:t>
      </w:r>
    </w:p>
    <w:p>
      <w:pPr>
        <w:widowControl/>
        <w:spacing w:line="5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1、人大监督，围绕政府工作报告监督组织实施。</w:t>
      </w:r>
    </w:p>
    <w:p>
      <w:pPr>
        <w:widowControl/>
        <w:spacing w:line="5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2、人大代表活动，对法律实施情况进行检查，开展代表建议督办活动。</w:t>
      </w:r>
    </w:p>
    <w:p>
      <w:pPr>
        <w:widowControl/>
        <w:spacing w:line="5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3、会议召开，人大会议，换届选举会议。保证会议顺利召开，完成会议议程。</w:t>
      </w:r>
    </w:p>
    <w:p>
      <w:pPr>
        <w:widowControl/>
        <w:spacing w:line="5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4、办案问责，受理信访、举报等案件，组织协调案件的查办，调查、审查违纪违法案件，对案件审理提出处理意见</w:t>
      </w:r>
    </w:p>
    <w:p>
      <w:pPr>
        <w:widowControl/>
        <w:spacing w:line="5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5、党风廉政建设及监督检查，加强党风廉政建设，营造风清气正、干事创业的工作氛围，加大问责力度，促进“两个责任”有效落实。</w:t>
      </w:r>
    </w:p>
    <w:p>
      <w:pPr>
        <w:widowControl/>
        <w:spacing w:line="5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6、司法工作，开展公民普法教育，调节群众矛盾纠纷，提高群众的法律意识。</w:t>
      </w:r>
    </w:p>
    <w:p>
      <w:pPr>
        <w:widowControl/>
        <w:spacing w:line="5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7、计划生育，提供各类计划生育技术服务，建立利益导向机制，开展出生人口性别比的治理及流动人口计划生育管理等各项工作。提高妇女生殖健康水平，降低出生缺陷的发生。</w:t>
      </w:r>
    </w:p>
    <w:p>
      <w:pPr>
        <w:widowControl/>
        <w:spacing w:line="5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8、统计工作 ，组织人口、农业等部门专项统计调查检测。发布普查的主要数据公报，完成普查工作。</w:t>
      </w:r>
    </w:p>
    <w:p>
      <w:pPr>
        <w:widowControl/>
        <w:spacing w:line="5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9、财政工作 加强财务会计管理工作，依法按照财经制度管理会计事务，做到量入微出。维护财经制度，办理好各项财经事项。</w:t>
      </w:r>
    </w:p>
    <w:p>
      <w:pPr>
        <w:widowControl/>
        <w:spacing w:line="5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10、民政事务管理，做好对五保户、低保户、贫困户、大病医疗救助、防灾、减灾、救灾工作。做好对五保户、低保户贫困户、大病医疗救助、防灾、减灾、救灾款项的及时发放。</w:t>
      </w:r>
    </w:p>
    <w:p>
      <w:pPr>
        <w:widowControl/>
        <w:spacing w:line="54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11、信访活动安保工作  接待和处理人民群众反映的情况和问题。确保乡镇治安防控工作到位，社会稳定、政治稳定、治安秩序良好。</w:t>
      </w: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w:t>
      </w:r>
      <w:r>
        <w:rPr>
          <w:rFonts w:hint="eastAsia" w:ascii="仿宋_GB2312" w:hAnsi="Cambria" w:eastAsia="仿宋_GB2312" w:cs="ArialUnicodeMS"/>
          <w:kern w:val="0"/>
          <w:sz w:val="32"/>
          <w:szCs w:val="32"/>
          <w:lang w:val="en-US" w:eastAsia="zh-CN"/>
        </w:rPr>
        <w:t>1</w:t>
      </w:r>
      <w:r>
        <w:rPr>
          <w:rFonts w:ascii="仿宋_GB2312" w:hAnsi="Cambria" w:eastAsia="仿宋_GB2312" w:cs="ArialUnicodeMS"/>
          <w:kern w:val="0"/>
          <w:sz w:val="32"/>
          <w:szCs w:val="32"/>
        </w:rPr>
        <w:t xml:space="preserve"> </w:t>
      </w:r>
      <w:r>
        <w:rPr>
          <w:rFonts w:hint="eastAsia" w:ascii="仿宋_GB2312" w:hAnsi="Cambria" w:eastAsia="仿宋_GB2312" w:cs="ArialUnicodeMS"/>
          <w:kern w:val="0"/>
          <w:sz w:val="32"/>
          <w:szCs w:val="32"/>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903"/>
        <w:gridCol w:w="2027"/>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6"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903"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027"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jc w:val="center"/>
        </w:trPr>
        <w:tc>
          <w:tcPr>
            <w:tcW w:w="985" w:type="dxa"/>
          </w:tcPr>
          <w:p>
            <w:pPr>
              <w:spacing w:after="0" w:line="560" w:lineRule="exact"/>
              <w:jc w:val="center"/>
              <w:rPr>
                <w:rFonts w:ascii="仿宋_GB2312" w:hAnsi="Cambria" w:eastAsia="仿宋_GB2312" w:cs="ArialUnicodeMS"/>
                <w:kern w:val="0"/>
                <w:sz w:val="28"/>
                <w:szCs w:val="28"/>
              </w:rPr>
            </w:pPr>
          </w:p>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903" w:type="dxa"/>
          </w:tcPr>
          <w:p>
            <w:pPr>
              <w:spacing w:after="0" w:line="560" w:lineRule="exact"/>
              <w:jc w:val="center"/>
              <w:rPr>
                <w:rFonts w:hint="eastAsia" w:ascii="仿宋_GB2312" w:hAnsi="仿宋_GB2312" w:eastAsia="仿宋_GB2312" w:cs="仿宋_GB2312"/>
                <w:color w:val="000000"/>
                <w:kern w:val="0"/>
                <w:sz w:val="28"/>
                <w:szCs w:val="28"/>
              </w:rPr>
            </w:pPr>
          </w:p>
          <w:p>
            <w:pPr>
              <w:spacing w:after="0" w:line="560" w:lineRule="exact"/>
              <w:jc w:val="center"/>
              <w:rPr>
                <w:rFonts w:ascii="仿宋_GB2312" w:hAnsi="Cambria" w:eastAsia="仿宋_GB2312" w:cs="ArialUnicodeMS"/>
                <w:kern w:val="0"/>
                <w:sz w:val="28"/>
                <w:szCs w:val="28"/>
              </w:rPr>
            </w:pPr>
            <w:r>
              <w:rPr>
                <w:rFonts w:hint="eastAsia" w:ascii="仿宋_GB2312" w:hAnsi="仿宋_GB2312" w:eastAsia="仿宋_GB2312" w:cs="仿宋_GB2312"/>
                <w:color w:val="000000"/>
                <w:kern w:val="0"/>
                <w:sz w:val="28"/>
                <w:szCs w:val="28"/>
              </w:rPr>
              <w:t>满城区</w:t>
            </w:r>
            <w:r>
              <w:rPr>
                <w:rFonts w:hint="eastAsia" w:ascii="仿宋_GB2312" w:hAnsi="仿宋_GB2312" w:eastAsia="仿宋_GB2312" w:cs="仿宋_GB2312"/>
                <w:color w:val="000000"/>
                <w:kern w:val="0"/>
                <w:sz w:val="28"/>
                <w:szCs w:val="28"/>
                <w:lang w:eastAsia="zh-CN"/>
              </w:rPr>
              <w:t>坨南</w:t>
            </w:r>
            <w:r>
              <w:rPr>
                <w:rFonts w:hint="eastAsia" w:ascii="仿宋_GB2312" w:hAnsi="仿宋_GB2312" w:eastAsia="仿宋_GB2312" w:cs="仿宋_GB2312"/>
                <w:color w:val="000000"/>
                <w:kern w:val="0"/>
                <w:sz w:val="28"/>
                <w:szCs w:val="28"/>
              </w:rPr>
              <w:t>乡人民政府</w:t>
            </w:r>
            <w:r>
              <w:rPr>
                <w:rFonts w:ascii="仿宋_GB2312" w:hAnsi="Cambria" w:eastAsia="仿宋_GB2312" w:cs="ArialUnicodeMS"/>
                <w:kern w:val="0"/>
                <w:sz w:val="28"/>
                <w:szCs w:val="28"/>
              </w:rPr>
              <w:t>(</w:t>
            </w:r>
            <w:r>
              <w:rPr>
                <w:rFonts w:hint="eastAsia" w:ascii="仿宋_GB2312" w:hAnsi="Cambria" w:eastAsia="仿宋_GB2312" w:cs="ArialUnicodeMS"/>
                <w:kern w:val="0"/>
                <w:sz w:val="28"/>
                <w:szCs w:val="28"/>
              </w:rPr>
              <w:t>本级</w:t>
            </w:r>
            <w:r>
              <w:rPr>
                <w:rFonts w:ascii="仿宋_GB2312" w:hAnsi="Cambria" w:eastAsia="仿宋_GB2312" w:cs="ArialUnicodeMS"/>
                <w:kern w:val="0"/>
                <w:sz w:val="28"/>
                <w:szCs w:val="28"/>
              </w:rPr>
              <w:t>)</w:t>
            </w:r>
          </w:p>
        </w:tc>
        <w:tc>
          <w:tcPr>
            <w:tcW w:w="2027" w:type="dxa"/>
          </w:tcPr>
          <w:p>
            <w:pPr>
              <w:spacing w:after="0" w:line="560" w:lineRule="exact"/>
              <w:jc w:val="center"/>
              <w:rPr>
                <w:rFonts w:hint="eastAsia" w:ascii="仿宋_GB2312" w:hAnsi="仿宋_GB2312" w:eastAsia="仿宋_GB2312" w:cs="仿宋_GB2312"/>
                <w:color w:val="000000"/>
                <w:kern w:val="0"/>
                <w:sz w:val="28"/>
                <w:szCs w:val="28"/>
              </w:rPr>
            </w:pPr>
          </w:p>
          <w:p>
            <w:pPr>
              <w:spacing w:after="0" w:line="560" w:lineRule="exact"/>
              <w:jc w:val="center"/>
              <w:rPr>
                <w:rFonts w:hint="eastAsia" w:ascii="仿宋_GB2312" w:hAnsi="Cambria" w:eastAsia="仿宋_GB2312" w:cs="ArialUnicodeMS"/>
                <w:kern w:val="0"/>
                <w:sz w:val="28"/>
                <w:szCs w:val="28"/>
                <w:lang w:eastAsia="zh-CN"/>
              </w:rPr>
            </w:pPr>
            <w:r>
              <w:rPr>
                <w:rFonts w:hint="eastAsia" w:ascii="仿宋_GB2312" w:hAnsi="仿宋_GB2312" w:eastAsia="仿宋_GB2312" w:cs="仿宋_GB2312"/>
                <w:color w:val="000000"/>
                <w:kern w:val="0"/>
                <w:sz w:val="28"/>
                <w:szCs w:val="28"/>
              </w:rPr>
              <w:t>行政</w:t>
            </w:r>
            <w:r>
              <w:rPr>
                <w:rFonts w:hint="eastAsia" w:ascii="仿宋_GB2312" w:hAnsi="仿宋_GB2312" w:eastAsia="仿宋_GB2312" w:cs="仿宋_GB2312"/>
                <w:color w:val="000000"/>
                <w:kern w:val="0"/>
                <w:sz w:val="28"/>
                <w:szCs w:val="28"/>
                <w:lang w:eastAsia="zh-CN"/>
              </w:rPr>
              <w:t>单位</w:t>
            </w:r>
          </w:p>
        </w:tc>
        <w:tc>
          <w:tcPr>
            <w:tcW w:w="2665" w:type="dxa"/>
          </w:tcPr>
          <w:p>
            <w:pPr>
              <w:spacing w:after="0" w:line="560" w:lineRule="exact"/>
              <w:jc w:val="center"/>
              <w:rPr>
                <w:rFonts w:hint="eastAsia" w:ascii="仿宋_GB2312" w:hAnsi="仿宋_GB2312" w:eastAsia="仿宋_GB2312" w:cs="仿宋_GB2312"/>
                <w:color w:val="000000"/>
                <w:kern w:val="0"/>
                <w:sz w:val="28"/>
                <w:szCs w:val="28"/>
              </w:rPr>
            </w:pPr>
          </w:p>
          <w:p>
            <w:pPr>
              <w:spacing w:after="0" w:line="560" w:lineRule="exact"/>
              <w:jc w:val="center"/>
              <w:rPr>
                <w:rFonts w:ascii="仿宋_GB2312" w:hAnsi="Cambria" w:eastAsia="仿宋_GB2312" w:cs="ArialUnicodeMS"/>
                <w:kern w:val="0"/>
                <w:sz w:val="28"/>
                <w:szCs w:val="28"/>
              </w:rPr>
            </w:pPr>
            <w:r>
              <w:rPr>
                <w:rFonts w:hint="eastAsia" w:ascii="仿宋_GB2312" w:hAnsi="仿宋_GB2312" w:eastAsia="仿宋_GB2312" w:cs="仿宋_GB2312"/>
                <w:color w:val="000000"/>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left w:val="nil"/>
              <w:bottom w:val="nil"/>
              <w:right w:val="nil"/>
            </w:tcBorders>
          </w:tcPr>
          <w:p>
            <w:pPr>
              <w:spacing w:after="0" w:line="560" w:lineRule="exact"/>
              <w:ind w:firstLine="560" w:firstLineChars="200"/>
              <w:jc w:val="left"/>
              <w:rPr>
                <w:rFonts w:ascii="仿宋_GB2312" w:hAnsi="Cambria" w:eastAsia="仿宋_GB2312" w:cs="ArialUnicodeMS"/>
                <w:kern w:val="0"/>
                <w:sz w:val="28"/>
                <w:szCs w:val="28"/>
              </w:rPr>
            </w:pPr>
          </w:p>
        </w:tc>
      </w:tr>
    </w:tbl>
    <w:p>
      <w:pPr>
        <w:widowControl/>
        <w:spacing w:line="560" w:lineRule="exact"/>
        <w:jc w:val="both"/>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pict>
          <v:shape id="图片 16" o:spid="_x0000_s1039" o:spt="75" alt="2" type="#_x0000_t75" style="position:absolute;left:0pt;margin-left:-80.6pt;margin-top:-104.5pt;height:840.95pt;width:596.15pt;z-index:-251652096;mso-width-relative:page;mso-height-relative:page;" filled="f" o:preferrelative="t" stroked="f" coordsize="21600,21600">
            <v:path/>
            <v:fill on="f" focussize="0,0"/>
            <v:stroke on="f" joinstyle="miter"/>
            <v:imagedata r:id="rId7" o:title=""/>
            <o:lock v:ext="edit" aspectratio="t"/>
          </v:shape>
        </w:pict>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文本框 17" o:spid="_x0000_s1040" o:spt="202" type="#_x0000_t202" style="position:absolute;left:0pt;margin-left:-74.2pt;margin-top:120.3pt;height:159.1pt;width:596.2pt;z-index:251663360;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pict>
                <v:group id="组合 10" o:spid="_x0000_s1041" o:spt="203" style="position:absolute;left:0pt;margin-left:-70.25pt;margin-top:-81.85pt;height:41.2pt;width:243.2pt;mso-position-vertical-relative:page;z-index:251674624;mso-width-relative:page;mso-height-relative:page;" coordorigin="4551,52615" coordsize="8546,1398">
                  <o:lock v:ext="edit"/>
                  <v:rect id="矩形 13" o:spid="_x0000_s1042" o:spt="1" style="position:absolute;left:4551;top:52615;height:1175;width:8546;v-text-anchor:middle;" fillcolor="#96DA9D" filled="t" stroked="f" coordsize="21600,21600">
                    <v:path/>
                    <v:fill on="t" focussize="0,0"/>
                    <v:stroke on="f" weight="2pt"/>
                    <v:imagedata o:title=""/>
                    <o:lock v:ext="edit"/>
                  </v:rect>
                  <v:rect id="矩形 14" o:spid="_x0000_s104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849.39</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389.24</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74.08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0.29</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101.96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40.45</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222.52</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20.85</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849.39</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849.39</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849.39</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849.39</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929" w:type="dxa"/>
        <w:jc w:val="center"/>
        <w:tblLayout w:type="fixed"/>
        <w:tblCellMar>
          <w:top w:w="0" w:type="dxa"/>
          <w:left w:w="0" w:type="dxa"/>
          <w:bottom w:w="0" w:type="dxa"/>
          <w:right w:w="0" w:type="dxa"/>
        </w:tblCellMar>
      </w:tblPr>
      <w:tblGrid>
        <w:gridCol w:w="335"/>
        <w:gridCol w:w="179"/>
        <w:gridCol w:w="520"/>
        <w:gridCol w:w="1851"/>
        <w:gridCol w:w="260"/>
        <w:gridCol w:w="815"/>
        <w:gridCol w:w="497"/>
        <w:gridCol w:w="90"/>
        <w:gridCol w:w="260"/>
        <w:gridCol w:w="400"/>
        <w:gridCol w:w="384"/>
        <w:gridCol w:w="31"/>
        <w:gridCol w:w="301"/>
        <w:gridCol w:w="515"/>
        <w:gridCol w:w="214"/>
        <w:gridCol w:w="601"/>
        <w:gridCol w:w="5"/>
        <w:gridCol w:w="615"/>
        <w:gridCol w:w="270"/>
        <w:gridCol w:w="495"/>
        <w:gridCol w:w="690"/>
        <w:gridCol w:w="601"/>
      </w:tblGrid>
      <w:tr>
        <w:tblPrEx>
          <w:tblCellMar>
            <w:top w:w="0" w:type="dxa"/>
            <w:left w:w="0" w:type="dxa"/>
            <w:bottom w:w="0" w:type="dxa"/>
            <w:right w:w="0" w:type="dxa"/>
          </w:tblCellMar>
        </w:tblPrEx>
        <w:trPr>
          <w:gridAfter w:val="1"/>
          <w:wAfter w:w="601" w:type="dxa"/>
          <w:trHeight w:val="770" w:hRule="atLeast"/>
          <w:jc w:val="center"/>
        </w:trPr>
        <w:tc>
          <w:tcPr>
            <w:tcW w:w="9328" w:type="dxa"/>
            <w:gridSpan w:val="21"/>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pict>
                <v:group id="组合 34" o:spid="_x0000_s1044" o:spt="203" style="position:absolute;left:0pt;margin-left:-82.75pt;margin-top:-81.1pt;height:41.2pt;width:243.2pt;mso-position-vertical-relative:page;z-index:251675648;mso-width-relative:page;mso-height-relative:page;" coordorigin="4551,52615" coordsize="8546,1398">
                  <o:lock v:ext="edit"/>
                  <v:rect id="矩形 13" o:spid="_x0000_s1045" o:spt="1" style="position:absolute;left:4551;top:52615;height:1175;width:8546;v-text-anchor:middle;" fillcolor="#96DA9D" filled="t" stroked="f" coordsize="21600,21600">
                    <v:path/>
                    <v:fill on="t" focussize="0,0"/>
                    <v:stroke on="f" weight="2pt"/>
                    <v:imagedata o:title=""/>
                    <o:lock v:ext="edit"/>
                  </v:rect>
                  <v:rect id="矩形 14" o:spid="_x0000_s1046"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423" w:type="dxa"/>
            <w:gridSpan w:val="4"/>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90"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86"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gridAfter w:val="1"/>
          <w:wAfter w:w="601" w:type="dxa"/>
          <w:trHeight w:val="362" w:hRule="atLeast"/>
          <w:jc w:val="center"/>
        </w:trPr>
        <w:tc>
          <w:tcPr>
            <w:tcW w:w="2885"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247" w:type="dxa"/>
            <w:gridSpan w:val="4"/>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84"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061" w:type="dxa"/>
            <w:gridSpan w:val="4"/>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76" w:type="dxa"/>
            <w:gridSpan w:val="6"/>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1"/>
          <w:wAfter w:w="601" w:type="dxa"/>
          <w:trHeight w:val="325" w:hRule="atLeast"/>
          <w:jc w:val="center"/>
        </w:trPr>
        <w:tc>
          <w:tcPr>
            <w:tcW w:w="4457" w:type="dxa"/>
            <w:gridSpan w:val="7"/>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750" w:type="dxa"/>
            <w:gridSpan w:val="3"/>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716" w:type="dxa"/>
            <w:gridSpan w:val="3"/>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729"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606"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615"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765"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690"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gridAfter w:val="1"/>
          <w:wAfter w:w="601" w:type="dxa"/>
          <w:trHeight w:val="626"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3423" w:type="dxa"/>
            <w:gridSpan w:val="4"/>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750" w:type="dxa"/>
            <w:gridSpan w:val="3"/>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716" w:type="dxa"/>
            <w:gridSpan w:val="3"/>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729"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606"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615"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765"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690"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gridAfter w:val="1"/>
          <w:wAfter w:w="601" w:type="dxa"/>
          <w:trHeight w:val="391" w:hRule="atLeast"/>
          <w:jc w:val="center"/>
        </w:trPr>
        <w:tc>
          <w:tcPr>
            <w:tcW w:w="4457" w:type="dxa"/>
            <w:gridSpan w:val="7"/>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750"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71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72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60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76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6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gridAfter w:val="1"/>
          <w:wAfter w:w="601" w:type="dxa"/>
          <w:trHeight w:val="90" w:hRule="atLeast"/>
          <w:jc w:val="center"/>
        </w:trPr>
        <w:tc>
          <w:tcPr>
            <w:tcW w:w="4457" w:type="dxa"/>
            <w:gridSpan w:val="7"/>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750"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 w:val="18"/>
                <w:szCs w:val="18"/>
                <w:lang w:val="en-US" w:eastAsia="zh-CN"/>
              </w:rPr>
            </w:pPr>
            <w:r>
              <w:rPr>
                <w:rFonts w:hint="eastAsia" w:ascii="宋体" w:cs="宋体"/>
                <w:b/>
                <w:color w:val="000000"/>
                <w:sz w:val="18"/>
                <w:szCs w:val="18"/>
                <w:lang w:val="en-US" w:eastAsia="zh-CN"/>
              </w:rPr>
              <w:t>849.39</w:t>
            </w:r>
          </w:p>
        </w:tc>
        <w:tc>
          <w:tcPr>
            <w:tcW w:w="716"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 w:val="18"/>
                <w:szCs w:val="18"/>
                <w:lang w:val="en-US" w:eastAsia="zh-CN"/>
              </w:rPr>
            </w:pPr>
            <w:r>
              <w:rPr>
                <w:rFonts w:hint="eastAsia" w:ascii="宋体" w:cs="宋体"/>
                <w:b/>
                <w:color w:val="000000"/>
                <w:sz w:val="18"/>
                <w:szCs w:val="18"/>
                <w:lang w:val="en-US" w:eastAsia="zh-CN"/>
              </w:rPr>
              <w:t>849.39</w:t>
            </w:r>
          </w:p>
        </w:tc>
        <w:tc>
          <w:tcPr>
            <w:tcW w:w="729"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606"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615"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765"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69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一般公共服务支出</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389.24</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389.24</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政府办公厅（室）及相关机构事务</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389.24</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389.24</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2010301</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269.90</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269.90</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2010302</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8.00</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8.00</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2010308</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信访事务</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14.54</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14.54</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2010350</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事业运行</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96.80</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96.80</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74.08</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74.08</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行政事业单位离退休</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64.27</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64.27</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2080501</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归口管理的行政单位离退休</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2.32</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2.32</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2080502</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事业单位离退休</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26.13</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26.13</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2080505</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34.17</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34.17</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2080506</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机关事业单位职业年金缴费支出</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1.65</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1.65</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20808</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抚恤</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6.21</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6.21</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2080899</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其他优抚支出</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6.21</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6.21</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20899</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其他社会保障和就业支出</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3.60</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3.60</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2089901</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其他社会保障和就业支出</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3.60</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3.60</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210</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医疗卫生与计划生育支出</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0.29</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0.29</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21099</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其他医疗卫生与计划生育支出</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0.29</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0.29</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2109901</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其他医疗卫生与计划生育支出</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0.29</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0.29</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节能环保支出</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101.96</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101.96</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21103</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污染防治</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10.00</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10.00</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2110301</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大气</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10.00</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10.00</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21104</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自然生态保护</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91.96</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91.96</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2110402</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农村环境保护</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91.96</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91.96</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212</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城乡社区支出</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40.45</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40.45</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21208</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国有土地使用权出让收入及对应专项债务收入安排的支出</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40.45</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40.45</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2120801</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征地和拆迁补偿支出</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40.45</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40.45</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农林水支出</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222.52</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222.52</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21301</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农业</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20.00</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20.00</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2130126</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农村公益事业</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20.00</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20.00</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21307</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农村综合改革</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202.52</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202.52</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2130701</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对村级一事一议的补助</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79.40</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79.40</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2130705</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对村民委员会和村党支部的补助</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123.12</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123.12</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221</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住房保障支出</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20.85</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20.85</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22102</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住房改革支出</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20.85</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20.85</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784"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2210201</w:t>
            </w:r>
          </w:p>
        </w:tc>
        <w:tc>
          <w:tcPr>
            <w:tcW w:w="342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750"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20.85</w:t>
            </w:r>
          </w:p>
        </w:tc>
        <w:tc>
          <w:tcPr>
            <w:tcW w:w="716"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20.85</w:t>
            </w:r>
          </w:p>
        </w:tc>
        <w:tc>
          <w:tcPr>
            <w:tcW w:w="72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0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6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601" w:type="dxa"/>
          <w:trHeight w:val="481" w:hRule="atLeast"/>
          <w:jc w:val="center"/>
        </w:trPr>
        <w:tc>
          <w:tcPr>
            <w:tcW w:w="9328" w:type="dxa"/>
            <w:gridSpan w:val="21"/>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567" w:type="dxa"/>
        <w:tblInd w:w="0" w:type="dxa"/>
        <w:tblLayout w:type="fixed"/>
        <w:tblCellMar>
          <w:top w:w="0" w:type="dxa"/>
          <w:left w:w="0" w:type="dxa"/>
          <w:bottom w:w="0" w:type="dxa"/>
          <w:right w:w="0" w:type="dxa"/>
        </w:tblCellMar>
      </w:tblPr>
      <w:tblGrid>
        <w:gridCol w:w="290"/>
        <w:gridCol w:w="289"/>
        <w:gridCol w:w="803"/>
        <w:gridCol w:w="1764"/>
        <w:gridCol w:w="477"/>
        <w:gridCol w:w="90"/>
        <w:gridCol w:w="551"/>
        <w:gridCol w:w="514"/>
        <w:gridCol w:w="53"/>
        <w:gridCol w:w="553"/>
        <w:gridCol w:w="489"/>
        <w:gridCol w:w="78"/>
        <w:gridCol w:w="551"/>
        <w:gridCol w:w="406"/>
        <w:gridCol w:w="161"/>
        <w:gridCol w:w="619"/>
        <w:gridCol w:w="567"/>
        <w:gridCol w:w="48"/>
        <w:gridCol w:w="697"/>
        <w:gridCol w:w="567"/>
      </w:tblGrid>
      <w:tr>
        <w:tblPrEx>
          <w:tblCellMar>
            <w:top w:w="0" w:type="dxa"/>
            <w:left w:w="0" w:type="dxa"/>
            <w:bottom w:w="0" w:type="dxa"/>
            <w:right w:w="0" w:type="dxa"/>
          </w:tblCellMar>
        </w:tblPrEx>
        <w:trPr>
          <w:gridAfter w:val="1"/>
          <w:wAfter w:w="567" w:type="dxa"/>
          <w:trHeight w:val="798" w:hRule="atLeast"/>
        </w:trPr>
        <w:tc>
          <w:tcPr>
            <w:tcW w:w="9000" w:type="dxa"/>
            <w:gridSpan w:val="19"/>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pict>
                <v:group id="组合 38" o:spid="_x0000_s1047" o:spt="203" style="position:absolute;left:0pt;margin-left:-80.9pt;margin-top:-81.1pt;height:41.2pt;width:243.2pt;mso-position-vertical-relative:page;z-index:251676672;mso-width-relative:page;mso-height-relative:page;" coordorigin="4551,52615" coordsize="8546,1398">
                  <o:lock v:ext="edit"/>
                  <v:rect id="矩形 13" o:spid="_x0000_s1048" o:spt="1" style="position:absolute;left:4551;top:52615;height:1175;width:8546;v-text-anchor:middle;" fillcolor="#96DA9D" filled="t" stroked="f" coordsize="21600,21600">
                    <v:path/>
                    <v:fill on="t" focussize="0,0"/>
                    <v:stroke on="f" weight="2pt"/>
                    <v:imagedata o:title=""/>
                    <o:lock v:ext="edit"/>
                  </v:rect>
                  <v:rect id="矩形 14" o:spid="_x0000_s1049"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24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8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12"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gridAfter w:val="1"/>
          <w:wAfter w:w="567" w:type="dxa"/>
          <w:trHeight w:val="380" w:hRule="atLeast"/>
        </w:trPr>
        <w:tc>
          <w:tcPr>
            <w:tcW w:w="3146"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118"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6"/>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1"/>
          <w:wAfter w:w="567" w:type="dxa"/>
          <w:trHeight w:val="837" w:hRule="atLeast"/>
        </w:trPr>
        <w:tc>
          <w:tcPr>
            <w:tcW w:w="3623"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1155" w:type="dxa"/>
            <w:gridSpan w:val="3"/>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1095" w:type="dxa"/>
            <w:gridSpan w:val="3"/>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035" w:type="dxa"/>
            <w:gridSpan w:val="3"/>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780"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615"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经营支出</w:t>
            </w:r>
          </w:p>
        </w:tc>
        <w:tc>
          <w:tcPr>
            <w:tcW w:w="697"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gridAfter w:val="1"/>
          <w:wAfter w:w="567" w:type="dxa"/>
          <w:trHeight w:val="782"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155" w:type="dxa"/>
            <w:gridSpan w:val="3"/>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95" w:type="dxa"/>
            <w:gridSpan w:val="3"/>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35" w:type="dxa"/>
            <w:gridSpan w:val="3"/>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780"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615"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697"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gridAfter w:val="1"/>
          <w:wAfter w:w="567" w:type="dxa"/>
          <w:trHeight w:val="395" w:hRule="atLeast"/>
        </w:trPr>
        <w:tc>
          <w:tcPr>
            <w:tcW w:w="3623"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15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09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035"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78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6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69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gridAfter w:val="1"/>
          <w:wAfter w:w="567" w:type="dxa"/>
          <w:trHeight w:val="440" w:hRule="atLeast"/>
        </w:trPr>
        <w:tc>
          <w:tcPr>
            <w:tcW w:w="3623"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Cs w:val="21"/>
                <w:lang w:val="en-US" w:eastAsia="zh-CN"/>
              </w:rPr>
            </w:pPr>
            <w:r>
              <w:rPr>
                <w:rFonts w:hint="eastAsia" w:ascii="宋体" w:cs="宋体"/>
                <w:b/>
                <w:color w:val="000000"/>
                <w:szCs w:val="21"/>
                <w:lang w:val="en-US" w:eastAsia="zh-CN"/>
              </w:rPr>
              <w:t>849.39</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Cs w:val="21"/>
                <w:lang w:val="en-US" w:eastAsia="zh-CN"/>
              </w:rPr>
            </w:pPr>
            <w:r>
              <w:rPr>
                <w:rFonts w:hint="eastAsia" w:ascii="宋体" w:cs="宋体"/>
                <w:b/>
                <w:color w:val="000000"/>
                <w:szCs w:val="21"/>
                <w:lang w:val="en-US" w:eastAsia="zh-CN"/>
              </w:rPr>
              <w:t>466.92</w:t>
            </w: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Cs w:val="21"/>
                <w:lang w:val="en-US" w:eastAsia="zh-CN"/>
              </w:rPr>
            </w:pPr>
            <w:r>
              <w:rPr>
                <w:rFonts w:hint="eastAsia" w:ascii="宋体" w:cs="宋体"/>
                <w:b/>
                <w:color w:val="000000"/>
                <w:szCs w:val="21"/>
                <w:lang w:val="en-US" w:eastAsia="zh-CN"/>
              </w:rPr>
              <w:t>382.47</w:t>
            </w: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一般公共服务支出</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389.24</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366.70</w:t>
            </w: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22.54</w:t>
            </w: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政府办公厅（室）及相关机构事务</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389.24</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366.70</w:t>
            </w: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22.54</w:t>
            </w: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2010301</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269.90</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269.90</w:t>
            </w: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2010302</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8.00</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8.00</w:t>
            </w: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2010308</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信访事务</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14.54</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14.54</w:t>
            </w: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2010350</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事业运行</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96.80</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96.80</w:t>
            </w: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397"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74.08</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74.08</w:t>
            </w: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397"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行政事业单位离退休</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64.27</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64.27</w:t>
            </w: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2080501</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归口管理的行政单位离退休</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2.32</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2.32</w:t>
            </w: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2080502</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事业单位离退休</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26.13</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26.13</w:t>
            </w: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2080505</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34.17</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34.17</w:t>
            </w: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2080506</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机关事业单位职业年金缴费支出</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1.65</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1.65</w:t>
            </w: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20808</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抚恤</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6.21</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6.21</w:t>
            </w: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2080899</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其他优抚支出</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6.21</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6.21</w:t>
            </w: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20899</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其他社会保障和就业支出</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3.60</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3.60</w:t>
            </w: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2089901</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其他社会保障和就业支出</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3.60</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3.60</w:t>
            </w: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210</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医疗卫生与计划生育支出</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0.29</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0.29</w:t>
            </w: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21099</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其他医疗卫生与计划生育支出</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0.29</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0.29</w:t>
            </w: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2109901</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其他医疗卫生与计划生育支出</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0.29</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0.29</w:t>
            </w: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节能环保支出</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101.96</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96.96</w:t>
            </w: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21103</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污染防治</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10.00</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2110301</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大气</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10.00</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5.00</w:t>
            </w: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21104</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自然生态保护</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91.96</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91.96</w:t>
            </w: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2110402</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农村环境保护</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91.96</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91.96</w:t>
            </w: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212</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城乡社区支出</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40.45</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40.45</w:t>
            </w: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21208</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国有土地使用权出让收入及对应专项债务收入安排的支出</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40.45</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40.45</w:t>
            </w: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2120801</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征地和拆迁补偿支出</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40.45</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40.45</w:t>
            </w: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农林水支出</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222.52</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222.52</w:t>
            </w: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21301</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农业</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20.00</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20.00</w:t>
            </w: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2130126</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农村公益事业</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20.00</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20.00</w:t>
            </w: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21307</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农村综合改革</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202.52</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202.52</w:t>
            </w: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2130701</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对村级一事一议的补助</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79.40</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79.40</w:t>
            </w: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2130705</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对村民委员会和村党支部的补助</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123.12</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123.12</w:t>
            </w: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221</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住房保障支出</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20.85</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20.85</w:t>
            </w: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22102</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住房改革支出</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20.85</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20.85</w:t>
            </w: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2210201</w:t>
            </w:r>
          </w:p>
        </w:tc>
        <w:tc>
          <w:tcPr>
            <w:tcW w:w="224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115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20.85</w:t>
            </w:r>
          </w:p>
        </w:tc>
        <w:tc>
          <w:tcPr>
            <w:tcW w:w="10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20.85</w:t>
            </w:r>
          </w:p>
        </w:tc>
        <w:tc>
          <w:tcPr>
            <w:tcW w:w="103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7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69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567" w:type="dxa"/>
          <w:trHeight w:val="748" w:hRule="atLeast"/>
        </w:trPr>
        <w:tc>
          <w:tcPr>
            <w:tcW w:w="9000" w:type="dxa"/>
            <w:gridSpan w:val="19"/>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pict>
                <v:group id="组合 43" o:spid="_x0000_s1050" o:spt="203" style="position:absolute;left:0pt;margin-left:-80.9pt;margin-top:-81.1pt;height:41.2pt;width:243.2pt;mso-position-vertical-relative:page;z-index:251677696;mso-width-relative:page;mso-height-relative:page;" coordorigin="4551,52615" coordsize="8546,1398">
                  <o:lock v:ext="edit"/>
                  <v:rect id="矩形 13" o:spid="_x0000_s1051" o:spt="1" style="position:absolute;left:4551;top:52615;height:1175;width:8546;v-text-anchor:middle;" fillcolor="#96DA9D" filled="t" stroked="f" coordsize="21600,21600">
                    <v:path/>
                    <v:fill on="t" focussize="0,0"/>
                    <v:stroke on="f" weight="2pt"/>
                    <v:imagedata o:title=""/>
                    <o:lock v:ext="edit"/>
                  </v:rect>
                  <v:rect id="矩形 14" o:spid="_x0000_s105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w:t>
            </w:r>
            <w:r>
              <w:rPr>
                <w:rFonts w:ascii="宋体" w:hAnsi="宋体" w:cs="宋体"/>
                <w:color w:val="000000"/>
                <w:kern w:val="0"/>
                <w:sz w:val="20"/>
                <w:szCs w:val="20"/>
              </w:rPr>
              <w:t xml:space="preserve">     </w:t>
            </w:r>
            <w:r>
              <w:rPr>
                <w:rFonts w:hint="eastAsia" w:ascii="宋体" w:hAnsi="宋体" w:cs="宋体"/>
                <w:color w:val="000000"/>
                <w:kern w:val="0"/>
                <w:sz w:val="20"/>
                <w:szCs w:val="20"/>
              </w:rPr>
              <w:t>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w:t>
            </w:r>
            <w:r>
              <w:rPr>
                <w:rFonts w:ascii="宋体" w:hAnsi="宋体" w:cs="宋体"/>
                <w:color w:val="000000"/>
                <w:kern w:val="0"/>
                <w:sz w:val="20"/>
                <w:szCs w:val="20"/>
              </w:rPr>
              <w:t xml:space="preserve">     </w:t>
            </w:r>
            <w:r>
              <w:rPr>
                <w:rFonts w:hint="eastAsia" w:ascii="宋体" w:hAnsi="宋体" w:cs="宋体"/>
                <w:color w:val="000000"/>
                <w:kern w:val="0"/>
                <w:sz w:val="20"/>
                <w:szCs w:val="20"/>
              </w:rPr>
              <w:t>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808.94</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389.24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389.24</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40.45</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74.08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74.08</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0.29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0.29</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101.96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101.96</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40.45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40.45</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222.52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222.52</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20.85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20.85</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849.39</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849.39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808.94</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40.45</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849.39</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849.39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808.94</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40.45</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10346" w:type="dxa"/>
        <w:tblInd w:w="0" w:type="dxa"/>
        <w:tblLayout w:type="fixed"/>
        <w:tblCellMar>
          <w:top w:w="0" w:type="dxa"/>
          <w:left w:w="0" w:type="dxa"/>
          <w:bottom w:w="0" w:type="dxa"/>
          <w:right w:w="0" w:type="dxa"/>
        </w:tblCellMar>
      </w:tblPr>
      <w:tblGrid>
        <w:gridCol w:w="317"/>
        <w:gridCol w:w="319"/>
        <w:gridCol w:w="357"/>
        <w:gridCol w:w="2854"/>
        <w:gridCol w:w="856"/>
        <w:gridCol w:w="630"/>
        <w:gridCol w:w="406"/>
        <w:gridCol w:w="389"/>
        <w:gridCol w:w="1097"/>
        <w:gridCol w:w="283"/>
        <w:gridCol w:w="1352"/>
        <w:gridCol w:w="1486"/>
      </w:tblGrid>
      <w:tr>
        <w:tblPrEx>
          <w:tblCellMar>
            <w:top w:w="0" w:type="dxa"/>
            <w:left w:w="0" w:type="dxa"/>
            <w:bottom w:w="0" w:type="dxa"/>
            <w:right w:w="0" w:type="dxa"/>
          </w:tblCellMar>
        </w:tblPrEx>
        <w:trPr>
          <w:gridAfter w:val="1"/>
          <w:wAfter w:w="1486" w:type="dxa"/>
          <w:trHeight w:val="600" w:hRule="atLeast"/>
        </w:trPr>
        <w:tc>
          <w:tcPr>
            <w:tcW w:w="8860" w:type="dxa"/>
            <w:gridSpan w:val="11"/>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pict>
                <v:group id="组合 46" o:spid="_x0000_s1053" o:spt="203" style="position:absolute;left:0pt;margin-left:-80.9pt;margin-top:-81.1pt;height:41.2pt;width:243.2pt;mso-position-vertical-relative:page;z-index:251678720;mso-width-relative:page;mso-height-relative:page;" coordorigin="4551,52615" coordsize="8546,1398">
                  <o:lock v:ext="edit"/>
                  <v:rect id="矩形 13" o:spid="_x0000_s1054" o:spt="1" style="position:absolute;left:4551;top:52615;height:1175;width:8546;v-text-anchor:middle;" fillcolor="#96DA9D" filled="t" stroked="f" coordsize="21600,21600">
                    <v:path/>
                    <v:fill on="t" focussize="0,0"/>
                    <v:stroke on="f" weight="2pt"/>
                    <v:imagedata o:title=""/>
                    <o:lock v:ext="edit"/>
                  </v:rect>
                  <v:rect id="矩形 14" o:spid="_x0000_s105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71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3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gridAfter w:val="1"/>
          <w:wAfter w:w="1486" w:type="dxa"/>
          <w:trHeight w:val="334" w:hRule="atLeast"/>
        </w:trPr>
        <w:tc>
          <w:tcPr>
            <w:tcW w:w="3847"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p>
        </w:tc>
        <w:tc>
          <w:tcPr>
            <w:tcW w:w="1892"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1"/>
          <w:wAfter w:w="1486" w:type="dxa"/>
          <w:trHeight w:val="351" w:hRule="atLeast"/>
        </w:trPr>
        <w:tc>
          <w:tcPr>
            <w:tcW w:w="4703"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4157" w:type="dxa"/>
            <w:gridSpan w:val="6"/>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gridAfter w:val="1"/>
          <w:wAfter w:w="1486" w:type="dxa"/>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3710"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425" w:type="dxa"/>
            <w:gridSpan w:val="3"/>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小计</w:t>
            </w:r>
          </w:p>
        </w:tc>
        <w:tc>
          <w:tcPr>
            <w:tcW w:w="1380"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35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gridAfter w:val="1"/>
          <w:wAfter w:w="1486" w:type="dxa"/>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3710"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425" w:type="dxa"/>
            <w:gridSpan w:val="3"/>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380"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35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gridAfter w:val="1"/>
          <w:wAfter w:w="1486" w:type="dxa"/>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3710"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425" w:type="dxa"/>
            <w:gridSpan w:val="3"/>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380"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35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gridAfter w:val="1"/>
          <w:wAfter w:w="1486" w:type="dxa"/>
          <w:trHeight w:val="368" w:hRule="atLeast"/>
        </w:trPr>
        <w:tc>
          <w:tcPr>
            <w:tcW w:w="4703"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gridAfter w:val="1"/>
          <w:wAfter w:w="1486" w:type="dxa"/>
          <w:trHeight w:val="368" w:hRule="atLeast"/>
        </w:trPr>
        <w:tc>
          <w:tcPr>
            <w:tcW w:w="4703"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Cs w:val="21"/>
                <w:lang w:val="en-US" w:eastAsia="zh-CN"/>
              </w:rPr>
            </w:pPr>
            <w:r>
              <w:rPr>
                <w:rFonts w:hint="eastAsia" w:ascii="宋体" w:cs="宋体"/>
                <w:b/>
                <w:color w:val="000000"/>
                <w:szCs w:val="21"/>
                <w:lang w:val="en-US" w:eastAsia="zh-CN"/>
              </w:rPr>
              <w:t>808.94</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Cs w:val="21"/>
                <w:lang w:val="en-US" w:eastAsia="zh-CN"/>
              </w:rPr>
            </w:pPr>
            <w:r>
              <w:rPr>
                <w:rFonts w:hint="eastAsia" w:ascii="宋体" w:cs="宋体"/>
                <w:b/>
                <w:color w:val="000000"/>
                <w:szCs w:val="21"/>
                <w:lang w:val="en-US" w:eastAsia="zh-CN"/>
              </w:rPr>
              <w:t>466.92</w:t>
            </w: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b/>
                <w:color w:val="000000"/>
                <w:szCs w:val="21"/>
                <w:lang w:val="en-US" w:eastAsia="zh-CN"/>
              </w:rPr>
            </w:pPr>
            <w:r>
              <w:rPr>
                <w:rFonts w:hint="eastAsia" w:ascii="宋体" w:cs="宋体"/>
                <w:b/>
                <w:color w:val="000000"/>
                <w:szCs w:val="21"/>
                <w:lang w:val="en-US" w:eastAsia="zh-CN"/>
              </w:rPr>
              <w:t>342.02</w:t>
            </w:r>
          </w:p>
        </w:tc>
      </w:tr>
      <w:tr>
        <w:tblPrEx>
          <w:tblCellMar>
            <w:top w:w="0" w:type="dxa"/>
            <w:left w:w="0" w:type="dxa"/>
            <w:bottom w:w="0" w:type="dxa"/>
            <w:right w:w="0" w:type="dxa"/>
          </w:tblCellMar>
        </w:tblPrEx>
        <w:trPr>
          <w:gridAfter w:val="1"/>
          <w:wAfter w:w="1486" w:type="dxa"/>
          <w:trHeight w:val="564"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一般公共服务支出</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389.24</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366.70</w:t>
            </w: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22.54</w:t>
            </w: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政府办公厅（室）及相关机构事务</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389.24</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366.70</w:t>
            </w: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22.54</w:t>
            </w: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2010301</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269.90</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269.90</w:t>
            </w: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2010302</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8.00</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8.00</w:t>
            </w: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2010308</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信访事务</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14.54</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14.54</w:t>
            </w: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2010350</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事业运行</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96.80</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96.80</w:t>
            </w: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74.08</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74.08</w:t>
            </w: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行政事业单位离退休</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64.27</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64.27</w:t>
            </w: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2080501</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归口管理的行政单位离退休</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2.32</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2.32</w:t>
            </w: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2080502</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事业单位离退休</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26.13</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26.13</w:t>
            </w: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2080505</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34.17</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34.17</w:t>
            </w: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2080506</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机关事业单位职业年金缴费支出</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1.65</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1.65</w:t>
            </w: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20808</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抚恤</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6.21</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6.21</w:t>
            </w: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2080899</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其他优抚支出</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6.21</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6.21</w:t>
            </w: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20899</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其他社会保障和就业支出</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3.60</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3.60</w:t>
            </w: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2089901</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其他社会保障和就业支出</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3.60</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3.60</w:t>
            </w: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210</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医疗卫生与计划生育支出</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0.29</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0.29</w:t>
            </w: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21099</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其他医疗卫生与计划生育支出</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0.29</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0.29</w:t>
            </w: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2109901</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其他医疗卫生与计划生育支出</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0.29</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0.29</w:t>
            </w: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节能环保支出</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101.96</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5.00</w:t>
            </w: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96.96</w:t>
            </w: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21103</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污染防治</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10.00</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5.00</w:t>
            </w: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5.00</w:t>
            </w: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2110301</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大气</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10.00</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5.00</w:t>
            </w: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5.00</w:t>
            </w: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21104</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自然生态保护</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91.96</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91.96</w:t>
            </w: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2110402</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农村环境保护</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91.96</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91.96</w:t>
            </w: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农林水支出</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222.52</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222.52</w:t>
            </w: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21301</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农业</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20.00</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20.00</w:t>
            </w: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2130126</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农村公益事业</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20.00</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20.00</w:t>
            </w: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21307</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农村综合改革</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202.52</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202.52</w:t>
            </w: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2130701</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对村级一事一议的补助</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79.40</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79.40</w:t>
            </w: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2130705</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对村民委员会和村党支部的补助</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123.12</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123.12</w:t>
            </w: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221</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住房保障支出</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20.85</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20.85</w:t>
            </w: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22102</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住房改革支出</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20.85</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20.85</w:t>
            </w: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86" w:type="dxa"/>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2210201</w:t>
            </w:r>
          </w:p>
        </w:tc>
        <w:tc>
          <w:tcPr>
            <w:tcW w:w="371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宋体"/>
                <w:color w:val="000000"/>
                <w:szCs w:val="21"/>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142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r>
              <w:rPr>
                <w:rFonts w:hint="eastAsia" w:ascii="宋体" w:cs="宋体"/>
                <w:color w:val="000000"/>
                <w:szCs w:val="21"/>
                <w:lang w:val="en-US" w:eastAsia="zh-CN"/>
              </w:rPr>
              <w:t>20.85</w:t>
            </w:r>
          </w:p>
        </w:tc>
        <w:tc>
          <w:tcPr>
            <w:tcW w:w="138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Cs w:val="21"/>
                <w:lang w:val="en-US" w:eastAsia="zh-CN"/>
              </w:rPr>
            </w:pPr>
            <w:r>
              <w:rPr>
                <w:rFonts w:hint="eastAsia" w:ascii="宋体" w:cs="宋体"/>
                <w:color w:val="000000"/>
                <w:szCs w:val="21"/>
                <w:lang w:val="en-US" w:eastAsia="zh-CN"/>
              </w:rPr>
              <w:t>20.85</w:t>
            </w:r>
          </w:p>
        </w:tc>
        <w:tc>
          <w:tcPr>
            <w:tcW w:w="135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gridAfter w:val="1"/>
          <w:wAfter w:w="1486" w:type="dxa"/>
          <w:trHeight w:val="368" w:hRule="atLeast"/>
        </w:trPr>
        <w:tc>
          <w:tcPr>
            <w:tcW w:w="8860" w:type="dxa"/>
            <w:gridSpan w:val="11"/>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9"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8"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2"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236"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w:pict>
                <v:group id="组合 49" o:spid="_x0000_s1056" o:spt="203" style="position:absolute;left:0pt;margin-left:-73.25pt;margin-top:-129.4pt;height:41.2pt;width:243.2pt;mso-position-vertical-relative:page;z-index:251679744;mso-width-relative:page;mso-height-relative:page;" coordorigin="4551,52615" coordsize="8546,1398">
                  <o:lock v:ext="edit"/>
                  <v:rect id="矩形 13" o:spid="_x0000_s1057" o:spt="1" style="position:absolute;left:4551;top:52615;height:1175;width:8546;v-text-anchor:middle;" fillcolor="#96DA9D" filled="t" stroked="f" coordsize="21600,21600">
                    <v:path/>
                    <v:fill on="t" focussize="0,0"/>
                    <v:stroke on="f" weight="2pt"/>
                    <v:imagedata o:title=""/>
                    <o:lock v:ext="edit"/>
                  </v:rect>
                  <v:rect id="矩形 14" o:spid="_x0000_s105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183"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9"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59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3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5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9"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59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47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6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3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5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344.37</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48.75</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130.37</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6.30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89.93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印刷费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53.59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咨询费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手续费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4.20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水费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34.17</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1.65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邮电费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1.93</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9.61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取暖费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9.00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物业管理费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差旅费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20.85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因公出国（境）费用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维修（护）费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租赁费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73.80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会议费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培训费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40.03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公务接待费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0.89</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专用材料费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13.04</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被装购置费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30305</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6.35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专用燃料费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劳务费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委托业务费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1.50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工会经费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1.95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福利费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公务用车运行维护费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7.27</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12.43</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12.18</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税金及附加费用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9.68</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7"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418.17</w:t>
            </w:r>
          </w:p>
        </w:tc>
        <w:tc>
          <w:tcPr>
            <w:tcW w:w="5326"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48.75</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r>
              <w:rPr>
                <w:rFonts w:ascii="宋体" w:hAnsi="宋体" w:cs="宋体"/>
                <w:color w:val="000000"/>
                <w:kern w:val="0"/>
                <w:sz w:val="20"/>
                <w:szCs w:val="20"/>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pict>
                <v:group id="组合 52" o:spid="_x0000_s1059" o:spt="203" style="position:absolute;left:0pt;margin-left:-82.75pt;margin-top:-81.1pt;height:41.2pt;width:243.2pt;mso-position-vertical-relative:page;z-index:251680768;mso-width-relative:page;mso-height-relative:page;" coordorigin="4551,52615" coordsize="8546,1398">
                  <o:lock v:ext="edit"/>
                  <v:rect id="矩形 13" o:spid="_x0000_s1060" o:spt="1" style="position:absolute;left:4551;top:52615;height:1175;width:8546;v-text-anchor:middle;" fillcolor="#96DA9D" filled="t" stroked="f" coordsize="21600,21600">
                    <v:path/>
                    <v:fill on="t" focussize="0,0"/>
                    <v:stroke on="f" weight="2pt"/>
                    <v:imagedata o:title=""/>
                    <o:lock v:ext="edit"/>
                  </v:rect>
                  <v:rect id="矩形 14" o:spid="_x0000_s106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8.09</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8.09</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7.20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0.89</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8.16</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8.16</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7.27</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0.89</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pict>
                <v:group id="组合 55" o:spid="_x0000_s1062" o:spt="203" style="position:absolute;left:0pt;margin-left:-80.9pt;margin-top:-81.1pt;height:41.2pt;width:243.2pt;mso-position-vertical-relative:page;z-index:251681792;mso-width-relative:page;mso-height-relative:page;" coordorigin="4551,52615" coordsize="8546,1398">
                  <o:lock v:ext="edit"/>
                  <v:rect id="矩形 13" o:spid="_x0000_s1063" o:spt="1" style="position:absolute;left:4551;top:52615;height:1175;width:8546;v-text-anchor:middle;" fillcolor="#96DA9D" filled="t" stroked="f" coordsize="21600,21600">
                    <v:path/>
                    <v:fill on="t" focussize="0,0"/>
                    <v:stroke on="f" weight="2pt"/>
                    <v:imagedata o:title=""/>
                    <o:lock v:ext="edit"/>
                  </v:rect>
                  <v:rect id="矩形 14" o:spid="_x0000_s106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w:t>
            </w: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hint="default" w:ascii="宋体" w:eastAsia="宋体" w:cs="宋体"/>
                <w:b/>
                <w:color w:val="000000"/>
                <w:szCs w:val="21"/>
                <w:lang w:val="en-US" w:eastAsia="zh-CN"/>
              </w:rPr>
            </w:pPr>
            <w:r>
              <w:rPr>
                <w:rFonts w:hint="eastAsia" w:ascii="宋体" w:cs="宋体"/>
                <w:b/>
                <w:color w:val="000000"/>
                <w:szCs w:val="21"/>
                <w:lang w:val="en-US" w:eastAsia="zh-CN"/>
              </w:rPr>
              <w:t>40.45</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hint="default" w:ascii="宋体" w:eastAsia="宋体" w:cs="宋体"/>
                <w:b/>
                <w:color w:val="000000"/>
                <w:szCs w:val="21"/>
                <w:lang w:val="en-US" w:eastAsia="zh-CN"/>
              </w:rPr>
            </w:pPr>
            <w:r>
              <w:rPr>
                <w:rFonts w:hint="eastAsia" w:ascii="宋体" w:cs="宋体"/>
                <w:b/>
                <w:color w:val="000000"/>
                <w:szCs w:val="21"/>
                <w:lang w:val="en-US" w:eastAsia="zh-CN"/>
              </w:rPr>
              <w:t>40.45</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hint="default" w:ascii="宋体" w:eastAsia="宋体" w:cs="宋体"/>
                <w:b/>
                <w:color w:val="000000"/>
                <w:szCs w:val="21"/>
                <w:lang w:val="en-US" w:eastAsia="zh-CN"/>
              </w:rPr>
            </w:pPr>
            <w:r>
              <w:rPr>
                <w:rFonts w:hint="eastAsia" w:ascii="宋体" w:cs="宋体"/>
                <w:b/>
                <w:color w:val="000000"/>
                <w:szCs w:val="21"/>
                <w:lang w:val="en-US" w:eastAsia="zh-CN"/>
              </w:rPr>
              <w:t>40.45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hint="default" w:ascii="宋体" w:eastAsia="宋体" w:cs="宋体"/>
                <w:color w:val="000000"/>
                <w:szCs w:val="21"/>
                <w:lang w:val="en-US" w:eastAsia="zh-CN"/>
              </w:rPr>
            </w:pPr>
            <w:r>
              <w:rPr>
                <w:rFonts w:hint="eastAsia" w:ascii="宋体" w:cs="宋体"/>
                <w:color w:val="000000"/>
                <w:szCs w:val="21"/>
                <w:lang w:val="en-US" w:eastAsia="zh-CN"/>
              </w:rPr>
              <w:t>212</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hint="eastAsia" w:ascii="宋体" w:eastAsia="宋体" w:cs="宋体"/>
                <w:color w:val="000000"/>
                <w:szCs w:val="21"/>
                <w:lang w:eastAsia="zh-CN"/>
              </w:rPr>
            </w:pPr>
            <w:r>
              <w:rPr>
                <w:rFonts w:hint="eastAsia" w:ascii="宋体" w:cs="宋体"/>
                <w:color w:val="000000"/>
                <w:szCs w:val="21"/>
                <w:lang w:eastAsia="zh-CN"/>
              </w:rPr>
              <w:t>城乡社区支出</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40.45</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hint="eastAsia" w:ascii="宋体" w:cs="宋体"/>
                <w:color w:val="000000"/>
                <w:szCs w:val="21"/>
                <w:lang w:val="en-US" w:eastAsia="zh-CN"/>
              </w:rPr>
              <w:t>40.45</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hint="eastAsia" w:ascii="宋体" w:cs="宋体"/>
                <w:color w:val="000000"/>
                <w:szCs w:val="21"/>
                <w:lang w:val="en-US" w:eastAsia="zh-CN"/>
              </w:rPr>
              <w:t>40.45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hint="default" w:ascii="宋体" w:eastAsia="宋体" w:cs="宋体"/>
                <w:color w:val="000000"/>
                <w:szCs w:val="21"/>
                <w:lang w:val="en-US" w:eastAsia="zh-CN"/>
              </w:rPr>
            </w:pPr>
            <w:r>
              <w:rPr>
                <w:rFonts w:hint="eastAsia" w:ascii="宋体" w:cs="宋体"/>
                <w:color w:val="000000"/>
                <w:szCs w:val="21"/>
                <w:lang w:val="en-US" w:eastAsia="zh-CN"/>
              </w:rPr>
              <w:t>21208</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hint="eastAsia" w:ascii="宋体" w:eastAsia="宋体" w:cs="宋体"/>
                <w:color w:val="000000"/>
                <w:szCs w:val="21"/>
                <w:lang w:eastAsia="zh-CN"/>
              </w:rPr>
            </w:pPr>
            <w:r>
              <w:rPr>
                <w:rFonts w:hint="eastAsia" w:ascii="宋体" w:cs="宋体"/>
                <w:color w:val="000000"/>
                <w:szCs w:val="21"/>
                <w:lang w:eastAsia="zh-CN"/>
              </w:rPr>
              <w:t>国有土地使用权出让收入及对应专项债务收入安排的支出</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40.45</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hint="eastAsia" w:ascii="宋体" w:cs="宋体"/>
                <w:color w:val="000000"/>
                <w:szCs w:val="21"/>
                <w:lang w:val="en-US" w:eastAsia="zh-CN"/>
              </w:rPr>
              <w:t>40.45</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hint="eastAsia" w:ascii="宋体" w:cs="宋体"/>
                <w:color w:val="000000"/>
                <w:szCs w:val="21"/>
                <w:lang w:val="en-US" w:eastAsia="zh-CN"/>
              </w:rPr>
              <w:t>40.45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hint="default" w:ascii="宋体" w:eastAsia="宋体" w:cs="宋体"/>
                <w:color w:val="000000"/>
                <w:szCs w:val="21"/>
                <w:lang w:val="en-US" w:eastAsia="zh-CN"/>
              </w:rPr>
            </w:pPr>
            <w:r>
              <w:rPr>
                <w:rFonts w:hint="eastAsia" w:ascii="宋体" w:cs="宋体"/>
                <w:color w:val="000000"/>
                <w:szCs w:val="21"/>
                <w:lang w:val="en-US" w:eastAsia="zh-CN"/>
              </w:rPr>
              <w:t>2120801</w:t>
            </w: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hint="default" w:ascii="宋体" w:eastAsia="宋体" w:cs="宋体"/>
                <w:color w:val="000000"/>
                <w:szCs w:val="21"/>
                <w:lang w:val="en-US" w:eastAsia="zh-CN"/>
              </w:rPr>
            </w:pPr>
            <w:r>
              <w:rPr>
                <w:rFonts w:hint="eastAsia" w:ascii="宋体" w:cs="宋体"/>
                <w:color w:val="000000"/>
                <w:szCs w:val="21"/>
                <w:lang w:val="en-US" w:eastAsia="zh-CN"/>
              </w:rPr>
              <w:t xml:space="preserve">  征地和拆迁补偿支出</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40.45</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hint="eastAsia" w:ascii="宋体" w:cs="宋体"/>
                <w:color w:val="000000"/>
                <w:szCs w:val="21"/>
                <w:lang w:val="en-US" w:eastAsia="zh-CN"/>
              </w:rPr>
              <w:t>40.45</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r>
              <w:rPr>
                <w:rFonts w:hint="eastAsia" w:ascii="宋体" w:cs="宋体"/>
                <w:color w:val="000000"/>
                <w:szCs w:val="21"/>
                <w:lang w:val="en-US" w:eastAsia="zh-CN"/>
              </w:rPr>
              <w:t>40.45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注：本表反映部门本年度政府性基金预算财政拨款收入、支出及结转和结余情况。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pict>
                <v:group id="组合 58" o:spid="_x0000_s1065" o:spt="203" style="position:absolute;left:0pt;margin-left:-80.9pt;margin-top:-81.1pt;height:41.2pt;width:243.2pt;mso-position-vertical-relative:page;z-index:251682816;mso-width-relative:page;mso-height-relative:page;" coordorigin="4551,52615" coordsize="8546,1398">
                  <o:lock v:ext="edit"/>
                  <v:rect id="矩形 13" o:spid="_x0000_s1066" o:spt="1" style="position:absolute;left:4551;top:52615;height:1175;width:8546;v-text-anchor:middle;" fillcolor="#96DA9D" filled="t" stroked="f" coordsize="21600,21600">
                    <v:path/>
                    <v:fill on="t" focussize="0,0"/>
                    <v:stroke on="f" weight="2pt"/>
                    <v:imagedata o:title=""/>
                    <o:lock v:ext="edit"/>
                  </v:rect>
                  <v:rect id="矩形 14" o:spid="_x0000_s1067"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77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hint="eastAsia" w:ascii="宋体" w:hAnsi="宋体" w:cs="宋体"/>
                <w:color w:val="000000"/>
                <w:kern w:val="0"/>
                <w:sz w:val="22"/>
                <w:szCs w:val="22"/>
              </w:rPr>
            </w:pPr>
            <w:r>
              <w:rPr>
                <w:rFonts w:hint="eastAsia" w:ascii="宋体" w:hAnsi="宋体" w:cs="宋体"/>
                <w:color w:val="000000"/>
                <w:kern w:val="0"/>
                <w:sz w:val="22"/>
                <w:szCs w:val="22"/>
              </w:rPr>
              <w:t>注：本表反映部门本年度国有资本经营预算财政拨款支出情况。</w:t>
            </w:r>
            <w:r>
              <w:rPr>
                <w:rFonts w:hint="eastAsia" w:ascii="宋体" w:cs="宋体"/>
                <w:color w:val="000000"/>
                <w:sz w:val="22"/>
                <w:szCs w:val="22"/>
                <w:lang w:eastAsia="zh-CN"/>
              </w:rPr>
              <w:t>本部门本年度无相关支出情况，按要求空表列示。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pict>
                <v:group id="组合 61" o:spid="_x0000_s1068" o:spt="203" style="position:absolute;left:0pt;margin-left:-80.9pt;margin-top:-81.1pt;height:41.2pt;width:243.2pt;mso-position-vertical-relative:page;z-index:251683840;mso-width-relative:page;mso-height-relative:page;" coordorigin="4551,52615" coordsize="8546,1398">
                  <o:lock v:ext="edit"/>
                  <v:rect id="矩形 13" o:spid="_x0000_s1069" o:spt="1" style="position:absolute;left:4551;top:52615;height:1175;width:8546;v-text-anchor:middle;" fillcolor="#96DA9D" filled="t" stroked="f" coordsize="21600,21600">
                    <v:path/>
                    <v:fill on="t" focussize="0,0"/>
                    <v:stroke on="f" weight="2pt"/>
                    <v:imagedata o:title=""/>
                    <o:lock v:ext="edit"/>
                  </v:rect>
                  <v:rect id="矩形 14" o:spid="_x0000_s107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注：本表反映部门本年度纳入部门预算范围的政府采购预算及支出情况。</w:t>
            </w:r>
            <w:r>
              <w:rPr>
                <w:rFonts w:ascii="宋体" w:hAnsi="宋体" w:cs="宋体"/>
                <w:color w:val="000000"/>
                <w:kern w:val="0"/>
                <w:szCs w:val="21"/>
              </w:rPr>
              <w:t xml:space="preserve">  </w:t>
            </w:r>
            <w:r>
              <w:rPr>
                <w:rFonts w:hint="eastAsia" w:ascii="宋体" w:cs="宋体"/>
                <w:color w:val="000000"/>
                <w:sz w:val="22"/>
                <w:szCs w:val="22"/>
                <w:lang w:eastAsia="zh-CN"/>
              </w:rPr>
              <w:t>本部门本年度无相关计划及支出情况，按要求空表列示。</w:t>
            </w:r>
          </w:p>
        </w:tc>
      </w:tr>
    </w:tbl>
    <w:p>
      <w:pPr>
        <w:widowControl/>
        <w:spacing w:after="0" w:line="560" w:lineRule="exact"/>
        <w:jc w:val="left"/>
        <w:rPr>
          <w:rFonts w:ascii="仿宋_GB2312" w:hAnsi="宋体" w:eastAsia="仿宋_GB2312"/>
          <w:b/>
          <w:sz w:val="28"/>
          <w:szCs w:val="28"/>
          <w:highlight w:val="yellow"/>
        </w:rPr>
      </w:pPr>
    </w:p>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图片 4" o:spid="_x0000_s1071" o:spt="75" alt="2" type="#_x0000_t75" style="position:absolute;left:0pt;margin-left:-79.45pt;margin-top:-105.35pt;height:840.95pt;width:594.5pt;z-index:-251650048;mso-width-relative:page;mso-height-relative:page;" filled="f" o:preferrelative="t" stroked="f" coordsize="21600,21600">
            <v:path/>
            <v:fill on="f" focussize="0,0"/>
            <v:stroke on="f" joinstyle="miter"/>
            <v:imagedata r:id="rId7" o:title=""/>
            <o:lock v:ext="edit" aspectratio="t"/>
          </v:shape>
        </w:pict>
      </w:r>
      <w:r>
        <w:pict>
          <v:shape id="文本框 5" o:spid="_x0000_s1072" o:spt="202" type="#_x0000_t202" style="position:absolute;left:0pt;margin-left:-78.7pt;margin-top:232.8pt;height:159.1pt;width:596.2pt;z-index:251665408;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w:pict>
          <v:group id="组合 18" o:spid="_x0000_s1073" o:spt="203" style="position:absolute;left:0pt;margin-left:-79.5pt;margin-top:29.3pt;height:43.95pt;width:301.85pt;mso-position-vertical-relative:page;z-index:251692032;mso-width-relative:page;mso-height-relative:page;" coordorigin="4551,52615" coordsize="8546,1398">
            <o:lock v:ext="edit"/>
            <v:rect id="矩形 13" o:spid="_x0000_s1074" o:spt="1" style="position:absolute;left:4551;top:52615;height:1175;width:8546;v-text-anchor:middle;" fillcolor="#96DA9D" filled="t" stroked="f" coordsize="21600,21600">
              <v:path/>
              <v:fill on="t" focussize="0,0"/>
              <v:stroke on="f" weight="2pt"/>
              <v:imagedata o:title=""/>
              <o:lock v:ext="edit"/>
            </v:rect>
            <v:rect id="矩形 14" o:spid="_x0000_s107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hAnsi="Cambria" w:eastAsia="黑体" w:cs="黑体"/>
          <w:b w:val="0"/>
          <w:bCs w:val="0"/>
          <w:kern w:val="0"/>
        </w:rPr>
        <w:t>出</w:t>
      </w:r>
      <w:r>
        <w:rPr>
          <w:rFonts w:hint="eastAsia" w:ascii="黑体" w:eastAsia="黑体"/>
          <w:b w:val="0"/>
          <w:bCs w:val="0"/>
        </w:rPr>
        <w:t>决算总体情况说明</w:t>
      </w:r>
    </w:p>
    <w:p>
      <w:pPr>
        <w:ind w:firstLine="570"/>
        <w:rPr>
          <w:rFonts w:hint="eastAsia" w:ascii="仿宋_GB2312" w:hAnsi="仿宋_GB2312" w:eastAsia="仿宋_GB2312" w:cs="仿宋_GB2312"/>
          <w:sz w:val="28"/>
          <w:szCs w:val="28"/>
          <w:lang w:eastAsia="zh-CN"/>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年度收入总计（含结转和结余）</w:t>
      </w:r>
      <w:r>
        <w:rPr>
          <w:rFonts w:hint="eastAsia" w:ascii="仿宋_GB2312" w:eastAsia="仿宋_GB2312" w:cs="DengXian-Regular"/>
          <w:sz w:val="32"/>
          <w:szCs w:val="32"/>
          <w:lang w:val="en-US" w:eastAsia="zh-CN"/>
        </w:rPr>
        <w:t>849.39</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年度决算相比，收入增加</w:t>
      </w:r>
      <w:r>
        <w:rPr>
          <w:rFonts w:hint="eastAsia" w:ascii="仿宋_GB2312" w:eastAsia="仿宋_GB2312" w:cs="DengXian-Regular"/>
          <w:sz w:val="32"/>
          <w:szCs w:val="32"/>
          <w:lang w:val="en-US" w:eastAsia="zh-CN"/>
        </w:rPr>
        <w:t>143.39</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20.31</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hAnsi="仿宋_GB2312" w:eastAsia="仿宋_GB2312" w:cs="仿宋_GB2312"/>
          <w:sz w:val="28"/>
          <w:szCs w:val="28"/>
        </w:rPr>
        <w:t>其中：财政拨款收入</w:t>
      </w:r>
      <w:r>
        <w:rPr>
          <w:rFonts w:hint="eastAsia" w:ascii="仿宋_GB2312" w:hAnsi="仿宋_GB2312" w:eastAsia="仿宋_GB2312" w:cs="仿宋_GB2312"/>
          <w:sz w:val="28"/>
          <w:szCs w:val="28"/>
          <w:lang w:eastAsia="zh-CN"/>
        </w:rPr>
        <w:t>增加</w:t>
      </w:r>
      <w:r>
        <w:rPr>
          <w:rFonts w:hint="eastAsia" w:ascii="仿宋_GB2312" w:hAnsi="仿宋_GB2312" w:eastAsia="仿宋_GB2312" w:cs="仿宋_GB2312"/>
          <w:sz w:val="28"/>
          <w:szCs w:val="28"/>
          <w:lang w:val="en-US" w:eastAsia="zh-CN"/>
        </w:rPr>
        <w:t>102.94</w:t>
      </w:r>
      <w:r>
        <w:rPr>
          <w:rFonts w:hint="eastAsia" w:ascii="仿宋_GB2312" w:hAnsi="仿宋_GB2312" w:eastAsia="仿宋_GB2312" w:cs="仿宋_GB2312"/>
          <w:sz w:val="28"/>
          <w:szCs w:val="28"/>
        </w:rPr>
        <w:t xml:space="preserve"> 万元，</w:t>
      </w:r>
      <w:r>
        <w:rPr>
          <w:rFonts w:hint="eastAsia" w:ascii="仿宋_GB2312" w:hAnsi="仿宋_GB2312" w:eastAsia="仿宋_GB2312" w:cs="仿宋_GB2312"/>
          <w:sz w:val="28"/>
          <w:szCs w:val="28"/>
          <w:lang w:eastAsia="zh-CN"/>
        </w:rPr>
        <w:t>增长了</w:t>
      </w:r>
      <w:r>
        <w:rPr>
          <w:rFonts w:hint="eastAsia" w:ascii="仿宋_GB2312" w:hAnsi="仿宋_GB2312" w:eastAsia="仿宋_GB2312" w:cs="仿宋_GB2312"/>
          <w:sz w:val="28"/>
          <w:szCs w:val="28"/>
          <w:lang w:val="en-US" w:eastAsia="zh-CN"/>
        </w:rPr>
        <w:t>14.58</w:t>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lang w:eastAsia="zh-CN"/>
        </w:rPr>
        <w:t>；政府性基金预算收入增加了</w:t>
      </w:r>
      <w:r>
        <w:rPr>
          <w:rFonts w:hint="eastAsia" w:ascii="仿宋_GB2312" w:hAnsi="仿宋_GB2312" w:eastAsia="仿宋_GB2312" w:cs="仿宋_GB2312"/>
          <w:sz w:val="28"/>
          <w:szCs w:val="28"/>
          <w:lang w:val="en-US" w:eastAsia="zh-CN"/>
        </w:rPr>
        <w:t>40.45万元。</w:t>
      </w:r>
      <w:r>
        <w:rPr>
          <w:rFonts w:hint="eastAsia" w:ascii="仿宋_GB2312" w:eastAsia="仿宋_GB2312" w:cs="DengXian-Regular"/>
          <w:sz w:val="32"/>
          <w:szCs w:val="32"/>
        </w:rPr>
        <w:t>主要原因是</w:t>
      </w:r>
      <w:r>
        <w:rPr>
          <w:rFonts w:hint="eastAsia" w:ascii="仿宋_GB2312" w:hAnsi="仿宋_GB2312" w:eastAsia="仿宋_GB2312" w:cs="仿宋_GB2312"/>
          <w:sz w:val="28"/>
          <w:szCs w:val="28"/>
        </w:rPr>
        <w:t>201</w:t>
      </w: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rPr>
        <w:t>年度</w:t>
      </w:r>
      <w:r>
        <w:rPr>
          <w:rFonts w:hint="eastAsia" w:ascii="仿宋_GB2312" w:hAnsi="仿宋_GB2312" w:eastAsia="仿宋_GB2312" w:cs="仿宋_GB2312"/>
          <w:sz w:val="28"/>
          <w:szCs w:val="28"/>
          <w:lang w:eastAsia="zh-CN"/>
        </w:rPr>
        <w:t>有</w:t>
      </w:r>
      <w:r>
        <w:rPr>
          <w:rFonts w:hint="eastAsia" w:ascii="仿宋_GB2312" w:hAnsi="仿宋_GB2312" w:eastAsia="仿宋_GB2312" w:cs="仿宋_GB2312"/>
          <w:sz w:val="28"/>
          <w:szCs w:val="28"/>
        </w:rPr>
        <w:t>工资</w:t>
      </w:r>
      <w:r>
        <w:rPr>
          <w:rFonts w:hint="eastAsia" w:ascii="仿宋_GB2312" w:hAnsi="仿宋_GB2312" w:eastAsia="仿宋_GB2312" w:cs="仿宋_GB2312"/>
          <w:sz w:val="28"/>
          <w:szCs w:val="28"/>
          <w:lang w:eastAsia="zh-CN"/>
        </w:rPr>
        <w:t>调整增加了人员经费</w:t>
      </w:r>
      <w:r>
        <w:rPr>
          <w:rFonts w:hint="eastAsia" w:ascii="仿宋_GB2312" w:hAnsi="仿宋_GB2312" w:eastAsia="仿宋_GB2312" w:cs="仿宋_GB2312"/>
          <w:sz w:val="28"/>
          <w:szCs w:val="28"/>
        </w:rPr>
        <w:t>；</w:t>
      </w:r>
      <w:r>
        <w:rPr>
          <w:rFonts w:hint="eastAsia" w:ascii="仿宋_GB2312" w:eastAsia="仿宋_GB2312" w:cs="DengXian-Regular"/>
          <w:sz w:val="32"/>
          <w:szCs w:val="32"/>
          <w:lang w:eastAsia="zh-CN"/>
        </w:rPr>
        <w:t>追加了旅发大会征地补偿费项目及对个人和家庭的补助</w:t>
      </w:r>
      <w:r>
        <w:rPr>
          <w:rFonts w:hint="eastAsia" w:ascii="仿宋_GB2312" w:hAnsi="仿宋_GB2312" w:eastAsia="仿宋_GB2312" w:cs="仿宋_GB2312"/>
          <w:sz w:val="28"/>
          <w:szCs w:val="28"/>
          <w:lang w:eastAsia="zh-CN"/>
        </w:rPr>
        <w:t>。</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年度支出总计（含结转和结余）</w:t>
      </w:r>
      <w:r>
        <w:rPr>
          <w:rFonts w:hint="eastAsia" w:ascii="仿宋_GB2312" w:eastAsia="仿宋_GB2312" w:cs="DengXian-Regular"/>
          <w:sz w:val="32"/>
          <w:szCs w:val="32"/>
          <w:lang w:val="en-US" w:eastAsia="zh-CN"/>
        </w:rPr>
        <w:t>849.39</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年度决算相比，支出增加</w:t>
      </w:r>
      <w:r>
        <w:rPr>
          <w:rFonts w:hint="eastAsia" w:ascii="仿宋_GB2312" w:eastAsia="仿宋_GB2312" w:cs="DengXian-Regular"/>
          <w:sz w:val="32"/>
          <w:szCs w:val="32"/>
          <w:lang w:val="en-US" w:eastAsia="zh-CN"/>
        </w:rPr>
        <w:t>143.98</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20.31</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hAnsi="仿宋_GB2312" w:eastAsia="仿宋_GB2312" w:cs="仿宋_GB2312"/>
          <w:sz w:val="28"/>
          <w:szCs w:val="28"/>
        </w:rPr>
        <w:t>201</w:t>
      </w: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rPr>
        <w:t>年度</w:t>
      </w:r>
      <w:r>
        <w:rPr>
          <w:rFonts w:hint="eastAsia" w:ascii="仿宋_GB2312" w:hAnsi="仿宋_GB2312" w:eastAsia="仿宋_GB2312" w:cs="仿宋_GB2312"/>
          <w:sz w:val="28"/>
          <w:szCs w:val="28"/>
          <w:lang w:eastAsia="zh-CN"/>
        </w:rPr>
        <w:t>有</w:t>
      </w:r>
      <w:r>
        <w:rPr>
          <w:rFonts w:hint="eastAsia" w:ascii="仿宋_GB2312" w:hAnsi="仿宋_GB2312" w:eastAsia="仿宋_GB2312" w:cs="仿宋_GB2312"/>
          <w:sz w:val="28"/>
          <w:szCs w:val="28"/>
        </w:rPr>
        <w:t>工资</w:t>
      </w:r>
      <w:r>
        <w:rPr>
          <w:rFonts w:hint="eastAsia" w:ascii="仿宋_GB2312" w:hAnsi="仿宋_GB2312" w:eastAsia="仿宋_GB2312" w:cs="仿宋_GB2312"/>
          <w:sz w:val="28"/>
          <w:szCs w:val="28"/>
          <w:lang w:eastAsia="zh-CN"/>
        </w:rPr>
        <w:t>调整增加了人员经费</w:t>
      </w:r>
      <w:r>
        <w:rPr>
          <w:rFonts w:hint="eastAsia" w:ascii="仿宋_GB2312" w:hAnsi="仿宋_GB2312" w:eastAsia="仿宋_GB2312" w:cs="仿宋_GB2312"/>
          <w:sz w:val="28"/>
          <w:szCs w:val="28"/>
        </w:rPr>
        <w:t>；</w:t>
      </w:r>
      <w:r>
        <w:rPr>
          <w:rFonts w:hint="eastAsia" w:ascii="仿宋_GB2312" w:eastAsia="仿宋_GB2312" w:cs="DengXian-Regular"/>
          <w:sz w:val="32"/>
          <w:szCs w:val="32"/>
          <w:lang w:eastAsia="zh-CN"/>
        </w:rPr>
        <w:t>追加了旅发大会征地补偿费项目及对个人和家庭的补助。</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年度本年收入合计</w:t>
      </w:r>
      <w:r>
        <w:rPr>
          <w:rFonts w:hint="eastAsia" w:ascii="仿宋_GB2312" w:eastAsia="仿宋_GB2312" w:cs="DengXian-Regular"/>
          <w:sz w:val="32"/>
          <w:szCs w:val="32"/>
          <w:lang w:val="en-US" w:eastAsia="zh-CN"/>
        </w:rPr>
        <w:t>849.39</w:t>
      </w:r>
      <w:r>
        <w:rPr>
          <w:rFonts w:hint="eastAsia" w:ascii="仿宋_GB2312" w:eastAsia="仿宋_GB2312" w:cs="DengXian-Regular"/>
          <w:sz w:val="32"/>
          <w:szCs w:val="32"/>
        </w:rPr>
        <w:t>万元，其中：财政拨款收入</w:t>
      </w:r>
      <w:r>
        <w:rPr>
          <w:rFonts w:hint="eastAsia" w:ascii="仿宋_GB2312" w:eastAsia="仿宋_GB2312" w:cs="DengXian-Regular"/>
          <w:sz w:val="32"/>
          <w:szCs w:val="32"/>
          <w:lang w:val="en-US" w:eastAsia="zh-CN"/>
        </w:rPr>
        <w:t>849.39</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ascii="仿宋_GB2312" w:eastAsia="仿宋_GB2312" w:cs="DengXian-Regular"/>
          <w:sz w:val="32"/>
          <w:szCs w:val="32"/>
        </w:rPr>
        <w:t>%</w:t>
      </w:r>
      <w:r>
        <w:rPr>
          <w:rFonts w:hint="eastAsia" w:ascii="仿宋_GB2312" w:eastAsia="仿宋_GB2312" w:cs="DengXian-Regular"/>
          <w:sz w:val="32"/>
          <w:szCs w:val="32"/>
        </w:rPr>
        <w:t>；事业收入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；经营收入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；其他收入</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黑体" w:eastAsia="黑体"/>
          <w:b w:val="0"/>
          <w:bCs w:val="0"/>
        </w:rPr>
      </w:pPr>
      <w:r>
        <w:rPr>
          <w:rFonts w:hint="eastAsia" w:ascii="黑体" w:eastAsia="黑体"/>
          <w:b w:val="0"/>
          <w:bCs w:val="0"/>
          <w:sz w:val="32"/>
          <w:szCs w:val="32"/>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年度本年支出合计</w:t>
      </w:r>
      <w:r>
        <w:rPr>
          <w:rFonts w:hint="eastAsia" w:ascii="仿宋_GB2312" w:eastAsia="仿宋_GB2312" w:cs="DengXian-Regular"/>
          <w:sz w:val="32"/>
          <w:szCs w:val="32"/>
          <w:lang w:val="en-US" w:eastAsia="zh-CN"/>
        </w:rPr>
        <w:t>849.39</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466.92</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54.97</w:t>
      </w:r>
      <w:r>
        <w:rPr>
          <w:rFonts w:ascii="仿宋_GB2312" w:eastAsia="仿宋_GB2312" w:cs="DengXian-Regular"/>
          <w:sz w:val="32"/>
          <w:szCs w:val="32"/>
        </w:rPr>
        <w:t>%</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382.47</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45.03</w:t>
      </w:r>
      <w:r>
        <w:rPr>
          <w:rFonts w:ascii="仿宋_GB2312" w:eastAsia="仿宋_GB2312" w:cs="DengXian-Regular"/>
          <w:sz w:val="32"/>
          <w:szCs w:val="32"/>
        </w:rPr>
        <w:t>%</w:t>
      </w:r>
      <w:r>
        <w:rPr>
          <w:rFonts w:hint="eastAsia" w:ascii="仿宋_GB2312" w:eastAsia="仿宋_GB2312" w:cs="DengXian-Regular"/>
          <w:sz w:val="32"/>
          <w:szCs w:val="32"/>
        </w:rPr>
        <w:t>；经营支出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w:t>
      </w:r>
    </w:p>
    <w:p>
      <w:pPr>
        <w:adjustRightInd w:val="0"/>
        <w:snapToGrid w:val="0"/>
        <w:spacing w:after="0" w:line="580" w:lineRule="exact"/>
        <w:ind w:firstLine="960" w:firstLineChars="300"/>
        <w:rPr>
          <w:rFonts w:ascii="黑体" w:eastAsia="黑体"/>
          <w:b w:val="0"/>
          <w:bCs w:val="0"/>
          <w:sz w:val="32"/>
          <w:szCs w:val="32"/>
        </w:rPr>
      </w:pPr>
      <w:r>
        <w:rPr>
          <w:sz w:val="32"/>
          <w:szCs w:val="32"/>
        </w:rPr>
        <w:pict>
          <v:group id="组合 70" o:spid="_x0000_s1082" o:spt="203" style="position:absolute;left:0pt;margin-left:-79.5pt;margin-top:29.3pt;height:43.95pt;width:301.85pt;mso-position-vertical-relative:page;z-index:251684864;mso-width-relative:page;mso-height-relative:page;" coordorigin="4551,52615" coordsize="8546,1398">
            <o:lock v:ext="edit"/>
            <v:rect id="矩形 13" o:spid="_x0000_s1083" o:spt="1" style="position:absolute;left:4551;top:52615;height:1175;width:8546;v-text-anchor:middle;" fillcolor="#96DA9D" filled="t" stroked="f" coordsize="21600,21600">
              <v:path/>
              <v:fill on="t" focussize="0,0"/>
              <v:stroke on="f" weight="2pt"/>
              <v:imagedata o:title=""/>
              <o:lock v:ext="edit"/>
            </v:rect>
            <v:rect id="矩形 14" o:spid="_x0000_s108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eastAsia="黑体"/>
          <w:b w:val="0"/>
          <w:bCs w:val="0"/>
          <w:sz w:val="32"/>
          <w:szCs w:val="32"/>
        </w:rPr>
        <w:t>四、</w:t>
      </w:r>
      <w:r>
        <w:rPr>
          <w:rFonts w:hint="eastAsia" w:ascii="黑体" w:hAnsi="Cambria" w:eastAsia="黑体" w:cs="黑体"/>
          <w:b w:val="0"/>
          <w:bCs w:val="0"/>
          <w:kern w:val="0"/>
          <w:sz w:val="32"/>
          <w:szCs w:val="32"/>
        </w:rPr>
        <w:t>财政</w:t>
      </w:r>
      <w:r>
        <w:rPr>
          <w:rFonts w:hint="eastAsia" w:ascii="黑体" w:eastAsia="黑体"/>
          <w:b w:val="0"/>
          <w:bCs w:val="0"/>
          <w:sz w:val="32"/>
          <w:szCs w:val="32"/>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年度财政拨款本年收入</w:t>
      </w:r>
      <w:r>
        <w:rPr>
          <w:rFonts w:hint="eastAsia" w:ascii="仿宋_GB2312" w:eastAsia="仿宋_GB2312" w:cs="DengXian-Regular"/>
          <w:sz w:val="32"/>
          <w:szCs w:val="32"/>
          <w:lang w:val="en-US" w:eastAsia="zh-CN"/>
        </w:rPr>
        <w:t>849.39</w:t>
      </w:r>
      <w:r>
        <w:rPr>
          <w:rFonts w:hint="eastAsia" w:ascii="仿宋_GB2312" w:eastAsia="仿宋_GB2312" w:cs="DengXian-Regular"/>
          <w:sz w:val="32"/>
          <w:szCs w:val="32"/>
        </w:rPr>
        <w:t>万元</w:t>
      </w:r>
      <w:r>
        <w:rPr>
          <w:rFonts w:ascii="仿宋_GB2312" w:eastAsia="仿宋_GB2312" w:cs="DengXian-Regular"/>
          <w:sz w:val="32"/>
          <w:szCs w:val="32"/>
        </w:rPr>
        <w:t>,</w:t>
      </w:r>
      <w:r>
        <w:rPr>
          <w:rFonts w:hint="eastAsia" w:ascii="仿宋_GB2312" w:eastAsia="仿宋_GB2312" w:cs="DengXian-Regular"/>
          <w:sz w:val="32"/>
          <w:szCs w:val="32"/>
        </w:rPr>
        <w:t>比</w:t>
      </w:r>
      <w:r>
        <w:rPr>
          <w:rFonts w:ascii="仿宋_GB2312" w:eastAsia="仿宋_GB2312" w:cs="DengXian-Regular"/>
          <w:sz w:val="32"/>
          <w:szCs w:val="32"/>
        </w:rPr>
        <w:t>2017</w:t>
      </w:r>
      <w:r>
        <w:rPr>
          <w:rFonts w:hint="eastAsia" w:ascii="仿宋_GB2312" w:eastAsia="仿宋_GB2312" w:cs="DengXian-Regular"/>
          <w:sz w:val="32"/>
          <w:szCs w:val="32"/>
        </w:rPr>
        <w:t>年度增加</w:t>
      </w:r>
      <w:r>
        <w:rPr>
          <w:rFonts w:hint="eastAsia" w:ascii="仿宋_GB2312" w:eastAsia="仿宋_GB2312" w:cs="DengXian-Regular"/>
          <w:sz w:val="32"/>
          <w:szCs w:val="32"/>
          <w:lang w:val="en-US" w:eastAsia="zh-CN"/>
        </w:rPr>
        <w:t>143.39</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20.31</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hAnsi="仿宋_GB2312" w:eastAsia="仿宋_GB2312" w:cs="仿宋_GB2312"/>
          <w:sz w:val="28"/>
          <w:szCs w:val="28"/>
        </w:rPr>
        <w:t>201</w:t>
      </w: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rPr>
        <w:t>年度</w:t>
      </w:r>
      <w:r>
        <w:rPr>
          <w:rFonts w:hint="eastAsia" w:ascii="仿宋_GB2312" w:hAnsi="仿宋_GB2312" w:eastAsia="仿宋_GB2312" w:cs="仿宋_GB2312"/>
          <w:sz w:val="28"/>
          <w:szCs w:val="28"/>
          <w:lang w:eastAsia="zh-CN"/>
        </w:rPr>
        <w:t>有</w:t>
      </w:r>
      <w:r>
        <w:rPr>
          <w:rFonts w:hint="eastAsia" w:ascii="仿宋_GB2312" w:hAnsi="仿宋_GB2312" w:eastAsia="仿宋_GB2312" w:cs="仿宋_GB2312"/>
          <w:sz w:val="28"/>
          <w:szCs w:val="28"/>
        </w:rPr>
        <w:t>工资</w:t>
      </w:r>
      <w:r>
        <w:rPr>
          <w:rFonts w:hint="eastAsia" w:ascii="仿宋_GB2312" w:hAnsi="仿宋_GB2312" w:eastAsia="仿宋_GB2312" w:cs="仿宋_GB2312"/>
          <w:sz w:val="28"/>
          <w:szCs w:val="28"/>
          <w:lang w:eastAsia="zh-CN"/>
        </w:rPr>
        <w:t>调整增加了人员经费，追加了旅发大会征地补偿费项目及对个人和家庭的补助</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849.39</w:t>
      </w:r>
      <w:r>
        <w:rPr>
          <w:rFonts w:hint="eastAsia" w:ascii="仿宋_GB2312" w:eastAsia="仿宋_GB2312" w:cs="DengXian-Regular"/>
          <w:sz w:val="32"/>
          <w:szCs w:val="32"/>
        </w:rPr>
        <w:t>万元，增加</w:t>
      </w:r>
      <w:r>
        <w:rPr>
          <w:rFonts w:hint="eastAsia" w:ascii="仿宋_GB2312" w:eastAsia="仿宋_GB2312" w:cs="DengXian-Regular"/>
          <w:sz w:val="32"/>
          <w:szCs w:val="32"/>
          <w:lang w:val="en-US" w:eastAsia="zh-CN"/>
        </w:rPr>
        <w:t>143.39</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20.31</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eastAsia="zh-CN"/>
        </w:rPr>
        <w:t>主要是201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lang w:eastAsia="zh-CN"/>
        </w:rPr>
        <w:t>年度有工资调整增加了人员经费，追加了旅发大会征地补偿费项目及对个人和家庭的补助。</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其中：一般公共预算财政拨款本年收入</w:t>
      </w:r>
      <w:r>
        <w:rPr>
          <w:rFonts w:hint="eastAsia" w:ascii="仿宋_GB2312" w:eastAsia="仿宋_GB2312" w:cs="DengXian-Regular"/>
          <w:sz w:val="32"/>
          <w:szCs w:val="32"/>
          <w:lang w:val="en-US" w:eastAsia="zh-CN"/>
        </w:rPr>
        <w:t>808.94</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102.94</w:t>
      </w:r>
      <w:r>
        <w:rPr>
          <w:rFonts w:hint="eastAsia" w:ascii="仿宋_GB2312" w:eastAsia="仿宋_GB2312" w:cs="DengXian-Regular"/>
          <w:sz w:val="32"/>
          <w:szCs w:val="32"/>
        </w:rPr>
        <w:t>万元；主要是</w:t>
      </w:r>
      <w:r>
        <w:rPr>
          <w:rFonts w:hint="eastAsia" w:ascii="仿宋_GB2312" w:hAnsi="仿宋_GB2312" w:eastAsia="仿宋_GB2312" w:cs="仿宋_GB2312"/>
          <w:sz w:val="28"/>
          <w:szCs w:val="28"/>
        </w:rPr>
        <w:t>201</w:t>
      </w: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rPr>
        <w:t>年度</w:t>
      </w:r>
      <w:r>
        <w:rPr>
          <w:rFonts w:hint="eastAsia" w:ascii="仿宋_GB2312" w:hAnsi="仿宋_GB2312" w:eastAsia="仿宋_GB2312" w:cs="仿宋_GB2312"/>
          <w:sz w:val="28"/>
          <w:szCs w:val="28"/>
          <w:lang w:eastAsia="zh-CN"/>
        </w:rPr>
        <w:t>有</w:t>
      </w:r>
      <w:r>
        <w:rPr>
          <w:rFonts w:hint="eastAsia" w:ascii="仿宋_GB2312" w:hAnsi="仿宋_GB2312" w:eastAsia="仿宋_GB2312" w:cs="仿宋_GB2312"/>
          <w:sz w:val="28"/>
          <w:szCs w:val="28"/>
        </w:rPr>
        <w:t>工资</w:t>
      </w:r>
      <w:r>
        <w:rPr>
          <w:rFonts w:hint="eastAsia" w:ascii="仿宋_GB2312" w:hAnsi="仿宋_GB2312" w:eastAsia="仿宋_GB2312" w:cs="仿宋_GB2312"/>
          <w:sz w:val="28"/>
          <w:szCs w:val="28"/>
          <w:lang w:eastAsia="zh-CN"/>
        </w:rPr>
        <w:t>调整增加了人员经费及对个人和家庭的补助</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808.94</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102.94</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14.58</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hAnsi="仿宋_GB2312" w:eastAsia="仿宋_GB2312" w:cs="仿宋_GB2312"/>
          <w:sz w:val="28"/>
          <w:szCs w:val="28"/>
        </w:rPr>
        <w:t>201</w:t>
      </w: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rPr>
        <w:t>年度</w:t>
      </w:r>
      <w:r>
        <w:rPr>
          <w:rFonts w:hint="eastAsia" w:ascii="仿宋_GB2312" w:hAnsi="仿宋_GB2312" w:eastAsia="仿宋_GB2312" w:cs="仿宋_GB2312"/>
          <w:sz w:val="28"/>
          <w:szCs w:val="28"/>
          <w:lang w:eastAsia="zh-CN"/>
        </w:rPr>
        <w:t>有</w:t>
      </w:r>
      <w:r>
        <w:rPr>
          <w:rFonts w:hint="eastAsia" w:ascii="仿宋_GB2312" w:hAnsi="仿宋_GB2312" w:eastAsia="仿宋_GB2312" w:cs="仿宋_GB2312"/>
          <w:sz w:val="28"/>
          <w:szCs w:val="28"/>
        </w:rPr>
        <w:t>工资</w:t>
      </w:r>
      <w:r>
        <w:rPr>
          <w:rFonts w:hint="eastAsia" w:ascii="仿宋_GB2312" w:hAnsi="仿宋_GB2312" w:eastAsia="仿宋_GB2312" w:cs="仿宋_GB2312"/>
          <w:sz w:val="28"/>
          <w:szCs w:val="28"/>
          <w:lang w:eastAsia="zh-CN"/>
        </w:rPr>
        <w:t>调整增加了人员及对个人和家庭的补助</w:t>
      </w:r>
      <w:r>
        <w:rPr>
          <w:rFonts w:hint="eastAsia" w:ascii="仿宋_GB2312" w:eastAsia="仿宋_GB2312" w:cs="DengXian-Regular"/>
          <w:sz w:val="32"/>
          <w:szCs w:val="32"/>
        </w:rPr>
        <w:t>。政府性基金预算财政拨款本年收入</w:t>
      </w:r>
      <w:r>
        <w:rPr>
          <w:rFonts w:hint="eastAsia" w:ascii="仿宋_GB2312" w:eastAsia="仿宋_GB2312" w:cs="DengXian-Regular"/>
          <w:sz w:val="32"/>
          <w:szCs w:val="32"/>
          <w:lang w:val="en-US" w:eastAsia="zh-CN"/>
        </w:rPr>
        <w:t>40.45</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40.45</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100</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hAnsi="仿宋_GB2312" w:eastAsia="仿宋_GB2312" w:cs="仿宋_GB2312"/>
          <w:sz w:val="28"/>
          <w:szCs w:val="28"/>
          <w:lang w:eastAsia="zh-CN"/>
        </w:rPr>
        <w:t>追加了旅发大会征地补偿费项目</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849.39</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143.39</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20.31</w:t>
      </w:r>
      <w:r>
        <w:rPr>
          <w:rFonts w:ascii="仿宋_GB2312" w:eastAsia="仿宋_GB2312" w:cs="DengXian-Regular"/>
          <w:sz w:val="32"/>
          <w:szCs w:val="32"/>
        </w:rPr>
        <w:t>%</w:t>
      </w:r>
      <w:r>
        <w:rPr>
          <w:rFonts w:hint="eastAsia" w:ascii="仿宋_GB2312" w:eastAsia="仿宋_GB2312" w:cs="DengXian-Regular"/>
          <w:sz w:val="32"/>
          <w:szCs w:val="32"/>
        </w:rPr>
        <w:t>，主要</w:t>
      </w:r>
      <w:r>
        <w:rPr>
          <w:rFonts w:hint="eastAsia" w:ascii="仿宋_GB2312" w:eastAsia="仿宋_GB2312" w:cs="DengXian-Regular"/>
          <w:sz w:val="32"/>
          <w:szCs w:val="32"/>
          <w:lang w:eastAsia="zh-CN"/>
        </w:rPr>
        <w:t>是201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lang w:eastAsia="zh-CN"/>
        </w:rPr>
        <w:t>年度有工资调整增加了人员经费，追加了旅发大会征地补偿费项目及对个人和家庭的补助。</w:t>
      </w:r>
    </w:p>
    <w:p>
      <w:pPr>
        <w:numPr>
          <w:ilvl w:val="0"/>
          <w:numId w:val="1"/>
        </w:numPr>
        <w:spacing w:after="0" w:line="580" w:lineRule="exact"/>
        <w:ind w:firstLine="643" w:firstLineChars="200"/>
        <w:rPr>
          <w:rFonts w:hint="default" w:ascii="楷体_GB2312" w:eastAsia="楷体_GB2312" w:cs="DengXian-Bold"/>
          <w:b w:val="0"/>
          <w:bCs w:val="0"/>
          <w:sz w:val="32"/>
          <w:szCs w:val="32"/>
          <w:lang w:val="en-US" w:eastAsia="zh-CN"/>
        </w:rPr>
      </w:pPr>
      <w:r>
        <w:rPr>
          <w:rFonts w:hint="eastAsia" w:ascii="楷体_GB2312" w:eastAsia="楷体_GB2312" w:cs="DengXian-Bold"/>
          <w:b/>
          <w:bCs/>
          <w:sz w:val="32"/>
          <w:szCs w:val="32"/>
        </w:rPr>
        <w:t>财政拨款收支与年初预算数对比情况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年度财政拨款本年收入</w:t>
      </w:r>
      <w:r>
        <w:rPr>
          <w:rFonts w:hint="eastAsia" w:ascii="仿宋_GB2312" w:eastAsia="仿宋_GB2312" w:cs="DengXian-Regular"/>
          <w:sz w:val="32"/>
          <w:szCs w:val="32"/>
          <w:lang w:val="en-US" w:eastAsia="zh-CN"/>
        </w:rPr>
        <w:t>849.39</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158.69</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314.15</w:t>
      </w:r>
      <w:r>
        <w:rPr>
          <w:rFonts w:hint="eastAsia" w:ascii="仿宋_GB2312" w:eastAsia="仿宋_GB2312" w:cs="DengXian-Regular"/>
          <w:sz w:val="32"/>
          <w:szCs w:val="32"/>
        </w:rPr>
        <w:t>万元，决算数大于预算数主要原因是</w:t>
      </w:r>
      <w:r>
        <w:rPr>
          <w:rFonts w:hint="eastAsia" w:ascii="仿宋_GB2312" w:eastAsia="仿宋_GB2312" w:cs="DengXian-Regular"/>
          <w:sz w:val="32"/>
          <w:szCs w:val="32"/>
          <w:lang w:eastAsia="zh-CN"/>
        </w:rPr>
        <w:t>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lang w:eastAsia="zh-CN"/>
        </w:rPr>
        <w:t>年度有工资调整增加了人员经费，追加了旅发大会征地补偿费项目及对个人和家庭的补助；本</w:t>
      </w:r>
      <w:r>
        <w:rPr>
          <w:rFonts w:hint="eastAsia" w:ascii="仿宋_GB2312" w:eastAsia="仿宋_GB2312" w:cs="DengXian-Regular"/>
          <w:sz w:val="32"/>
          <w:szCs w:val="32"/>
        </w:rPr>
        <w:t>年支出</w:t>
      </w:r>
      <w:r>
        <w:rPr>
          <w:rFonts w:hint="eastAsia" w:ascii="仿宋_GB2312" w:eastAsia="仿宋_GB2312" w:cs="DengXian-Regular"/>
          <w:sz w:val="32"/>
          <w:szCs w:val="32"/>
          <w:lang w:val="en-US" w:eastAsia="zh-CN"/>
        </w:rPr>
        <w:t>849.39</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158.69</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314.15</w:t>
      </w:r>
      <w:r>
        <w:rPr>
          <w:rFonts w:hint="eastAsia" w:ascii="仿宋_GB2312" w:eastAsia="仿宋_GB2312" w:cs="DengXian-Regular"/>
          <w:sz w:val="32"/>
          <w:szCs w:val="32"/>
        </w:rPr>
        <w:t>万元，决算数大于预算数主要原因是主要是</w:t>
      </w:r>
      <w:r>
        <w:rPr>
          <w:rFonts w:hint="eastAsia" w:ascii="仿宋_GB2312" w:eastAsia="仿宋_GB2312" w:cs="DengXian-Regular"/>
          <w:sz w:val="32"/>
          <w:szCs w:val="32"/>
          <w:lang w:eastAsia="zh-CN"/>
        </w:rPr>
        <w:t>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lang w:eastAsia="zh-CN"/>
        </w:rPr>
        <w:t>年度有工资调整增加了人员经费，追加了旅发大会征地补偿费项目及对个人和家庭的补助。</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t>其中，一般公共预算财政拨款本年收入完成年</w:t>
      </w:r>
      <w:r>
        <w:rPr>
          <w:rFonts w:hint="eastAsia" w:ascii="仿宋_GB2312" w:eastAsia="仿宋_GB2312" w:cs="DengXian-Regular"/>
          <w:sz w:val="32"/>
          <w:szCs w:val="32"/>
        </w:rPr>
        <w:t>初预算</w:t>
      </w:r>
      <w:r>
        <w:rPr>
          <w:rFonts w:hint="eastAsia" w:ascii="仿宋_GB2312" w:eastAsia="仿宋_GB2312" w:cs="DengXian-Regular"/>
          <w:sz w:val="32"/>
          <w:szCs w:val="32"/>
          <w:lang w:val="en-US" w:eastAsia="zh-CN"/>
        </w:rPr>
        <w:t>151.14</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273.70</w:t>
      </w:r>
      <w:r>
        <w:rPr>
          <w:rFonts w:hint="eastAsia" w:ascii="仿宋_GB2312" w:eastAsia="仿宋_GB2312" w:cs="DengXian-Regular"/>
          <w:sz w:val="32"/>
          <w:szCs w:val="32"/>
        </w:rPr>
        <w:t>万元，主要是</w:t>
      </w:r>
      <w:r>
        <w:rPr>
          <w:rFonts w:hint="eastAsia" w:ascii="仿宋_GB2312" w:eastAsia="仿宋_GB2312" w:cs="DengXian-Regular"/>
          <w:sz w:val="32"/>
          <w:szCs w:val="32"/>
          <w:lang w:eastAsia="zh-CN"/>
        </w:rPr>
        <w:t>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lang w:eastAsia="zh-CN"/>
        </w:rPr>
        <w:t>年度有工资调整增加了人员经费及对个人和家庭的补助；支出</w:t>
      </w:r>
      <w:r>
        <w:rPr>
          <w:rFonts w:hint="eastAsia" w:ascii="仿宋_GB2312" w:eastAsia="仿宋_GB2312" w:cs="DengXian-Regular"/>
          <w:sz w:val="32"/>
          <w:szCs w:val="32"/>
        </w:rPr>
        <w:t>完成年初预算</w:t>
      </w:r>
      <w:r>
        <w:rPr>
          <w:rFonts w:hint="eastAsia" w:ascii="仿宋_GB2312" w:eastAsia="仿宋_GB2312" w:cs="DengXian-Regular"/>
          <w:sz w:val="32"/>
          <w:szCs w:val="32"/>
          <w:lang w:val="en-US" w:eastAsia="zh-CN"/>
        </w:rPr>
        <w:t>151.14</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273.70</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主要是201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lang w:eastAsia="zh-CN"/>
        </w:rPr>
        <w:t>年度有工资调整增加了人员经费及对个人和家庭的补助。政府性基金预算财政拨款本年收入完成年初预算</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lang w:eastAsia="zh-CN"/>
        </w:rPr>
        <w:t>%，比年初预算增加</w:t>
      </w:r>
      <w:r>
        <w:rPr>
          <w:rFonts w:hint="eastAsia" w:ascii="仿宋_GB2312" w:eastAsia="仿宋_GB2312" w:cs="DengXian-Regular"/>
          <w:sz w:val="32"/>
          <w:szCs w:val="32"/>
          <w:lang w:val="en-US" w:eastAsia="zh-CN"/>
        </w:rPr>
        <w:t>40.45</w:t>
      </w:r>
      <w:r>
        <w:rPr>
          <w:rFonts w:hint="eastAsia" w:ascii="仿宋_GB2312" w:eastAsia="仿宋_GB2312" w:cs="DengXian-Regular"/>
          <w:sz w:val="32"/>
          <w:szCs w:val="32"/>
          <w:lang w:eastAsia="zh-CN"/>
        </w:rPr>
        <w:t>万元，主要是201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lang w:eastAsia="zh-CN"/>
        </w:rPr>
        <w:t>年度追加了旅发大会征地补偿费项目；支出完成年初预算</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lang w:eastAsia="zh-CN"/>
        </w:rPr>
        <w:t>%，比年初预算增加</w:t>
      </w:r>
      <w:r>
        <w:rPr>
          <w:rFonts w:hint="eastAsia" w:ascii="仿宋_GB2312" w:eastAsia="仿宋_GB2312" w:cs="DengXian-Regular"/>
          <w:sz w:val="32"/>
          <w:szCs w:val="32"/>
          <w:lang w:val="en-US" w:eastAsia="zh-CN"/>
        </w:rPr>
        <w:t>40.45</w:t>
      </w:r>
      <w:r>
        <w:rPr>
          <w:rFonts w:hint="eastAsia" w:ascii="仿宋_GB2312" w:eastAsia="仿宋_GB2312" w:cs="DengXian-Regular"/>
          <w:sz w:val="32"/>
          <w:szCs w:val="32"/>
          <w:lang w:eastAsia="zh-CN"/>
        </w:rPr>
        <w:t>万元，主要是201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lang w:eastAsia="zh-CN"/>
        </w:rPr>
        <w:t>年度追加了旅发大会征地补偿费项目。</w:t>
      </w:r>
    </w:p>
    <w:p>
      <w:pPr>
        <w:numPr>
          <w:ilvl w:val="0"/>
          <w:numId w:val="2"/>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w:t>
      </w:r>
      <w:r>
        <w:rPr>
          <w:rFonts w:hint="eastAsia" w:ascii="仿宋_GB2312" w:eastAsia="仿宋_GB2312" w:cs="DengXian-Regular"/>
          <w:sz w:val="32"/>
          <w:szCs w:val="32"/>
          <w:lang w:val="en-US" w:eastAsia="zh-CN"/>
        </w:rPr>
        <w:t>849.39</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一般公共服务（类）支出</w:t>
      </w:r>
      <w:r>
        <w:rPr>
          <w:rFonts w:hint="eastAsia" w:ascii="仿宋_GB2312" w:eastAsia="仿宋_GB2312" w:cs="DengXian-Regular"/>
          <w:sz w:val="32"/>
          <w:szCs w:val="32"/>
          <w:lang w:val="en-US" w:eastAsia="zh-CN"/>
        </w:rPr>
        <w:t>389.24</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45.84</w:t>
      </w:r>
      <w:r>
        <w:rPr>
          <w:rFonts w:ascii="仿宋_GB2312" w:eastAsia="仿宋_GB2312" w:cs="DengXian-Regular"/>
          <w:sz w:val="32"/>
          <w:szCs w:val="32"/>
        </w:rPr>
        <w:t>%</w:t>
      </w:r>
      <w:r>
        <w:rPr>
          <w:rFonts w:hint="eastAsia" w:ascii="仿宋_GB2312" w:eastAsia="仿宋_GB2312" w:cs="DengXian-Regular"/>
          <w:sz w:val="32"/>
          <w:szCs w:val="32"/>
        </w:rPr>
        <w:t>；公共安全类（类）支出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；教育（类）支出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；科学技术（类）支出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万元，占</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；社会保障和就业（类）支出</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74.08</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8.72</w:t>
      </w:r>
      <w:r>
        <w:rPr>
          <w:rFonts w:ascii="仿宋_GB2312" w:eastAsia="仿宋_GB2312" w:cs="DengXian-Regular"/>
          <w:sz w:val="32"/>
          <w:szCs w:val="32"/>
        </w:rPr>
        <w:t>%</w:t>
      </w:r>
      <w:r>
        <w:rPr>
          <w:rFonts w:hint="eastAsia" w:ascii="仿宋_GB2312" w:eastAsia="仿宋_GB2312" w:cs="DengXian-Regular"/>
          <w:sz w:val="32"/>
          <w:szCs w:val="32"/>
        </w:rPr>
        <w:t>；</w:t>
      </w:r>
      <w:r>
        <w:rPr>
          <w:rFonts w:hint="eastAsia" w:ascii="仿宋_GB2312" w:eastAsia="仿宋_GB2312" w:cs="DengXian-Regular"/>
          <w:sz w:val="32"/>
          <w:szCs w:val="32"/>
          <w:lang w:eastAsia="zh-CN"/>
        </w:rPr>
        <w:t>医疗卫生与计划生育（类）支出</w:t>
      </w:r>
      <w:r>
        <w:rPr>
          <w:rFonts w:hint="eastAsia" w:ascii="仿宋_GB2312" w:eastAsia="仿宋_GB2312" w:cs="DengXian-Regular"/>
          <w:sz w:val="32"/>
          <w:szCs w:val="32"/>
          <w:lang w:val="en-US" w:eastAsia="zh-CN"/>
        </w:rPr>
        <w:t>0.29万元，占0.03%；节能环保（类）支出101.96万元，占12.0%；城乡社区（类）支出40.45万元，占4.76%；农林水（类）支出222.52万元，占26.20%；</w:t>
      </w:r>
      <w:r>
        <w:rPr>
          <w:rFonts w:hint="eastAsia" w:ascii="仿宋_GB2312" w:eastAsia="仿宋_GB2312" w:cs="DengXian-Regular"/>
          <w:sz w:val="32"/>
          <w:szCs w:val="32"/>
        </w:rPr>
        <w:t>住房保障（类）支出</w:t>
      </w:r>
      <w:r>
        <w:rPr>
          <w:rFonts w:hint="eastAsia" w:ascii="仿宋_GB2312" w:eastAsia="仿宋_GB2312" w:cs="DengXian-Regular"/>
          <w:sz w:val="32"/>
          <w:szCs w:val="32"/>
          <w:lang w:val="en-US" w:eastAsia="zh-CN"/>
        </w:rPr>
        <w:t>20.85</w:t>
      </w:r>
      <w:r>
        <w:rPr>
          <w:rFonts w:hint="eastAsia" w:ascii="仿宋_GB2312" w:eastAsia="仿宋_GB2312" w:cs="DengXian-Regular"/>
          <w:sz w:val="32"/>
          <w:szCs w:val="32"/>
        </w:rPr>
        <w:t>万元，占</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2.45</w:t>
      </w:r>
      <w:r>
        <w:rPr>
          <w:rFonts w:ascii="仿宋_GB2312" w:eastAsia="仿宋_GB2312" w:cs="DengXian-Regular"/>
          <w:sz w:val="32"/>
          <w:szCs w:val="32"/>
        </w:rPr>
        <w:t>%</w:t>
      </w:r>
      <w:r>
        <w:rPr>
          <w:rFonts w:hint="eastAsia" w:ascii="仿宋_GB2312" w:eastAsia="仿宋_GB2312" w:cs="DengXian-Regular"/>
          <w:sz w:val="32"/>
          <w:szCs w:val="32"/>
        </w:rPr>
        <w:t>。</w:t>
      </w: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580" w:lineRule="exact"/>
        <w:rPr>
          <w:rFonts w:ascii="楷体_GB2312" w:eastAsia="楷体_GB2312" w:cs="DengXian-Bold"/>
          <w:b/>
          <w:bCs/>
          <w:sz w:val="32"/>
          <w:szCs w:val="32"/>
        </w:rPr>
      </w:pPr>
      <w:r>
        <w:pict>
          <v:group id="组合 79" o:spid="_x0000_s1100" o:spt="203" style="position:absolute;left:0pt;margin-left:-79.5pt;margin-top:29.3pt;height:43.95pt;width:301.85pt;mso-position-vertical-relative:page;z-index:251685888;mso-width-relative:page;mso-height-relative:page;" coordorigin="4551,52615" coordsize="8546,1398">
            <o:lock v:ext="edit"/>
            <v:rect id="矩形 13" o:spid="_x0000_s1101" o:spt="1" style="position:absolute;left:4551;top:52615;height:1175;width:8546;v-text-anchor:middle;" fillcolor="#96DA9D" filled="t" stroked="f" coordsize="21600,21600">
              <v:path/>
              <v:fill on="t" focussize="0,0"/>
              <v:stroke on="f" weight="2pt"/>
              <v:imagedata o:title=""/>
              <o:lock v:ext="edit"/>
            </v:rect>
            <v:rect id="矩形 14" o:spid="_x0000_s110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420" w:firstLineChars="200"/>
        <w:rPr>
          <w:rFonts w:ascii="仿宋_GB2312" w:eastAsia="仿宋_GB2312" w:cs="DengXian-Regular"/>
          <w:sz w:val="32"/>
          <w:szCs w:val="32"/>
          <w:highlight w:val="yellow"/>
        </w:rPr>
      </w:pPr>
      <w:r>
        <w:pict>
          <v:group id="组合 23" o:spid="_x0000_s1103" o:spt="203" style="position:absolute;left:0pt;margin-left:-79.5pt;margin-top:29.3pt;height:43.95pt;width:301.85pt;mso-position-vertical-relative:page;z-index:251693056;mso-width-relative:page;mso-height-relative:page;" coordorigin="4551,52615" coordsize="8546,1398">
            <o:lock v:ext="edit"/>
            <v:rect id="矩形 13" o:spid="_x0000_s1104" o:spt="1" style="position:absolute;left:4551;top:52615;height:1175;width:8546;v-text-anchor:middle;" fillcolor="#96DA9D" filled="t" stroked="f" coordsize="21600,21600">
              <v:path/>
              <v:fill on="t" focussize="0,0"/>
              <v:stroke on="f" weight="2pt"/>
              <v:imagedata o:title=""/>
              <o:lock v:ext="edit"/>
            </v:rect>
            <v:rect id="矩形 14" o:spid="_x0000_s110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w:t>
      </w:r>
      <w:r>
        <w:rPr>
          <w:rFonts w:hint="eastAsia" w:ascii="仿宋_GB2312" w:eastAsia="仿宋_GB2312" w:cs="DengXian-Regular"/>
          <w:sz w:val="32"/>
          <w:szCs w:val="32"/>
          <w:lang w:val="en-US" w:eastAsia="zh-CN"/>
        </w:rPr>
        <w:t>466.92</w:t>
      </w:r>
      <w:r>
        <w:rPr>
          <w:rFonts w:hint="eastAsia" w:ascii="仿宋_GB2312" w:eastAsia="仿宋_GB2312" w:cs="DengXian-Regular"/>
          <w:sz w:val="32"/>
          <w:szCs w:val="32"/>
        </w:rPr>
        <w:t>万元，其中：人员经费</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418.17</w:t>
      </w:r>
      <w:r>
        <w:rPr>
          <w:rFonts w:hint="eastAsia" w:ascii="仿宋_GB2312"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ascii="仿宋_GB2312" w:eastAsia="仿宋_GB2312" w:cs="DengXian-Regular"/>
          <w:sz w:val="32"/>
          <w:szCs w:val="32"/>
        </w:rPr>
        <w:t xml:space="preserve"> </w:t>
      </w:r>
      <w:r>
        <w:rPr>
          <w:rFonts w:hint="eastAsia" w:ascii="仿宋_GB2312" w:eastAsia="仿宋_GB2312" w:cs="DengXian-Regular"/>
          <w:sz w:val="32"/>
          <w:szCs w:val="32"/>
          <w:lang w:val="en-US" w:eastAsia="zh-CN"/>
        </w:rPr>
        <w:t>48.75</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w:t>
      </w:r>
      <w:r>
        <w:rPr>
          <w:rFonts w:ascii="黑体" w:eastAsia="黑体"/>
          <w:b w:val="0"/>
          <w:bCs w:val="0"/>
        </w:rPr>
        <w:t xml:space="preserve"> </w:t>
      </w:r>
      <w:r>
        <w:rPr>
          <w:rFonts w:hint="eastAsia" w:ascii="黑体" w:eastAsia="黑体"/>
          <w:b w:val="0"/>
          <w:bCs w:val="0"/>
        </w:rPr>
        <w:t>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ascii="仿宋_GB2312" w:eastAsia="仿宋_GB2312" w:cs="DengXian-Regular"/>
          <w:sz w:val="32"/>
          <w:szCs w:val="32"/>
        </w:rPr>
        <w:t xml:space="preserve"> </w:t>
      </w:r>
      <w:r>
        <w:rPr>
          <w:rFonts w:hint="eastAsia" w:ascii="仿宋_GB2312" w:eastAsia="仿宋_GB2312" w:cs="DengXian-Regular"/>
          <w:sz w:val="32"/>
          <w:szCs w:val="32"/>
        </w:rPr>
        <w:t>“三公”经费支出共计</w:t>
      </w:r>
      <w:r>
        <w:rPr>
          <w:rFonts w:hint="eastAsia" w:ascii="仿宋_GB2312" w:eastAsia="仿宋_GB2312" w:cs="DengXian-Regular"/>
          <w:sz w:val="32"/>
          <w:szCs w:val="32"/>
          <w:lang w:val="en-US" w:eastAsia="zh-CN"/>
        </w:rPr>
        <w:t>8.16</w:t>
      </w:r>
      <w:r>
        <w:rPr>
          <w:rFonts w:hint="eastAsia" w:ascii="仿宋_GB2312" w:eastAsia="仿宋_GB2312" w:cs="DengXian-Regular"/>
          <w:sz w:val="32"/>
          <w:szCs w:val="32"/>
        </w:rPr>
        <w:t>万元，</w:t>
      </w:r>
      <w:r>
        <w:rPr>
          <w:rFonts w:hint="eastAsia" w:ascii="仿宋_GB2312" w:eastAsia="仿宋_GB2312" w:cs="DengXian-Regular"/>
          <w:b/>
          <w:bCs/>
          <w:sz w:val="32"/>
          <w:szCs w:val="32"/>
        </w:rPr>
        <w:t>较年初预算增加</w:t>
      </w:r>
      <w:r>
        <w:rPr>
          <w:rFonts w:hint="eastAsia" w:ascii="仿宋_GB2312" w:eastAsia="仿宋_GB2312" w:cs="DengXian-Regular"/>
          <w:b/>
          <w:bCs/>
          <w:sz w:val="32"/>
          <w:szCs w:val="32"/>
          <w:lang w:val="en-US" w:eastAsia="zh-CN"/>
        </w:rPr>
        <w:t>0.07</w:t>
      </w:r>
      <w:r>
        <w:rPr>
          <w:rFonts w:hint="eastAsia" w:ascii="仿宋_GB2312" w:eastAsia="仿宋_GB2312" w:cs="DengXian-Regular"/>
          <w:b/>
          <w:bCs/>
          <w:sz w:val="32"/>
          <w:szCs w:val="32"/>
        </w:rPr>
        <w:t>万元，增长</w:t>
      </w:r>
      <w:r>
        <w:rPr>
          <w:rFonts w:hint="eastAsia" w:ascii="仿宋_GB2312" w:eastAsia="仿宋_GB2312" w:cs="DengXian-Regular"/>
          <w:b/>
          <w:bCs/>
          <w:sz w:val="32"/>
          <w:szCs w:val="32"/>
          <w:lang w:val="en-US" w:eastAsia="zh-CN"/>
        </w:rPr>
        <w:t>0.87</w:t>
      </w:r>
      <w:r>
        <w:rPr>
          <w:rFonts w:ascii="仿宋_GB2312" w:eastAsia="仿宋_GB2312" w:cs="DengXian-Regular"/>
          <w:b/>
          <w:bCs/>
          <w:sz w:val="32"/>
          <w:szCs w:val="32"/>
        </w:rPr>
        <w:t>%</w:t>
      </w:r>
      <w:r>
        <w:rPr>
          <w:rFonts w:hint="eastAsia" w:ascii="仿宋_GB2312" w:eastAsia="仿宋_GB2312" w:cs="DengXian-Regular"/>
          <w:b/>
          <w:bCs/>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eastAsia="仿宋_GB2312" w:cs="DengXian-Regular"/>
          <w:sz w:val="32"/>
          <w:szCs w:val="32"/>
          <w:lang w:eastAsia="zh-CN"/>
        </w:rPr>
        <w:t>但因本部门防火、防汛任务繁重</w:t>
      </w:r>
      <w:r>
        <w:rPr>
          <w:rFonts w:hint="eastAsia" w:ascii="仿宋_GB2312" w:eastAsia="仿宋_GB2312" w:cs="DengXian-Regular"/>
          <w:sz w:val="32"/>
          <w:szCs w:val="32"/>
        </w:rPr>
        <w:t>全年实际支出比预算有所</w:t>
      </w:r>
      <w:r>
        <w:rPr>
          <w:rFonts w:hint="eastAsia" w:ascii="仿宋_GB2312" w:eastAsia="仿宋_GB2312" w:cs="DengXian-Regular"/>
          <w:sz w:val="32"/>
          <w:szCs w:val="32"/>
          <w:lang w:eastAsia="zh-CN"/>
        </w:rPr>
        <w:t>增长</w:t>
      </w:r>
      <w:r>
        <w:rPr>
          <w:rFonts w:hint="eastAsia" w:ascii="仿宋_GB2312" w:eastAsia="仿宋_GB2312" w:cs="DengXian-Regular"/>
          <w:sz w:val="32"/>
          <w:szCs w:val="32"/>
        </w:rPr>
        <w:t>。具体情况如下：</w:t>
      </w:r>
    </w:p>
    <w:p>
      <w:pPr>
        <w:adjustRightInd w:val="0"/>
        <w:snapToGrid w:val="0"/>
        <w:spacing w:after="0" w:line="580" w:lineRule="exact"/>
        <w:ind w:firstLine="643" w:firstLineChars="200"/>
        <w:rPr>
          <w:rFonts w:hint="eastAsia" w:ascii="仿宋_GB2312" w:eastAsia="仿宋_GB2312" w:cs="DengXian-Regular"/>
          <w:sz w:val="32"/>
          <w:szCs w:val="32"/>
          <w:lang w:eastAsia="zh-CN"/>
        </w:rPr>
      </w:pPr>
      <w:r>
        <w:rPr>
          <w:rFonts w:hint="eastAsia" w:ascii="楷体_GB2312" w:eastAsia="楷体_GB2312" w:cs="DengXian-Bold"/>
          <w:b/>
          <w:bCs/>
          <w:sz w:val="32"/>
          <w:szCs w:val="32"/>
        </w:rPr>
        <w:t>（</w:t>
      </w:r>
      <w:r>
        <w:pict>
          <v:group id="_x0000_s1106" o:spid="_x0000_s1106" o:spt="203" style="position:absolute;left:0pt;margin-left:-79.5pt;margin-top:29.3pt;height:43.95pt;width:301.85pt;mso-position-vertical-relative:page;z-index:251686912;mso-width-relative:page;mso-height-relative:page;" coordorigin="4551,52615" coordsize="8546,1398">
            <o:lock v:ext="edit"/>
            <v:rect id="矩形 13" o:spid="_x0000_s1107" o:spt="1" style="position:absolute;left:4551;top:52615;height:1175;width:8546;v-text-anchor:middle;" fillcolor="#96DA9D" filled="t" stroked="f" coordsize="21600,21600">
              <v:path/>
              <v:fill on="t" focussize="0,0"/>
              <v:stroke on="f" weight="2pt"/>
              <v:imagedata o:title=""/>
              <o:lock v:ext="edit"/>
            </v:rect>
            <v:rect id="矩形 14" o:spid="_x0000_s110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w:t>
      </w:r>
      <w:r>
        <w:rPr>
          <w:rFonts w:ascii="仿宋_GB2312" w:eastAsia="仿宋_GB2312" w:cs="DengXian-Regular"/>
          <w:sz w:val="32"/>
          <w:szCs w:val="32"/>
        </w:rPr>
        <w:t>/</w:t>
      </w:r>
      <w:r>
        <w:rPr>
          <w:rFonts w:hint="eastAsia" w:ascii="仿宋_GB2312" w:eastAsia="仿宋_GB2312" w:cs="DengXian-Regular"/>
          <w:sz w:val="32"/>
          <w:szCs w:val="32"/>
        </w:rPr>
        <w:t>参加其他单位组织的因公出国（境）团组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w:t>
      </w:r>
      <w:r>
        <w:rPr>
          <w:rFonts w:ascii="仿宋_GB2312" w:eastAsia="仿宋_GB2312" w:cs="DengXian-Regular"/>
          <w:sz w:val="32"/>
          <w:szCs w:val="32"/>
        </w:rPr>
        <w:t>/</w:t>
      </w:r>
      <w:r>
        <w:rPr>
          <w:rFonts w:hint="eastAsia" w:ascii="仿宋_GB2312" w:eastAsia="仿宋_GB2312" w:cs="DengXian-Regular"/>
          <w:sz w:val="32"/>
          <w:szCs w:val="32"/>
        </w:rPr>
        <w:t>无本单位组织的出国（境）团组。因公出国（境）费支出较年初预算增加（减少）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万元，增长（降低）</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lang w:eastAsia="zh-CN"/>
        </w:rPr>
        <w:t>，主要是无此类预算安排。</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7.27</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w:t>
      </w:r>
      <w:r>
        <w:rPr>
          <w:rFonts w:hint="eastAsia" w:ascii="仿宋_GB2312" w:eastAsia="仿宋_GB2312" w:cs="DengXian-Regular"/>
          <w:sz w:val="32"/>
          <w:szCs w:val="32"/>
          <w:lang w:eastAsia="zh-CN"/>
        </w:rPr>
        <w:t>增加</w:t>
      </w:r>
      <w:r>
        <w:rPr>
          <w:rFonts w:hint="eastAsia" w:ascii="仿宋_GB2312" w:eastAsia="仿宋_GB2312" w:cs="DengXian-Regular"/>
          <w:sz w:val="32"/>
          <w:szCs w:val="32"/>
          <w:lang w:val="en-US" w:eastAsia="zh-CN"/>
        </w:rPr>
        <w:t>0.07</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增长</w:t>
      </w:r>
      <w:r>
        <w:rPr>
          <w:rFonts w:hint="eastAsia" w:ascii="仿宋_GB2312" w:eastAsia="仿宋_GB2312" w:cs="DengXian-Regular"/>
          <w:sz w:val="32"/>
          <w:szCs w:val="32"/>
          <w:lang w:val="en-US" w:eastAsia="zh-CN"/>
        </w:rPr>
        <w:t>8.65</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虽</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eastAsia="仿宋_GB2312" w:cs="DengXian-Regular"/>
          <w:sz w:val="32"/>
          <w:szCs w:val="32"/>
          <w:lang w:eastAsia="zh-CN"/>
        </w:rPr>
        <w:t>但因本部门防火、防汛任务繁重</w:t>
      </w:r>
      <w:r>
        <w:rPr>
          <w:rFonts w:hint="eastAsia" w:ascii="仿宋_GB2312" w:eastAsia="仿宋_GB2312" w:cs="DengXian-Regular"/>
          <w:sz w:val="32"/>
          <w:szCs w:val="32"/>
        </w:rPr>
        <w:t>全年实际支出比预算有所</w:t>
      </w:r>
      <w:r>
        <w:rPr>
          <w:rFonts w:hint="eastAsia" w:ascii="仿宋_GB2312" w:eastAsia="仿宋_GB2312" w:cs="DengXian-Regular"/>
          <w:sz w:val="32"/>
          <w:szCs w:val="32"/>
          <w:lang w:eastAsia="zh-CN"/>
        </w:rPr>
        <w:t>增长</w:t>
      </w:r>
      <w:r>
        <w:rPr>
          <w:rFonts w:hint="eastAsia" w:ascii="仿宋_GB2312" w:eastAsia="仿宋_GB2312" w:cs="DengXian-Regular"/>
          <w:sz w:val="32"/>
          <w:szCs w:val="32"/>
        </w:rPr>
        <w:t>。</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年度公务用车购置量</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辆，发生“公务用车购置”经费支出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万元。公务用车购置费支出较年初预算增加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eastAsia="仿宋_GB2312" w:cs="DengXian-Regular"/>
          <w:color w:val="000000"/>
          <w:sz w:val="32"/>
          <w:szCs w:val="32"/>
          <w:highlight w:val="none"/>
        </w:rPr>
        <w:t>未发生‘公务用车购置’经费支出</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w:t>
      </w:r>
      <w:r>
        <w:rPr>
          <w:rFonts w:hint="eastAsia" w:ascii="仿宋_GB2312" w:eastAsia="仿宋_GB2312" w:cs="DengXian-Regular"/>
          <w:sz w:val="32"/>
          <w:szCs w:val="32"/>
          <w:lang w:val="en-US" w:eastAsia="zh-CN"/>
        </w:rPr>
        <w:t>3</w:t>
      </w:r>
      <w:r>
        <w:rPr>
          <w:rFonts w:hint="eastAsia" w:ascii="仿宋_GB2312" w:eastAsia="仿宋_GB2312" w:cs="DengXian-Regular"/>
          <w:sz w:val="32"/>
          <w:szCs w:val="32"/>
        </w:rPr>
        <w:t>辆。公车运行维护费支出较年初预算增加</w:t>
      </w:r>
      <w:r>
        <w:rPr>
          <w:rFonts w:hint="eastAsia" w:ascii="仿宋_GB2312" w:eastAsia="仿宋_GB2312" w:cs="DengXian-Regular"/>
          <w:sz w:val="32"/>
          <w:szCs w:val="32"/>
          <w:lang w:val="en-US" w:eastAsia="zh-CN"/>
        </w:rPr>
        <w:t>0.07</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8.65</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虽</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eastAsia="仿宋_GB2312" w:cs="DengXian-Regular"/>
          <w:sz w:val="32"/>
          <w:szCs w:val="32"/>
          <w:lang w:eastAsia="zh-CN"/>
        </w:rPr>
        <w:t>但因本部门防火、防汛任务繁重</w:t>
      </w:r>
      <w:r>
        <w:rPr>
          <w:rFonts w:hint="eastAsia" w:ascii="仿宋_GB2312" w:eastAsia="仿宋_GB2312" w:cs="DengXian-Regular"/>
          <w:sz w:val="32"/>
          <w:szCs w:val="32"/>
        </w:rPr>
        <w:t>全年实际支出比预算有所</w:t>
      </w:r>
      <w:r>
        <w:rPr>
          <w:rFonts w:hint="eastAsia" w:ascii="仿宋_GB2312" w:eastAsia="仿宋_GB2312" w:cs="DengXian-Regular"/>
          <w:sz w:val="32"/>
          <w:szCs w:val="32"/>
          <w:lang w:eastAsia="zh-CN"/>
        </w:rPr>
        <w:t>增长</w:t>
      </w:r>
      <w:r>
        <w:rPr>
          <w:rFonts w:hint="eastAsia" w:ascii="仿宋_GB2312"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hint="eastAsia" w:ascii="楷体_GB2312" w:eastAsia="楷体_GB2312" w:cs="DengXian-Bold"/>
          <w:b/>
          <w:bCs/>
          <w:sz w:val="32"/>
          <w:szCs w:val="32"/>
          <w:lang w:val="en-US" w:eastAsia="zh-CN"/>
        </w:rPr>
        <w:t>0.89</w:t>
      </w:r>
      <w:r>
        <w:rPr>
          <w:rFonts w:hint="eastAsia" w:ascii="楷体_GB2312" w:eastAsia="楷体_GB2312" w:cs="DengXian-Bold"/>
          <w:b/>
          <w:bCs/>
          <w:sz w:val="32"/>
          <w:szCs w:val="32"/>
        </w:rPr>
        <w:t>万元。</w:t>
      </w:r>
      <w:r>
        <w:pict>
          <v:group id="_x0000_s1109" o:spid="_x0000_s1109" o:spt="203" style="position:absolute;left:0pt;margin-left:-79.5pt;margin-top:29.3pt;height:43.95pt;width:301.85pt;mso-position-vertical-relative:page;z-index:251687936;mso-width-relative:page;mso-height-relative:page;" coordorigin="4551,52615" coordsize="8546,1398">
            <o:lock v:ext="edit"/>
            <v:rect id="矩形 13" o:spid="_x0000_s1110" o:spt="1" style="position:absolute;left:4551;top:52615;height:1175;width:8546;v-text-anchor:middle;" fillcolor="#96DA9D" filled="t" stroked="f" coordsize="21600,21600">
              <v:path/>
              <v:fill on="t" focussize="0,0"/>
              <v:stroke on="f" weight="2pt"/>
              <v:imagedata o:title=""/>
              <o:lock v:ext="edit"/>
            </v:rect>
            <v:rect id="矩形 14" o:spid="_x0000_s111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年度公务接待共</w:t>
      </w:r>
      <w:r>
        <w:rPr>
          <w:rFonts w:hint="eastAsia" w:ascii="仿宋_GB2312" w:eastAsia="仿宋_GB2312" w:cs="DengXian-Regular"/>
          <w:sz w:val="32"/>
          <w:szCs w:val="32"/>
          <w:lang w:val="en-US" w:eastAsia="zh-CN"/>
        </w:rPr>
        <w:t>65</w:t>
      </w:r>
      <w:r>
        <w:rPr>
          <w:rFonts w:hint="eastAsia" w:ascii="仿宋_GB2312" w:eastAsia="仿宋_GB2312" w:cs="DengXian-Regular"/>
          <w:sz w:val="32"/>
          <w:szCs w:val="32"/>
        </w:rPr>
        <w:t>批次</w:t>
      </w:r>
      <w:r>
        <w:rPr>
          <w:rFonts w:hint="eastAsia" w:ascii="仿宋_GB2312" w:eastAsia="仿宋_GB2312" w:cs="DengXian-Regular"/>
          <w:sz w:val="32"/>
          <w:szCs w:val="32"/>
          <w:lang w:val="en-US" w:eastAsia="zh-CN"/>
        </w:rPr>
        <w:t>30</w:t>
      </w:r>
      <w:r>
        <w:rPr>
          <w:rFonts w:hint="eastAsia" w:ascii="仿宋_GB2312" w:eastAsia="仿宋_GB2312" w:cs="DengXian-Regular"/>
          <w:sz w:val="32"/>
          <w:szCs w:val="32"/>
        </w:rPr>
        <w:t>人次。公务接待费支出较年初预算增加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0</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与年初预算持平</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（一）预算绩效管理工作开展情况。</w:t>
      </w:r>
    </w:p>
    <w:p>
      <w:pPr>
        <w:ind w:firstLine="640" w:firstLineChars="200"/>
        <w:rPr>
          <w:rFonts w:hint="eastAsia" w:ascii="仿宋_GB2312" w:hAnsi="仿宋_GB2312" w:eastAsia="仿宋_GB2312" w:cs="仿宋_GB2312"/>
          <w:i w:val="0"/>
          <w:iCs w:val="0"/>
          <w:sz w:val="32"/>
          <w:szCs w:val="32"/>
        </w:rPr>
      </w:pPr>
      <w:r>
        <w:rPr>
          <w:rFonts w:hint="eastAsia" w:ascii="仿宋_GB2312" w:hAnsi="仿宋_GB2312" w:eastAsia="仿宋_GB2312" w:cs="仿宋_GB2312"/>
          <w:i w:val="0"/>
          <w:iCs w:val="0"/>
          <w:sz w:val="32"/>
          <w:szCs w:val="32"/>
        </w:rPr>
        <w:t>1. 资金情况：</w:t>
      </w:r>
      <w:r>
        <w:rPr>
          <w:rFonts w:hint="eastAsia" w:ascii="仿宋_GB2312" w:hAnsi="仿宋_GB2312" w:eastAsia="仿宋_GB2312" w:cs="仿宋_GB2312"/>
          <w:i w:val="0"/>
          <w:iCs w:val="0"/>
          <w:sz w:val="32"/>
          <w:szCs w:val="32"/>
          <w:lang w:val="en-US" w:eastAsia="zh-CN"/>
        </w:rPr>
        <w:t>2018年</w:t>
      </w:r>
      <w:r>
        <w:rPr>
          <w:rFonts w:hint="eastAsia" w:ascii="仿宋_GB2312" w:hAnsi="仿宋_GB2312" w:eastAsia="仿宋_GB2312" w:cs="仿宋_GB2312"/>
          <w:i w:val="0"/>
          <w:iCs w:val="0"/>
          <w:sz w:val="32"/>
          <w:szCs w:val="32"/>
          <w:lang w:eastAsia="zh-CN"/>
        </w:rPr>
        <w:t>我乡管理的</w:t>
      </w:r>
      <w:r>
        <w:rPr>
          <w:rFonts w:hint="eastAsia" w:ascii="仿宋_GB2312" w:hAnsi="仿宋_GB2312" w:eastAsia="仿宋_GB2312" w:cs="仿宋_GB2312"/>
          <w:i w:val="0"/>
          <w:iCs w:val="0"/>
          <w:sz w:val="32"/>
          <w:szCs w:val="32"/>
        </w:rPr>
        <w:t>预算项目</w:t>
      </w:r>
      <w:r>
        <w:rPr>
          <w:rFonts w:hint="eastAsia" w:ascii="仿宋_GB2312" w:hAnsi="仿宋_GB2312" w:eastAsia="仿宋_GB2312" w:cs="仿宋_GB2312"/>
          <w:i w:val="0"/>
          <w:iCs w:val="0"/>
          <w:sz w:val="32"/>
          <w:szCs w:val="32"/>
          <w:lang w:eastAsia="zh-CN"/>
        </w:rPr>
        <w:t>总共</w:t>
      </w:r>
      <w:r>
        <w:rPr>
          <w:rFonts w:hint="eastAsia" w:ascii="仿宋_GB2312" w:hAnsi="仿宋_GB2312" w:eastAsia="仿宋_GB2312" w:cs="仿宋_GB2312"/>
          <w:i w:val="0"/>
          <w:iCs w:val="0"/>
          <w:sz w:val="32"/>
          <w:szCs w:val="32"/>
          <w:lang w:val="en-US" w:eastAsia="zh-CN"/>
        </w:rPr>
        <w:t>18个，涉及资金250.30万元。</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2.监控工作开展情况：</w:t>
      </w:r>
      <w:r>
        <w:rPr>
          <w:rFonts w:hint="eastAsia" w:ascii="仿宋_GB2312" w:hAnsi="仿宋_GB2312" w:eastAsia="仿宋_GB2312" w:cs="仿宋_GB2312"/>
          <w:sz w:val="32"/>
          <w:szCs w:val="32"/>
          <w:lang w:eastAsia="zh-CN"/>
        </w:rPr>
        <w:t>我乡主要采取</w:t>
      </w:r>
      <w:r>
        <w:rPr>
          <w:rFonts w:hint="eastAsia" w:ascii="仿宋_GB2312" w:hAnsi="仿宋_GB2312" w:eastAsia="仿宋_GB2312" w:cs="仿宋_GB2312"/>
          <w:sz w:val="32"/>
          <w:szCs w:val="32"/>
        </w:rPr>
        <w:t>自行监控</w:t>
      </w:r>
      <w:r>
        <w:rPr>
          <w:rFonts w:hint="eastAsia" w:ascii="仿宋_GB2312" w:hAnsi="仿宋_GB2312" w:eastAsia="仿宋_GB2312" w:cs="仿宋_GB2312"/>
          <w:sz w:val="32"/>
          <w:szCs w:val="32"/>
          <w:lang w:eastAsia="zh-CN"/>
        </w:rPr>
        <w:t>模式，</w:t>
      </w:r>
      <w:r>
        <w:rPr>
          <w:rFonts w:hint="eastAsia" w:ascii="仿宋_GB2312" w:hAnsi="仿宋_GB2312" w:eastAsia="仿宋_GB2312" w:cs="仿宋_GB2312"/>
          <w:sz w:val="32"/>
          <w:szCs w:val="32"/>
        </w:rPr>
        <w:t>按照预算绩效运行</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管理制度</w:t>
      </w:r>
      <w:r>
        <w:rPr>
          <w:rFonts w:hint="eastAsia" w:ascii="仿宋_GB2312" w:hAnsi="仿宋_GB2312" w:eastAsia="仿宋_GB2312" w:cs="仿宋_GB2312"/>
          <w:sz w:val="32"/>
          <w:szCs w:val="32"/>
          <w:lang w:eastAsia="zh-CN"/>
        </w:rPr>
        <w:t>要求和</w:t>
      </w:r>
      <w:r>
        <w:rPr>
          <w:rFonts w:hint="eastAsia" w:ascii="仿宋_GB2312" w:hAnsi="仿宋_GB2312" w:eastAsia="仿宋_GB2312" w:cs="仿宋_GB2312"/>
          <w:sz w:val="32"/>
          <w:szCs w:val="32"/>
        </w:rPr>
        <w:t>有关规定，对照项目绩效目标，完善项目支出责任制度，提高支出执行的及时性、均衡性和有效性</w:t>
      </w:r>
      <w:r>
        <w:rPr>
          <w:rFonts w:hint="eastAsia" w:ascii="仿宋_GB2312" w:hAnsi="仿宋_GB2312" w:eastAsia="仿宋_GB2312" w:cs="仿宋_GB2312"/>
          <w:sz w:val="32"/>
          <w:szCs w:val="32"/>
          <w:lang w:eastAsia="zh-CN"/>
        </w:rPr>
        <w:t>；及时</w:t>
      </w:r>
      <w:r>
        <w:rPr>
          <w:rFonts w:hint="eastAsia" w:ascii="仿宋_GB2312" w:hAnsi="仿宋_GB2312" w:eastAsia="仿宋_GB2312" w:cs="仿宋_GB2312"/>
          <w:sz w:val="32"/>
          <w:szCs w:val="32"/>
        </w:rPr>
        <w:t>掌握项目绩效目标的完成情况、项目实施进程和资金支出进度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当项目执行绩效与绩效目标发生偏离时，及时报告，并采取措施予以纠正。</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3.监控工作情况。</w:t>
      </w:r>
      <w:r>
        <w:rPr>
          <w:rFonts w:hint="eastAsia" w:ascii="仿宋_GB2312" w:hAnsi="仿宋_GB2312" w:eastAsia="仿宋_GB2312" w:cs="仿宋_GB2312"/>
          <w:sz w:val="32"/>
          <w:szCs w:val="32"/>
          <w:lang w:eastAsia="zh-CN"/>
        </w:rPr>
        <w:t>重点监控（综）环保所专项建设资金、（综）旅发大会租地资金、（综）美丽乡村征地补偿款、农村河道垃圾清理费用</w:t>
      </w:r>
      <w:r>
        <w:rPr>
          <w:rFonts w:hint="eastAsia" w:ascii="仿宋_GB2312" w:hAnsi="仿宋_GB2312" w:eastAsia="仿宋_GB2312" w:cs="仿宋_GB2312"/>
          <w:sz w:val="32"/>
          <w:szCs w:val="32"/>
          <w:lang w:val="en-US" w:eastAsia="zh-CN"/>
        </w:rPr>
        <w:t>等4个预算项目绩效运行情况，经过监控发现，</w:t>
      </w:r>
      <w:r>
        <w:rPr>
          <w:rFonts w:hint="eastAsia" w:ascii="仿宋_GB2312" w:hAnsi="仿宋_GB2312" w:eastAsia="仿宋_GB2312" w:cs="仿宋_GB2312"/>
          <w:sz w:val="32"/>
          <w:szCs w:val="32"/>
          <w:lang w:eastAsia="zh-CN"/>
        </w:rPr>
        <w:t>（综）环保所专项建设资金、农村河道垃圾清理费用、（综）美丽乡村征地补偿款</w:t>
      </w:r>
      <w:r>
        <w:rPr>
          <w:rFonts w:hint="eastAsia" w:ascii="仿宋_GB2312" w:hAnsi="仿宋_GB2312" w:eastAsia="仿宋_GB2312" w:cs="仿宋_GB2312"/>
          <w:sz w:val="32"/>
          <w:szCs w:val="32"/>
          <w:lang w:val="en-US" w:eastAsia="zh-CN"/>
        </w:rPr>
        <w:t>3个项目绩效目标实现程度为100%，</w:t>
      </w:r>
      <w:r>
        <w:rPr>
          <w:rFonts w:hint="eastAsia" w:ascii="仿宋_GB2312" w:hAnsi="仿宋_GB2312" w:eastAsia="仿宋_GB2312" w:cs="仿宋_GB2312"/>
          <w:sz w:val="32"/>
          <w:szCs w:val="32"/>
          <w:lang w:eastAsia="zh-CN"/>
        </w:rPr>
        <w:t>（综）旅发大会租地资金</w:t>
      </w:r>
      <w:r>
        <w:rPr>
          <w:rFonts w:hint="eastAsia" w:ascii="仿宋_GB2312" w:hAnsi="仿宋_GB2312" w:eastAsia="仿宋_GB2312" w:cs="仿宋_GB2312"/>
          <w:sz w:val="32"/>
          <w:szCs w:val="32"/>
          <w:lang w:val="en-US" w:eastAsia="zh-CN"/>
        </w:rPr>
        <w:t>未使用完，完成度为63.71%，村干部保险，需社保年底核算后进行缴纳。</w:t>
      </w:r>
    </w:p>
    <w:p>
      <w:pPr>
        <w:numPr>
          <w:ilvl w:val="0"/>
          <w:numId w:val="0"/>
        </w:numPr>
        <w:adjustRightInd w:val="0"/>
        <w:snapToGrid w:val="0"/>
        <w:spacing w:line="580" w:lineRule="exact"/>
        <w:ind w:leftChars="200"/>
        <w:rPr>
          <w:rFonts w:hint="eastAsia" w:ascii="仿宋_GB2312" w:eastAsia="仿宋_GB2312" w:cs="DengXian-Regular"/>
          <w:sz w:val="32"/>
          <w:szCs w:val="32"/>
        </w:rPr>
      </w:pPr>
      <w:r>
        <w:rPr>
          <w:rFonts w:hint="eastAsia" w:ascii="仿宋_GB2312" w:eastAsia="仿宋_GB2312" w:cs="DengXian-Regular"/>
          <w:sz w:val="32"/>
          <w:szCs w:val="32"/>
          <w:lang w:eastAsia="zh-CN"/>
        </w:rPr>
        <w:t>（二）</w:t>
      </w:r>
      <w:r>
        <w:rPr>
          <w:rFonts w:hint="eastAsia" w:ascii="仿宋_GB2312" w:eastAsia="仿宋_GB2312" w:cs="DengXian-Regular"/>
          <w:sz w:val="32"/>
          <w:szCs w:val="32"/>
        </w:rPr>
        <w:t>项目绩效自评结果。</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 监控结果。绩效目标实现程度达到</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以上</w:t>
      </w:r>
      <w:r>
        <w:rPr>
          <w:rFonts w:hint="eastAsia" w:ascii="仿宋_GB2312" w:hAnsi="仿宋_GB2312" w:eastAsia="仿宋_GB2312" w:cs="仿宋_GB2312"/>
          <w:sz w:val="32"/>
          <w:szCs w:val="32"/>
        </w:rPr>
        <w:t>的项目有</w:t>
      </w: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个</w:t>
      </w:r>
      <w:r>
        <w:rPr>
          <w:rFonts w:hint="eastAsia" w:ascii="仿宋_GB2312" w:hAnsi="仿宋_GB2312" w:eastAsia="仿宋_GB2312" w:cs="仿宋_GB2312"/>
          <w:sz w:val="32"/>
          <w:szCs w:val="32"/>
          <w:lang w:val="en-US" w:eastAsia="zh-CN"/>
        </w:rPr>
        <w:t>,绩效目标实现程度达到50%以上的项目有1个</w:t>
      </w:r>
      <w:r>
        <w:rPr>
          <w:rFonts w:hint="eastAsia" w:ascii="仿宋_GB2312" w:hAnsi="仿宋_GB2312" w:eastAsia="仿宋_GB2312" w:cs="仿宋_GB2312"/>
          <w:sz w:val="32"/>
          <w:szCs w:val="32"/>
        </w:rPr>
        <w:t>。</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年底实现绩效目标的项目有</w:t>
      </w: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个，涉及资金</w:t>
      </w:r>
      <w:r>
        <w:rPr>
          <w:rFonts w:hint="eastAsia" w:ascii="仿宋_GB2312" w:hAnsi="仿宋_GB2312" w:eastAsia="仿宋_GB2312" w:cs="仿宋_GB2312"/>
          <w:i w:val="0"/>
          <w:iCs w:val="0"/>
          <w:sz w:val="32"/>
          <w:szCs w:val="32"/>
          <w:lang w:val="en-US" w:eastAsia="zh-CN"/>
        </w:rPr>
        <w:t>243.05</w:t>
      </w:r>
      <w:r>
        <w:rPr>
          <w:rFonts w:hint="eastAsia" w:ascii="仿宋_GB2312" w:hAnsi="仿宋_GB2312" w:eastAsia="仿宋_GB2312" w:cs="仿宋_GB2312"/>
          <w:sz w:val="32"/>
          <w:szCs w:val="32"/>
        </w:rPr>
        <w:t>万元；不能完成绩效目标的项目</w:t>
      </w:r>
      <w:r>
        <w:rPr>
          <w:rFonts w:hint="eastAsia" w:ascii="仿宋_GB2312" w:hAnsi="仿宋_GB2312" w:eastAsia="仿宋_GB2312" w:cs="仿宋_GB2312"/>
          <w:sz w:val="32"/>
          <w:szCs w:val="32"/>
          <w:lang w:val="en-US" w:eastAsia="zh-CN"/>
        </w:rPr>
        <w:t>1个：（综）旅发大会租地资金</w:t>
      </w:r>
      <w:r>
        <w:rPr>
          <w:rFonts w:hint="eastAsia" w:ascii="仿宋_GB2312" w:hAnsi="仿宋_GB2312" w:eastAsia="仿宋_GB2312" w:cs="仿宋_GB2312"/>
          <w:sz w:val="32"/>
          <w:szCs w:val="32"/>
          <w:lang w:eastAsia="zh-CN"/>
        </w:rPr>
        <w:t>，涉及资金</w:t>
      </w:r>
      <w:r>
        <w:rPr>
          <w:rFonts w:hint="eastAsia" w:ascii="仿宋_GB2312" w:hAnsi="仿宋_GB2312" w:eastAsia="仿宋_GB2312" w:cs="仿宋_GB2312"/>
          <w:sz w:val="32"/>
          <w:szCs w:val="32"/>
          <w:lang w:val="en-US" w:eastAsia="zh-CN"/>
        </w:rPr>
        <w:t>19.98万元，已完成资金12.73，剩余资金7.25万元退回财政国库</w:t>
      </w:r>
      <w:r>
        <w:rPr>
          <w:rFonts w:hint="eastAsia" w:ascii="仿宋_GB2312" w:hAnsi="仿宋_GB2312" w:eastAsia="仿宋_GB2312" w:cs="仿宋_GB2312"/>
          <w:sz w:val="32"/>
          <w:szCs w:val="32"/>
        </w:rPr>
        <w:t>。具体统计表如下：</w:t>
      </w:r>
    </w:p>
    <w:tbl>
      <w:tblPr>
        <w:tblStyle w:val="12"/>
        <w:tblW w:w="8872" w:type="dxa"/>
        <w:tblInd w:w="93" w:type="dxa"/>
        <w:tblLayout w:type="fixed"/>
        <w:tblCellMar>
          <w:top w:w="0" w:type="dxa"/>
          <w:left w:w="108" w:type="dxa"/>
          <w:bottom w:w="0" w:type="dxa"/>
          <w:right w:w="108" w:type="dxa"/>
        </w:tblCellMar>
      </w:tblPr>
      <w:tblGrid>
        <w:gridCol w:w="765"/>
        <w:gridCol w:w="3367"/>
        <w:gridCol w:w="1200"/>
        <w:gridCol w:w="1215"/>
        <w:gridCol w:w="1215"/>
        <w:gridCol w:w="1110"/>
      </w:tblGrid>
      <w:tr>
        <w:tblPrEx>
          <w:tblCellMar>
            <w:top w:w="0" w:type="dxa"/>
            <w:left w:w="108" w:type="dxa"/>
            <w:bottom w:w="0" w:type="dxa"/>
            <w:right w:w="108" w:type="dxa"/>
          </w:tblCellMar>
        </w:tblPrEx>
        <w:trPr>
          <w:trHeight w:val="645" w:hRule="atLeast"/>
        </w:trPr>
        <w:tc>
          <w:tcPr>
            <w:tcW w:w="765" w:type="dxa"/>
            <w:vMerge w:val="restart"/>
            <w:tcBorders>
              <w:top w:val="single" w:color="auto" w:sz="4" w:space="0"/>
              <w:left w:val="single" w:color="auto" w:sz="4" w:space="0"/>
              <w:right w:val="single" w:color="auto" w:sz="4" w:space="0"/>
            </w:tcBorders>
            <w:noWrap w:val="0"/>
            <w:vAlign w:val="center"/>
          </w:tcPr>
          <w:p>
            <w:pPr>
              <w:widowControl/>
              <w:jc w:val="center"/>
              <w:rPr>
                <w:rFonts w:hint="eastAsia" w:ascii="宋体" w:hAnsi="宋体" w:eastAsia="宋体" w:cs="宋体"/>
                <w:color w:val="000000"/>
                <w:kern w:val="0"/>
                <w:sz w:val="22"/>
                <w:lang w:eastAsia="zh-CN"/>
              </w:rPr>
            </w:pPr>
            <w:r>
              <w:rPr>
                <w:rFonts w:hint="eastAsia" w:ascii="宋体" w:hAnsi="宋体" w:cs="宋体"/>
                <w:color w:val="000000"/>
                <w:kern w:val="0"/>
                <w:sz w:val="22"/>
                <w:lang w:eastAsia="zh-CN"/>
              </w:rPr>
              <w:t>序号</w:t>
            </w:r>
          </w:p>
        </w:tc>
        <w:tc>
          <w:tcPr>
            <w:tcW w:w="3367"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cs="宋体"/>
                <w:color w:val="000000"/>
                <w:kern w:val="0"/>
                <w:sz w:val="22"/>
              </w:rPr>
            </w:pPr>
            <w:r>
              <w:rPr>
                <w:rFonts w:hint="eastAsia" w:ascii="宋体" w:hAnsi="宋体" w:cs="宋体"/>
                <w:color w:val="000000"/>
                <w:kern w:val="0"/>
                <w:sz w:val="22"/>
              </w:rPr>
              <w:t>项目名称</w:t>
            </w:r>
          </w:p>
        </w:tc>
        <w:tc>
          <w:tcPr>
            <w:tcW w:w="1200"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cs="宋体"/>
                <w:color w:val="000000"/>
                <w:kern w:val="0"/>
                <w:sz w:val="22"/>
              </w:rPr>
            </w:pPr>
            <w:r>
              <w:rPr>
                <w:rFonts w:hint="eastAsia" w:ascii="宋体" w:hAnsi="宋体" w:cs="宋体"/>
                <w:color w:val="000000"/>
                <w:kern w:val="0"/>
                <w:sz w:val="22"/>
              </w:rPr>
              <w:t>资金数额（万元）</w:t>
            </w:r>
          </w:p>
        </w:tc>
        <w:tc>
          <w:tcPr>
            <w:tcW w:w="3540" w:type="dxa"/>
            <w:gridSpan w:val="3"/>
            <w:tcBorders>
              <w:top w:val="single" w:color="auto" w:sz="4" w:space="0"/>
              <w:left w:val="nil"/>
              <w:bottom w:val="single" w:color="auto" w:sz="4" w:space="0"/>
              <w:right w:val="single" w:color="auto" w:sz="4" w:space="0"/>
            </w:tcBorders>
            <w:noWrap w:val="0"/>
            <w:vAlign w:val="center"/>
          </w:tcPr>
          <w:p>
            <w:pPr>
              <w:widowControl/>
              <w:jc w:val="center"/>
              <w:rPr>
                <w:rFonts w:ascii="宋体" w:cs="宋体"/>
                <w:color w:val="000000"/>
                <w:kern w:val="0"/>
                <w:sz w:val="22"/>
              </w:rPr>
            </w:pPr>
            <w:r>
              <w:rPr>
                <w:rFonts w:hint="eastAsia" w:ascii="宋体" w:hAnsi="宋体" w:cs="宋体"/>
                <w:color w:val="000000"/>
                <w:kern w:val="0"/>
                <w:sz w:val="22"/>
              </w:rPr>
              <w:t>年底绩效目标实现情况</w:t>
            </w:r>
          </w:p>
        </w:tc>
      </w:tr>
      <w:tr>
        <w:tblPrEx>
          <w:tblCellMar>
            <w:top w:w="0" w:type="dxa"/>
            <w:left w:w="108" w:type="dxa"/>
            <w:bottom w:w="0" w:type="dxa"/>
            <w:right w:w="108" w:type="dxa"/>
          </w:tblCellMar>
        </w:tblPrEx>
        <w:trPr>
          <w:trHeight w:val="645" w:hRule="atLeast"/>
        </w:trPr>
        <w:tc>
          <w:tcPr>
            <w:tcW w:w="765" w:type="dxa"/>
            <w:vMerge w:val="continue"/>
            <w:tcBorders>
              <w:left w:val="single" w:color="auto" w:sz="4" w:space="0"/>
              <w:bottom w:val="single" w:color="auto" w:sz="4" w:space="0"/>
              <w:right w:val="single" w:color="auto" w:sz="4" w:space="0"/>
            </w:tcBorders>
            <w:noWrap w:val="0"/>
            <w:vAlign w:val="center"/>
          </w:tcPr>
          <w:p>
            <w:pPr>
              <w:widowControl/>
              <w:jc w:val="left"/>
              <w:rPr>
                <w:rFonts w:ascii="宋体" w:cs="宋体"/>
                <w:color w:val="000000"/>
                <w:kern w:val="0"/>
                <w:sz w:val="22"/>
              </w:rPr>
            </w:pPr>
          </w:p>
        </w:tc>
        <w:tc>
          <w:tcPr>
            <w:tcW w:w="336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cs="宋体"/>
                <w:color w:val="000000"/>
                <w:kern w:val="0"/>
                <w:sz w:val="22"/>
              </w:rPr>
            </w:pPr>
          </w:p>
        </w:tc>
        <w:tc>
          <w:tcPr>
            <w:tcW w:w="120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cs="宋体"/>
                <w:color w:val="000000"/>
                <w:kern w:val="0"/>
                <w:sz w:val="22"/>
              </w:rPr>
            </w:pPr>
          </w:p>
        </w:tc>
        <w:tc>
          <w:tcPr>
            <w:tcW w:w="1215" w:type="dxa"/>
            <w:tcBorders>
              <w:top w:val="nil"/>
              <w:left w:val="nil"/>
              <w:bottom w:val="single" w:color="auto" w:sz="4" w:space="0"/>
              <w:right w:val="single" w:color="auto" w:sz="4" w:space="0"/>
            </w:tcBorders>
            <w:noWrap w:val="0"/>
            <w:vAlign w:val="center"/>
          </w:tcPr>
          <w:p>
            <w:pPr>
              <w:widowControl/>
              <w:jc w:val="center"/>
              <w:rPr>
                <w:rFonts w:ascii="宋体" w:cs="宋体"/>
                <w:color w:val="000000"/>
                <w:kern w:val="0"/>
                <w:sz w:val="22"/>
              </w:rPr>
            </w:pPr>
            <w:r>
              <w:rPr>
                <w:rFonts w:hint="eastAsia" w:ascii="宋体" w:hAnsi="宋体" w:cs="宋体"/>
                <w:color w:val="000000"/>
                <w:kern w:val="0"/>
                <w:sz w:val="22"/>
              </w:rPr>
              <w:t>能实现</w:t>
            </w:r>
          </w:p>
        </w:tc>
        <w:tc>
          <w:tcPr>
            <w:tcW w:w="1215" w:type="dxa"/>
            <w:tcBorders>
              <w:top w:val="nil"/>
              <w:left w:val="nil"/>
              <w:bottom w:val="single" w:color="auto" w:sz="4" w:space="0"/>
              <w:right w:val="single" w:color="auto" w:sz="4" w:space="0"/>
            </w:tcBorders>
            <w:noWrap w:val="0"/>
            <w:vAlign w:val="center"/>
          </w:tcPr>
          <w:p>
            <w:pPr>
              <w:widowControl/>
              <w:jc w:val="center"/>
              <w:rPr>
                <w:rFonts w:ascii="宋体" w:cs="宋体"/>
                <w:color w:val="000000"/>
                <w:kern w:val="0"/>
                <w:sz w:val="22"/>
              </w:rPr>
            </w:pPr>
            <w:r>
              <w:rPr>
                <w:rFonts w:hint="eastAsia" w:ascii="宋体" w:hAnsi="宋体" w:cs="宋体"/>
                <w:color w:val="000000"/>
                <w:kern w:val="0"/>
                <w:sz w:val="22"/>
              </w:rPr>
              <w:t>不能完全实现</w:t>
            </w:r>
          </w:p>
        </w:tc>
        <w:tc>
          <w:tcPr>
            <w:tcW w:w="1110" w:type="dxa"/>
            <w:tcBorders>
              <w:top w:val="nil"/>
              <w:left w:val="nil"/>
              <w:bottom w:val="single" w:color="auto" w:sz="4" w:space="0"/>
              <w:right w:val="single" w:color="auto" w:sz="4" w:space="0"/>
            </w:tcBorders>
            <w:noWrap w:val="0"/>
            <w:vAlign w:val="center"/>
          </w:tcPr>
          <w:p>
            <w:pPr>
              <w:widowControl/>
              <w:jc w:val="center"/>
              <w:rPr>
                <w:rFonts w:ascii="宋体" w:cs="宋体"/>
                <w:color w:val="000000"/>
                <w:kern w:val="0"/>
                <w:sz w:val="22"/>
              </w:rPr>
            </w:pPr>
            <w:r>
              <w:rPr>
                <w:rFonts w:hint="eastAsia" w:ascii="宋体" w:hAnsi="宋体" w:cs="宋体"/>
                <w:color w:val="000000"/>
                <w:kern w:val="0"/>
                <w:sz w:val="22"/>
              </w:rPr>
              <w:t>差距较大</w:t>
            </w:r>
          </w:p>
        </w:tc>
      </w:tr>
      <w:tr>
        <w:tblPrEx>
          <w:tblCellMar>
            <w:top w:w="0" w:type="dxa"/>
            <w:left w:w="108" w:type="dxa"/>
            <w:bottom w:w="0" w:type="dxa"/>
            <w:right w:w="108" w:type="dxa"/>
          </w:tblCellMar>
        </w:tblPrEx>
        <w:trPr>
          <w:trHeight w:val="495" w:hRule="atLeast"/>
        </w:trPr>
        <w:tc>
          <w:tcPr>
            <w:tcW w:w="765" w:type="dxa"/>
            <w:tcBorders>
              <w:top w:val="nil"/>
              <w:left w:val="single" w:color="auto" w:sz="4" w:space="0"/>
              <w:bottom w:val="single" w:color="auto" w:sz="4" w:space="0"/>
              <w:right w:val="single" w:color="auto" w:sz="4" w:space="0"/>
            </w:tcBorders>
            <w:noWrap w:val="0"/>
            <w:vAlign w:val="center"/>
          </w:tcPr>
          <w:p>
            <w:pPr>
              <w:widowControl/>
              <w:jc w:val="center"/>
              <w:rPr>
                <w:rFonts w:hint="default" w:ascii="宋体" w:eastAsia="宋体" w:cs="宋体"/>
                <w:color w:val="000000"/>
                <w:kern w:val="0"/>
                <w:sz w:val="22"/>
                <w:lang w:val="en-US" w:eastAsia="zh-CN"/>
              </w:rPr>
            </w:pPr>
            <w:r>
              <w:rPr>
                <w:rFonts w:hint="eastAsia" w:ascii="宋体" w:cs="宋体"/>
                <w:color w:val="000000"/>
                <w:kern w:val="0"/>
                <w:sz w:val="22"/>
                <w:lang w:val="en-US" w:eastAsia="zh-CN"/>
              </w:rPr>
              <w:t>1</w:t>
            </w:r>
          </w:p>
        </w:tc>
        <w:tc>
          <w:tcPr>
            <w:tcW w:w="336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eastAsia="宋体" w:cs="宋体"/>
                <w:color w:val="000000"/>
                <w:kern w:val="0"/>
                <w:sz w:val="22"/>
                <w:lang w:eastAsia="zh-CN"/>
              </w:rPr>
            </w:pPr>
            <w:r>
              <w:rPr>
                <w:rFonts w:hint="eastAsia" w:ascii="宋体" w:cs="宋体"/>
                <w:color w:val="000000"/>
                <w:kern w:val="0"/>
                <w:sz w:val="22"/>
                <w:lang w:eastAsia="zh-CN"/>
              </w:rPr>
              <w:t>农村两委换届选举经费</w:t>
            </w:r>
          </w:p>
        </w:tc>
        <w:tc>
          <w:tcPr>
            <w:tcW w:w="1200" w:type="dxa"/>
            <w:tcBorders>
              <w:top w:val="nil"/>
              <w:left w:val="nil"/>
              <w:bottom w:val="single" w:color="auto" w:sz="4" w:space="0"/>
              <w:right w:val="single" w:color="auto" w:sz="4" w:space="0"/>
            </w:tcBorders>
            <w:noWrap w:val="0"/>
            <w:vAlign w:val="center"/>
          </w:tcPr>
          <w:p>
            <w:pPr>
              <w:widowControl/>
              <w:jc w:val="center"/>
              <w:rPr>
                <w:rFonts w:hint="default" w:ascii="宋体" w:eastAsia="宋体" w:cs="宋体"/>
                <w:color w:val="000000"/>
                <w:kern w:val="0"/>
                <w:sz w:val="22"/>
                <w:lang w:val="en-US" w:eastAsia="zh-CN"/>
              </w:rPr>
            </w:pPr>
            <w:r>
              <w:rPr>
                <w:rFonts w:hint="eastAsia" w:ascii="宋体" w:cs="宋体"/>
                <w:color w:val="000000"/>
                <w:kern w:val="0"/>
                <w:sz w:val="22"/>
                <w:lang w:val="en-US" w:eastAsia="zh-CN"/>
              </w:rPr>
              <w:t>3.00</w:t>
            </w:r>
          </w:p>
        </w:tc>
        <w:tc>
          <w:tcPr>
            <w:tcW w:w="1215" w:type="dxa"/>
            <w:tcBorders>
              <w:top w:val="nil"/>
              <w:left w:val="nil"/>
              <w:bottom w:val="single" w:color="auto" w:sz="4" w:space="0"/>
              <w:right w:val="single" w:color="auto" w:sz="4" w:space="0"/>
            </w:tcBorders>
            <w:noWrap w:val="0"/>
            <w:vAlign w:val="center"/>
          </w:tcPr>
          <w:p>
            <w:pPr>
              <w:widowControl/>
              <w:jc w:val="center"/>
              <w:rPr>
                <w:rFonts w:hint="eastAsia" w:ascii="宋体" w:eastAsia="宋体" w:cs="宋体"/>
                <w:color w:val="000000"/>
                <w:kern w:val="0"/>
                <w:sz w:val="22"/>
                <w:lang w:eastAsia="zh-CN"/>
              </w:rPr>
            </w:pPr>
            <w:r>
              <w:rPr>
                <w:rFonts w:hint="eastAsia" w:ascii="宋体" w:hAnsi="宋体" w:cs="宋体"/>
                <w:color w:val="000000"/>
                <w:kern w:val="0"/>
                <w:sz w:val="22"/>
              </w:rPr>
              <w:t>√</w:t>
            </w:r>
          </w:p>
        </w:tc>
        <w:tc>
          <w:tcPr>
            <w:tcW w:w="1215" w:type="dxa"/>
            <w:tcBorders>
              <w:top w:val="nil"/>
              <w:left w:val="nil"/>
              <w:bottom w:val="single" w:color="auto" w:sz="4" w:space="0"/>
              <w:right w:val="single" w:color="auto" w:sz="4" w:space="0"/>
            </w:tcBorders>
            <w:noWrap w:val="0"/>
            <w:vAlign w:val="center"/>
          </w:tcPr>
          <w:p>
            <w:pPr>
              <w:widowControl/>
              <w:jc w:val="left"/>
              <w:rPr>
                <w:rFonts w:ascii="宋体" w:cs="宋体"/>
                <w:color w:val="000000"/>
                <w:kern w:val="0"/>
                <w:sz w:val="22"/>
              </w:rPr>
            </w:pPr>
          </w:p>
        </w:tc>
        <w:tc>
          <w:tcPr>
            <w:tcW w:w="1110" w:type="dxa"/>
            <w:tcBorders>
              <w:top w:val="nil"/>
              <w:left w:val="nil"/>
              <w:bottom w:val="single" w:color="auto" w:sz="4" w:space="0"/>
              <w:right w:val="single" w:color="auto" w:sz="4" w:space="0"/>
            </w:tcBorders>
            <w:noWrap w:val="0"/>
            <w:vAlign w:val="center"/>
          </w:tcPr>
          <w:p>
            <w:pPr>
              <w:widowControl/>
              <w:jc w:val="left"/>
              <w:rPr>
                <w:rFonts w:ascii="宋体" w:cs="宋体"/>
                <w:color w:val="000000"/>
                <w:kern w:val="0"/>
                <w:sz w:val="22"/>
              </w:rPr>
            </w:pPr>
          </w:p>
        </w:tc>
      </w:tr>
      <w:tr>
        <w:tblPrEx>
          <w:tblCellMar>
            <w:top w:w="0" w:type="dxa"/>
            <w:left w:w="108" w:type="dxa"/>
            <w:bottom w:w="0" w:type="dxa"/>
            <w:right w:w="108" w:type="dxa"/>
          </w:tblCellMar>
        </w:tblPrEx>
        <w:trPr>
          <w:trHeight w:val="495" w:hRule="atLeast"/>
        </w:trPr>
        <w:tc>
          <w:tcPr>
            <w:tcW w:w="765" w:type="dxa"/>
            <w:tcBorders>
              <w:top w:val="nil"/>
              <w:left w:val="single" w:color="auto" w:sz="4" w:space="0"/>
              <w:bottom w:val="single" w:color="auto" w:sz="4" w:space="0"/>
              <w:right w:val="single" w:color="auto" w:sz="4" w:space="0"/>
            </w:tcBorders>
            <w:noWrap w:val="0"/>
            <w:vAlign w:val="center"/>
          </w:tcPr>
          <w:p>
            <w:pPr>
              <w:widowControl/>
              <w:jc w:val="center"/>
              <w:rPr>
                <w:rFonts w:hint="default" w:ascii="宋体" w:eastAsia="宋体" w:cs="宋体"/>
                <w:color w:val="000000"/>
                <w:kern w:val="0"/>
                <w:sz w:val="22"/>
                <w:lang w:val="en-US" w:eastAsia="zh-CN"/>
              </w:rPr>
            </w:pPr>
            <w:r>
              <w:rPr>
                <w:rFonts w:hint="eastAsia" w:ascii="宋体" w:cs="宋体"/>
                <w:color w:val="000000"/>
                <w:kern w:val="0"/>
                <w:sz w:val="22"/>
                <w:lang w:val="en-US" w:eastAsia="zh-CN"/>
              </w:rPr>
              <w:t>2</w:t>
            </w:r>
          </w:p>
        </w:tc>
        <w:tc>
          <w:tcPr>
            <w:tcW w:w="3367" w:type="dxa"/>
            <w:tcBorders>
              <w:top w:val="nil"/>
              <w:left w:val="single" w:color="auto" w:sz="4" w:space="0"/>
              <w:bottom w:val="single" w:color="auto" w:sz="4" w:space="0"/>
              <w:right w:val="single" w:color="auto" w:sz="4" w:space="0"/>
            </w:tcBorders>
            <w:noWrap w:val="0"/>
            <w:vAlign w:val="center"/>
          </w:tcPr>
          <w:p>
            <w:pPr>
              <w:widowControl/>
              <w:jc w:val="center"/>
              <w:rPr>
                <w:rFonts w:hint="default" w:ascii="宋体" w:eastAsia="宋体" w:cs="宋体"/>
                <w:color w:val="000000"/>
                <w:kern w:val="0"/>
                <w:sz w:val="22"/>
                <w:lang w:val="en-US" w:eastAsia="zh-CN"/>
              </w:rPr>
            </w:pPr>
            <w:r>
              <w:rPr>
                <w:rFonts w:hint="eastAsia" w:ascii="宋体" w:cs="宋体"/>
                <w:color w:val="000000"/>
                <w:kern w:val="0"/>
                <w:sz w:val="22"/>
                <w:lang w:val="en-US" w:eastAsia="zh-CN"/>
              </w:rPr>
              <w:t>2016年村级组织活动场所建设</w:t>
            </w:r>
          </w:p>
        </w:tc>
        <w:tc>
          <w:tcPr>
            <w:tcW w:w="1200" w:type="dxa"/>
            <w:tcBorders>
              <w:top w:val="nil"/>
              <w:left w:val="nil"/>
              <w:bottom w:val="single" w:color="auto" w:sz="4" w:space="0"/>
              <w:right w:val="single" w:color="auto" w:sz="4" w:space="0"/>
            </w:tcBorders>
            <w:noWrap w:val="0"/>
            <w:vAlign w:val="center"/>
          </w:tcPr>
          <w:p>
            <w:pPr>
              <w:widowControl/>
              <w:jc w:val="center"/>
              <w:rPr>
                <w:rFonts w:hint="default" w:ascii="宋体" w:eastAsia="宋体" w:cs="宋体"/>
                <w:color w:val="000000"/>
                <w:kern w:val="0"/>
                <w:sz w:val="22"/>
                <w:lang w:val="en-US" w:eastAsia="zh-CN"/>
              </w:rPr>
            </w:pPr>
            <w:r>
              <w:rPr>
                <w:rFonts w:hint="eastAsia" w:ascii="宋体" w:cs="宋体"/>
                <w:color w:val="000000"/>
                <w:kern w:val="0"/>
                <w:sz w:val="22"/>
                <w:lang w:val="en-US" w:eastAsia="zh-CN"/>
              </w:rPr>
              <w:t>10.00</w:t>
            </w:r>
          </w:p>
        </w:tc>
        <w:tc>
          <w:tcPr>
            <w:tcW w:w="1215" w:type="dxa"/>
            <w:tcBorders>
              <w:top w:val="nil"/>
              <w:left w:val="nil"/>
              <w:bottom w:val="single" w:color="auto" w:sz="4" w:space="0"/>
              <w:right w:val="single" w:color="auto" w:sz="4" w:space="0"/>
            </w:tcBorders>
            <w:noWrap w:val="0"/>
            <w:vAlign w:val="center"/>
          </w:tcPr>
          <w:p>
            <w:pPr>
              <w:widowControl/>
              <w:jc w:val="center"/>
              <w:rPr>
                <w:rFonts w:hint="eastAsia" w:ascii="宋体" w:eastAsia="宋体" w:cs="宋体"/>
                <w:color w:val="000000"/>
                <w:kern w:val="0"/>
                <w:sz w:val="22"/>
                <w:lang w:eastAsia="zh-CN"/>
              </w:rPr>
            </w:pPr>
            <w:r>
              <w:rPr>
                <w:rFonts w:hint="eastAsia" w:ascii="宋体" w:hAnsi="宋体" w:cs="宋体"/>
                <w:color w:val="000000"/>
                <w:kern w:val="0"/>
                <w:sz w:val="22"/>
              </w:rPr>
              <w:t>√</w:t>
            </w:r>
          </w:p>
        </w:tc>
        <w:tc>
          <w:tcPr>
            <w:tcW w:w="1215" w:type="dxa"/>
            <w:tcBorders>
              <w:top w:val="nil"/>
              <w:left w:val="nil"/>
              <w:bottom w:val="single" w:color="auto" w:sz="4" w:space="0"/>
              <w:right w:val="single" w:color="auto" w:sz="4" w:space="0"/>
            </w:tcBorders>
            <w:noWrap w:val="0"/>
            <w:vAlign w:val="center"/>
          </w:tcPr>
          <w:p>
            <w:pPr>
              <w:widowControl/>
              <w:jc w:val="left"/>
              <w:rPr>
                <w:rFonts w:ascii="宋体" w:cs="宋体"/>
                <w:color w:val="000000"/>
                <w:kern w:val="0"/>
                <w:sz w:val="22"/>
              </w:rPr>
            </w:pPr>
          </w:p>
        </w:tc>
        <w:tc>
          <w:tcPr>
            <w:tcW w:w="1110" w:type="dxa"/>
            <w:tcBorders>
              <w:top w:val="nil"/>
              <w:left w:val="nil"/>
              <w:bottom w:val="single" w:color="auto" w:sz="4" w:space="0"/>
              <w:right w:val="single" w:color="auto" w:sz="4" w:space="0"/>
            </w:tcBorders>
            <w:noWrap w:val="0"/>
            <w:vAlign w:val="center"/>
          </w:tcPr>
          <w:p>
            <w:pPr>
              <w:widowControl/>
              <w:jc w:val="left"/>
              <w:rPr>
                <w:rFonts w:ascii="宋体" w:cs="宋体"/>
                <w:color w:val="000000"/>
                <w:kern w:val="0"/>
                <w:sz w:val="22"/>
              </w:rPr>
            </w:pPr>
          </w:p>
        </w:tc>
      </w:tr>
      <w:tr>
        <w:tblPrEx>
          <w:tblCellMar>
            <w:top w:w="0" w:type="dxa"/>
            <w:left w:w="108" w:type="dxa"/>
            <w:bottom w:w="0" w:type="dxa"/>
            <w:right w:w="108" w:type="dxa"/>
          </w:tblCellMar>
        </w:tblPrEx>
        <w:trPr>
          <w:trHeight w:val="414" w:hRule="atLeast"/>
        </w:trPr>
        <w:tc>
          <w:tcPr>
            <w:tcW w:w="765" w:type="dxa"/>
            <w:tcBorders>
              <w:top w:val="nil"/>
              <w:left w:val="single" w:color="auto" w:sz="4" w:space="0"/>
              <w:bottom w:val="single" w:color="auto" w:sz="4" w:space="0"/>
              <w:right w:val="single" w:color="auto" w:sz="4" w:space="0"/>
            </w:tcBorders>
            <w:noWrap w:val="0"/>
            <w:vAlign w:val="center"/>
          </w:tcPr>
          <w:p>
            <w:pPr>
              <w:widowControl/>
              <w:jc w:val="center"/>
              <w:rPr>
                <w:rFonts w:hint="default" w:ascii="宋体" w:cs="宋体"/>
                <w:color w:val="000000"/>
                <w:kern w:val="0"/>
                <w:sz w:val="22"/>
                <w:lang w:val="en-US" w:eastAsia="zh-CN"/>
              </w:rPr>
            </w:pPr>
            <w:r>
              <w:rPr>
                <w:rFonts w:hint="eastAsia" w:ascii="宋体" w:cs="宋体"/>
                <w:color w:val="000000"/>
                <w:kern w:val="0"/>
                <w:sz w:val="22"/>
                <w:lang w:val="en-US" w:eastAsia="zh-CN"/>
              </w:rPr>
              <w:t>3</w:t>
            </w:r>
          </w:p>
        </w:tc>
        <w:tc>
          <w:tcPr>
            <w:tcW w:w="3367"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宋体" w:eastAsia="宋体" w:cs="宋体"/>
                <w:color w:val="000000"/>
                <w:kern w:val="0"/>
                <w:sz w:val="22"/>
                <w:lang w:eastAsia="zh-CN"/>
              </w:rPr>
            </w:pPr>
            <w:r>
              <w:rPr>
                <w:rFonts w:hint="eastAsia" w:ascii="宋体" w:cs="宋体"/>
                <w:color w:val="000000"/>
                <w:kern w:val="0"/>
                <w:sz w:val="22"/>
                <w:lang w:eastAsia="zh-CN"/>
              </w:rPr>
              <w:t>村级组织正常运转经费</w:t>
            </w:r>
          </w:p>
        </w:tc>
        <w:tc>
          <w:tcPr>
            <w:tcW w:w="1200" w:type="dxa"/>
            <w:tcBorders>
              <w:top w:val="nil"/>
              <w:left w:val="nil"/>
              <w:bottom w:val="single" w:color="auto" w:sz="4" w:space="0"/>
              <w:right w:val="single" w:color="auto" w:sz="4" w:space="0"/>
            </w:tcBorders>
            <w:noWrap w:val="0"/>
            <w:vAlign w:val="center"/>
          </w:tcPr>
          <w:p>
            <w:pPr>
              <w:widowControl/>
              <w:jc w:val="center"/>
              <w:rPr>
                <w:rFonts w:hint="default" w:ascii="宋体" w:eastAsia="宋体" w:cs="宋体"/>
                <w:color w:val="000000"/>
                <w:kern w:val="0"/>
                <w:sz w:val="22"/>
                <w:lang w:val="en-US" w:eastAsia="zh-CN"/>
              </w:rPr>
            </w:pPr>
            <w:r>
              <w:rPr>
                <w:rFonts w:hint="eastAsia" w:ascii="宋体" w:cs="宋体"/>
                <w:color w:val="000000"/>
                <w:kern w:val="0"/>
                <w:sz w:val="22"/>
                <w:lang w:val="en-US" w:eastAsia="zh-CN"/>
              </w:rPr>
              <w:t>25.50</w:t>
            </w:r>
          </w:p>
        </w:tc>
        <w:tc>
          <w:tcPr>
            <w:tcW w:w="1215" w:type="dxa"/>
            <w:tcBorders>
              <w:top w:val="nil"/>
              <w:left w:val="nil"/>
              <w:bottom w:val="single" w:color="auto" w:sz="4" w:space="0"/>
              <w:right w:val="single" w:color="auto" w:sz="4" w:space="0"/>
            </w:tcBorders>
            <w:noWrap w:val="0"/>
            <w:vAlign w:val="center"/>
          </w:tcPr>
          <w:p>
            <w:pPr>
              <w:widowControl/>
              <w:jc w:val="center"/>
              <w:rPr>
                <w:rFonts w:ascii="宋体" w:cs="宋体"/>
                <w:color w:val="000000"/>
                <w:kern w:val="0"/>
                <w:sz w:val="22"/>
              </w:rPr>
            </w:pPr>
            <w:r>
              <w:rPr>
                <w:rFonts w:hint="eastAsia" w:ascii="宋体" w:hAnsi="宋体" w:cs="宋体"/>
                <w:color w:val="000000"/>
                <w:kern w:val="0"/>
                <w:sz w:val="22"/>
              </w:rPr>
              <w:t>√</w:t>
            </w:r>
          </w:p>
        </w:tc>
        <w:tc>
          <w:tcPr>
            <w:tcW w:w="1215" w:type="dxa"/>
            <w:tcBorders>
              <w:top w:val="nil"/>
              <w:left w:val="nil"/>
              <w:bottom w:val="single" w:color="auto" w:sz="4" w:space="0"/>
              <w:right w:val="single" w:color="auto" w:sz="4" w:space="0"/>
            </w:tcBorders>
            <w:noWrap w:val="0"/>
            <w:vAlign w:val="center"/>
          </w:tcPr>
          <w:p>
            <w:pPr>
              <w:widowControl/>
              <w:jc w:val="left"/>
              <w:rPr>
                <w:rFonts w:ascii="宋体" w:cs="宋体"/>
                <w:color w:val="FF0000"/>
                <w:kern w:val="0"/>
                <w:sz w:val="22"/>
              </w:rPr>
            </w:pPr>
            <w:r>
              <w:rPr>
                <w:rFonts w:hint="eastAsia" w:ascii="宋体" w:hAnsi="宋体" w:cs="宋体"/>
                <w:color w:val="FF0000"/>
                <w:kern w:val="0"/>
                <w:sz w:val="22"/>
              </w:rPr>
              <w:t>　</w:t>
            </w:r>
          </w:p>
        </w:tc>
        <w:tc>
          <w:tcPr>
            <w:tcW w:w="1110" w:type="dxa"/>
            <w:tcBorders>
              <w:top w:val="nil"/>
              <w:left w:val="nil"/>
              <w:bottom w:val="single" w:color="auto" w:sz="4" w:space="0"/>
              <w:right w:val="single" w:color="auto" w:sz="4" w:space="0"/>
            </w:tcBorders>
            <w:noWrap w:val="0"/>
            <w:vAlign w:val="center"/>
          </w:tcPr>
          <w:p>
            <w:pPr>
              <w:widowControl/>
              <w:jc w:val="left"/>
              <w:rPr>
                <w:rFonts w:ascii="宋体" w:cs="宋体"/>
                <w:color w:val="FF0000"/>
                <w:kern w:val="0"/>
                <w:sz w:val="22"/>
              </w:rPr>
            </w:pPr>
            <w:r>
              <w:rPr>
                <w:rFonts w:hint="eastAsia" w:ascii="宋体" w:hAnsi="宋体" w:cs="宋体"/>
                <w:color w:val="FF0000"/>
                <w:kern w:val="0"/>
                <w:sz w:val="22"/>
              </w:rPr>
              <w:t>　</w:t>
            </w: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cs="宋体"/>
                <w:color w:val="000000"/>
                <w:kern w:val="0"/>
                <w:sz w:val="22"/>
                <w:lang w:val="en-US" w:eastAsia="zh-CN"/>
              </w:rPr>
            </w:pPr>
            <w:r>
              <w:rPr>
                <w:rFonts w:hint="eastAsia" w:ascii="宋体" w:cs="宋体"/>
                <w:color w:val="000000"/>
                <w:kern w:val="0"/>
                <w:sz w:val="22"/>
                <w:lang w:val="en-US" w:eastAsia="zh-CN"/>
              </w:rPr>
              <w:t>4</w:t>
            </w:r>
          </w:p>
        </w:tc>
        <w:tc>
          <w:tcPr>
            <w:tcW w:w="336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color w:val="000000"/>
                <w:kern w:val="0"/>
                <w:sz w:val="22"/>
                <w:lang w:val="en-US" w:eastAsia="zh-CN"/>
              </w:rPr>
            </w:pPr>
            <w:r>
              <w:rPr>
                <w:rFonts w:hint="eastAsia" w:ascii="宋体" w:cs="宋体"/>
                <w:color w:val="000000"/>
                <w:kern w:val="0"/>
                <w:sz w:val="22"/>
                <w:lang w:val="en-US" w:eastAsia="zh-CN"/>
              </w:rPr>
              <w:t>2017年正常离任干部补贴</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color w:val="000000"/>
                <w:kern w:val="0"/>
                <w:sz w:val="22"/>
                <w:lang w:val="en-US" w:eastAsia="zh-CN"/>
              </w:rPr>
            </w:pPr>
            <w:r>
              <w:rPr>
                <w:rFonts w:hint="eastAsia" w:ascii="宋体" w:hAnsi="宋体" w:cs="宋体"/>
                <w:color w:val="000000"/>
                <w:kern w:val="0"/>
                <w:sz w:val="22"/>
                <w:lang w:val="en-US" w:eastAsia="zh-CN"/>
              </w:rPr>
              <w:t>1.84</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000000"/>
                <w:kern w:val="0"/>
                <w:sz w:val="22"/>
              </w:rPr>
            </w:pPr>
          </w:p>
        </w:tc>
        <w:tc>
          <w:tcPr>
            <w:tcW w:w="111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cs="宋体"/>
                <w:color w:val="000000"/>
                <w:kern w:val="0"/>
                <w:sz w:val="22"/>
                <w:lang w:val="en-US" w:eastAsia="zh-CN"/>
              </w:rPr>
            </w:pPr>
            <w:r>
              <w:rPr>
                <w:rFonts w:hint="eastAsia" w:ascii="宋体" w:cs="宋体"/>
                <w:color w:val="000000"/>
                <w:kern w:val="0"/>
                <w:sz w:val="22"/>
                <w:lang w:val="en-US" w:eastAsia="zh-CN"/>
              </w:rPr>
              <w:t>5</w:t>
            </w:r>
          </w:p>
        </w:tc>
        <w:tc>
          <w:tcPr>
            <w:tcW w:w="336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 w:val="22"/>
                <w:lang w:val="en-US" w:eastAsia="zh-CN"/>
              </w:rPr>
            </w:pPr>
            <w:r>
              <w:rPr>
                <w:rFonts w:hint="eastAsia" w:ascii="宋体" w:cs="宋体"/>
                <w:color w:val="000000"/>
                <w:kern w:val="0"/>
                <w:sz w:val="22"/>
                <w:lang w:eastAsia="zh-CN"/>
              </w:rPr>
              <w:t>机关正常运转经费</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color w:val="000000"/>
                <w:kern w:val="0"/>
                <w:sz w:val="22"/>
                <w:lang w:val="en-US" w:eastAsia="zh-CN"/>
              </w:rPr>
            </w:pPr>
            <w:r>
              <w:rPr>
                <w:rFonts w:hint="eastAsia" w:ascii="宋体" w:hAnsi="宋体" w:cs="宋体"/>
                <w:color w:val="000000"/>
                <w:kern w:val="0"/>
                <w:sz w:val="22"/>
                <w:lang w:val="en-US" w:eastAsia="zh-CN"/>
              </w:rPr>
              <w:t>5.00</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000000"/>
                <w:kern w:val="0"/>
                <w:sz w:val="22"/>
              </w:rPr>
            </w:pPr>
          </w:p>
        </w:tc>
        <w:tc>
          <w:tcPr>
            <w:tcW w:w="111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color w:val="000000" w:themeColor="text1"/>
                <w:kern w:val="0"/>
                <w:sz w:val="22"/>
                <w:lang w:val="en-US" w:eastAsia="zh-CN"/>
              </w:rPr>
            </w:pPr>
            <w:r>
              <w:rPr>
                <w:rFonts w:hint="eastAsia" w:ascii="宋体" w:hAnsi="宋体" w:cs="宋体"/>
                <w:color w:val="000000" w:themeColor="text1"/>
                <w:kern w:val="0"/>
                <w:sz w:val="22"/>
                <w:lang w:val="en-US" w:eastAsia="zh-CN"/>
              </w:rPr>
              <w:t>6</w:t>
            </w:r>
          </w:p>
        </w:tc>
        <w:tc>
          <w:tcPr>
            <w:tcW w:w="336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color w:val="000000" w:themeColor="text1"/>
                <w:kern w:val="0"/>
                <w:sz w:val="22"/>
                <w:lang w:val="en-US" w:eastAsia="zh-CN"/>
              </w:rPr>
            </w:pPr>
            <w:r>
              <w:rPr>
                <w:rFonts w:hint="eastAsia" w:ascii="宋体" w:hAnsi="宋体" w:cs="宋体"/>
                <w:color w:val="000000" w:themeColor="text1"/>
                <w:kern w:val="0"/>
                <w:sz w:val="22"/>
                <w:lang w:val="en-US" w:eastAsia="zh-CN"/>
              </w:rPr>
              <w:t>1-9月份大事实事如期完成奖励</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color w:val="000000" w:themeColor="text1"/>
                <w:kern w:val="0"/>
                <w:sz w:val="22"/>
                <w:lang w:val="en-US" w:eastAsia="zh-CN"/>
              </w:rPr>
            </w:pPr>
            <w:r>
              <w:rPr>
                <w:rFonts w:hint="eastAsia" w:ascii="宋体" w:hAnsi="宋体" w:cs="宋体"/>
                <w:color w:val="000000" w:themeColor="text1"/>
                <w:kern w:val="0"/>
                <w:sz w:val="22"/>
                <w:lang w:val="en-US" w:eastAsia="zh-CN"/>
              </w:rPr>
              <w:t>0.50</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themeColor="text1"/>
                <w:kern w:val="0"/>
                <w:sz w:val="22"/>
              </w:rPr>
            </w:pPr>
            <w:r>
              <w:rPr>
                <w:rFonts w:hint="eastAsia" w:ascii="宋体" w:hAnsi="宋体" w:cs="宋体"/>
                <w:color w:val="auto"/>
                <w:kern w:val="0"/>
                <w:sz w:val="22"/>
                <w:lang w:val="en-US" w:eastAsia="zh-CN"/>
              </w:rPr>
              <w:t xml:space="preserve"> </w:t>
            </w:r>
            <w:r>
              <w:rPr>
                <w:rFonts w:hint="eastAsia" w:ascii="宋体" w:hAnsi="宋体" w:cs="宋体"/>
                <w:color w:val="auto"/>
                <w:kern w:val="0"/>
                <w:sz w:val="22"/>
              </w:rPr>
              <w:t>√</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宋体" w:hAnsi="宋体" w:eastAsia="宋体" w:cs="宋体"/>
                <w:color w:val="000000" w:themeColor="text1"/>
                <w:kern w:val="0"/>
                <w:sz w:val="22"/>
                <w:lang w:val="en-US" w:eastAsia="zh-CN"/>
              </w:rPr>
            </w:pPr>
            <w:r>
              <w:rPr>
                <w:rFonts w:hint="eastAsia" w:ascii="宋体" w:hAnsi="宋体" w:cs="宋体"/>
                <w:color w:val="000000" w:themeColor="text1"/>
                <w:kern w:val="0"/>
                <w:sz w:val="22"/>
                <w:lang w:val="en-US" w:eastAsia="zh-CN"/>
              </w:rPr>
              <w:t xml:space="preserve">    </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color w:val="000000"/>
                <w:kern w:val="0"/>
                <w:sz w:val="22"/>
                <w:lang w:val="en-US" w:eastAsia="zh-CN"/>
              </w:rPr>
            </w:pPr>
            <w:r>
              <w:rPr>
                <w:rFonts w:hint="eastAsia" w:ascii="宋体" w:hAnsi="宋体" w:cs="宋体"/>
                <w:color w:val="000000"/>
                <w:kern w:val="0"/>
                <w:sz w:val="22"/>
                <w:lang w:val="en-US" w:eastAsia="zh-CN"/>
              </w:rPr>
              <w:t>7</w:t>
            </w:r>
          </w:p>
        </w:tc>
        <w:tc>
          <w:tcPr>
            <w:tcW w:w="336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 w:val="22"/>
                <w:lang w:val="en-US" w:eastAsia="zh-CN"/>
              </w:rPr>
            </w:pPr>
            <w:r>
              <w:rPr>
                <w:rFonts w:hint="eastAsia" w:ascii="宋体" w:hAnsi="宋体" w:cs="宋体"/>
                <w:color w:val="000000"/>
                <w:kern w:val="0"/>
                <w:sz w:val="22"/>
                <w:lang w:val="en-US" w:eastAsia="zh-CN"/>
              </w:rPr>
              <w:t>基层组织运转及党建提升经费</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color w:val="000000"/>
                <w:kern w:val="0"/>
                <w:sz w:val="22"/>
                <w:lang w:val="en-US" w:eastAsia="zh-CN"/>
              </w:rPr>
            </w:pPr>
            <w:r>
              <w:rPr>
                <w:rFonts w:hint="eastAsia" w:ascii="宋体" w:hAnsi="宋体" w:cs="宋体"/>
                <w:color w:val="000000"/>
                <w:kern w:val="0"/>
                <w:sz w:val="22"/>
                <w:lang w:val="en-US" w:eastAsia="zh-CN"/>
              </w:rPr>
              <w:t>35.25</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000000"/>
                <w:kern w:val="0"/>
                <w:sz w:val="22"/>
              </w:rPr>
            </w:pPr>
          </w:p>
        </w:tc>
        <w:tc>
          <w:tcPr>
            <w:tcW w:w="111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color w:val="auto"/>
                <w:kern w:val="0"/>
                <w:sz w:val="22"/>
                <w:lang w:val="en-US" w:eastAsia="zh-CN"/>
              </w:rPr>
            </w:pPr>
            <w:r>
              <w:rPr>
                <w:rFonts w:hint="eastAsia" w:ascii="宋体" w:hAnsi="宋体" w:cs="宋体"/>
                <w:color w:val="auto"/>
                <w:kern w:val="0"/>
                <w:sz w:val="22"/>
                <w:lang w:val="en-US" w:eastAsia="zh-CN"/>
              </w:rPr>
              <w:t>8</w:t>
            </w:r>
          </w:p>
        </w:tc>
        <w:tc>
          <w:tcPr>
            <w:tcW w:w="336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auto"/>
                <w:kern w:val="0"/>
                <w:sz w:val="22"/>
                <w:lang w:val="en-US" w:eastAsia="zh-CN"/>
              </w:rPr>
            </w:pPr>
            <w:r>
              <w:rPr>
                <w:rFonts w:hint="eastAsia" w:ascii="宋体" w:hAnsi="宋体" w:cs="宋体"/>
                <w:color w:val="auto"/>
                <w:kern w:val="0"/>
                <w:sz w:val="22"/>
                <w:lang w:val="en-US" w:eastAsia="zh-CN"/>
              </w:rPr>
              <w:t>维稳经费</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color w:val="auto"/>
                <w:kern w:val="0"/>
                <w:sz w:val="22"/>
                <w:lang w:val="en-US" w:eastAsia="zh-CN"/>
              </w:rPr>
            </w:pPr>
            <w:r>
              <w:rPr>
                <w:rFonts w:hint="eastAsia" w:ascii="宋体" w:hAnsi="宋体" w:cs="宋体"/>
                <w:color w:val="auto"/>
                <w:kern w:val="0"/>
                <w:sz w:val="22"/>
                <w:lang w:val="en-US" w:eastAsia="zh-CN"/>
              </w:rPr>
              <w:t>0.54</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auto"/>
                <w:kern w:val="0"/>
                <w:sz w:val="22"/>
              </w:rPr>
            </w:pPr>
            <w:r>
              <w:rPr>
                <w:rFonts w:hint="eastAsia" w:ascii="宋体" w:hAnsi="宋体" w:cs="宋体"/>
                <w:color w:val="auto"/>
                <w:kern w:val="0"/>
                <w:sz w:val="22"/>
                <w:lang w:val="en-US" w:eastAsia="zh-CN"/>
              </w:rPr>
              <w:t xml:space="preserve"> </w:t>
            </w:r>
            <w:r>
              <w:rPr>
                <w:rFonts w:hint="eastAsia" w:ascii="宋体" w:hAnsi="宋体" w:cs="宋体"/>
                <w:color w:val="auto"/>
                <w:kern w:val="0"/>
                <w:sz w:val="22"/>
              </w:rPr>
              <w:t>√</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宋体" w:hAnsi="宋体" w:eastAsia="宋体" w:cs="宋体"/>
                <w:color w:val="auto"/>
                <w:kern w:val="0"/>
                <w:sz w:val="22"/>
                <w:lang w:val="en-US" w:eastAsia="zh-CN"/>
              </w:rPr>
            </w:pPr>
            <w:r>
              <w:rPr>
                <w:rFonts w:hint="eastAsia" w:ascii="宋体" w:hAnsi="宋体" w:cs="宋体"/>
                <w:color w:val="auto"/>
                <w:kern w:val="0"/>
                <w:sz w:val="22"/>
                <w:lang w:val="en-US" w:eastAsia="zh-CN"/>
              </w:rPr>
              <w:t xml:space="preserve">    </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宋体" w:hAnsi="宋体" w:eastAsia="宋体" w:cs="宋体"/>
                <w:color w:val="auto"/>
                <w:kern w:val="0"/>
                <w:sz w:val="22"/>
                <w:lang w:val="en-US" w:eastAsia="zh-CN"/>
              </w:rPr>
            </w:pPr>
            <w:r>
              <w:rPr>
                <w:rFonts w:hint="eastAsia" w:ascii="宋体" w:hAnsi="宋体" w:cs="宋体"/>
                <w:color w:val="auto"/>
                <w:kern w:val="0"/>
                <w:sz w:val="22"/>
                <w:lang w:val="en-US" w:eastAsia="zh-CN"/>
              </w:rPr>
              <w:t xml:space="preserve">    </w:t>
            </w: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color w:val="auto"/>
                <w:kern w:val="0"/>
                <w:sz w:val="22"/>
                <w:lang w:val="en-US" w:eastAsia="zh-CN"/>
              </w:rPr>
            </w:pPr>
            <w:r>
              <w:rPr>
                <w:rFonts w:hint="eastAsia" w:ascii="宋体" w:hAnsi="宋体" w:cs="宋体"/>
                <w:color w:val="auto"/>
                <w:kern w:val="0"/>
                <w:sz w:val="22"/>
                <w:lang w:val="en-US" w:eastAsia="zh-CN"/>
              </w:rPr>
              <w:t>9</w:t>
            </w:r>
          </w:p>
        </w:tc>
        <w:tc>
          <w:tcPr>
            <w:tcW w:w="336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auto"/>
                <w:kern w:val="0"/>
                <w:sz w:val="22"/>
                <w:lang w:val="en-US" w:eastAsia="zh-CN"/>
              </w:rPr>
            </w:pPr>
            <w:r>
              <w:rPr>
                <w:rFonts w:hint="eastAsia" w:ascii="宋体" w:hAnsi="宋体" w:cs="宋体"/>
                <w:color w:val="auto"/>
                <w:kern w:val="0"/>
                <w:sz w:val="22"/>
                <w:lang w:val="en-US" w:eastAsia="zh-CN"/>
              </w:rPr>
              <w:t>信访稳定经费</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color w:val="auto"/>
                <w:kern w:val="0"/>
                <w:sz w:val="22"/>
                <w:lang w:val="en-US" w:eastAsia="zh-CN"/>
              </w:rPr>
            </w:pPr>
            <w:r>
              <w:rPr>
                <w:rFonts w:hint="eastAsia" w:ascii="宋体" w:hAnsi="宋体" w:cs="宋体"/>
                <w:color w:val="auto"/>
                <w:kern w:val="0"/>
                <w:sz w:val="22"/>
                <w:lang w:val="en-US" w:eastAsia="zh-CN"/>
              </w:rPr>
              <w:t>4.00</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auto"/>
                <w:kern w:val="0"/>
                <w:sz w:val="22"/>
              </w:rPr>
            </w:pPr>
            <w:r>
              <w:rPr>
                <w:rFonts w:hint="eastAsia" w:ascii="宋体" w:hAnsi="宋体" w:cs="宋体"/>
                <w:color w:val="auto"/>
                <w:kern w:val="0"/>
                <w:sz w:val="22"/>
                <w:lang w:val="en-US" w:eastAsia="zh-CN"/>
              </w:rPr>
              <w:t xml:space="preserve"> </w:t>
            </w:r>
            <w:r>
              <w:rPr>
                <w:rFonts w:hint="eastAsia" w:ascii="宋体" w:hAnsi="宋体" w:cs="宋体"/>
                <w:color w:val="auto"/>
                <w:kern w:val="0"/>
                <w:sz w:val="22"/>
              </w:rPr>
              <w:t>√</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auto"/>
                <w:kern w:val="0"/>
                <w:sz w:val="22"/>
              </w:rPr>
            </w:pPr>
          </w:p>
        </w:tc>
        <w:tc>
          <w:tcPr>
            <w:tcW w:w="1110" w:type="dxa"/>
            <w:tcBorders>
              <w:top w:val="single" w:color="auto" w:sz="4" w:space="0"/>
              <w:left w:val="single" w:color="auto" w:sz="4" w:space="0"/>
              <w:bottom w:val="single" w:color="auto" w:sz="4" w:space="0"/>
              <w:right w:val="single" w:color="auto" w:sz="4" w:space="0"/>
            </w:tcBorders>
            <w:noWrap w:val="0"/>
            <w:vAlign w:val="center"/>
          </w:tcPr>
          <w:p>
            <w:pPr>
              <w:widowControl/>
              <w:ind w:firstLine="440" w:firstLineChars="200"/>
              <w:jc w:val="left"/>
              <w:rPr>
                <w:rFonts w:hint="eastAsia" w:ascii="宋体" w:hAnsi="宋体" w:cs="宋体"/>
                <w:color w:val="auto"/>
                <w:kern w:val="0"/>
                <w:sz w:val="22"/>
              </w:rPr>
            </w:pP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color w:val="000000"/>
                <w:kern w:val="0"/>
                <w:sz w:val="22"/>
                <w:lang w:val="en-US" w:eastAsia="zh-CN"/>
              </w:rPr>
            </w:pPr>
            <w:r>
              <w:rPr>
                <w:rFonts w:hint="eastAsia" w:ascii="宋体" w:hAnsi="宋体" w:cs="宋体"/>
                <w:color w:val="000000"/>
                <w:kern w:val="0"/>
                <w:sz w:val="22"/>
                <w:lang w:val="en-US" w:eastAsia="zh-CN"/>
              </w:rPr>
              <w:t>10</w:t>
            </w:r>
          </w:p>
        </w:tc>
        <w:tc>
          <w:tcPr>
            <w:tcW w:w="336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 w:val="22"/>
                <w:lang w:val="en-US" w:eastAsia="zh-CN"/>
              </w:rPr>
            </w:pPr>
            <w:r>
              <w:rPr>
                <w:rFonts w:hint="eastAsia" w:ascii="宋体" w:hAnsi="宋体" w:cs="宋体"/>
                <w:color w:val="000000"/>
                <w:kern w:val="0"/>
                <w:sz w:val="22"/>
                <w:lang w:val="en-US" w:eastAsia="zh-CN"/>
              </w:rPr>
              <w:t>维稳经费</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color w:val="000000"/>
                <w:kern w:val="0"/>
                <w:sz w:val="22"/>
                <w:lang w:val="en-US" w:eastAsia="zh-CN"/>
              </w:rPr>
            </w:pPr>
            <w:r>
              <w:rPr>
                <w:rFonts w:hint="eastAsia" w:ascii="宋体" w:hAnsi="宋体" w:cs="宋体"/>
                <w:color w:val="000000"/>
                <w:kern w:val="0"/>
                <w:sz w:val="22"/>
                <w:lang w:val="en-US" w:eastAsia="zh-CN"/>
              </w:rPr>
              <w:t>5.00</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000000"/>
                <w:kern w:val="0"/>
                <w:sz w:val="22"/>
              </w:rPr>
            </w:pPr>
          </w:p>
        </w:tc>
        <w:tc>
          <w:tcPr>
            <w:tcW w:w="111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color w:val="000000"/>
                <w:kern w:val="0"/>
                <w:sz w:val="22"/>
                <w:lang w:val="en-US" w:eastAsia="zh-CN"/>
              </w:rPr>
            </w:pPr>
            <w:r>
              <w:rPr>
                <w:rFonts w:hint="eastAsia" w:ascii="宋体" w:hAnsi="宋体" w:cs="宋体"/>
                <w:color w:val="000000"/>
                <w:kern w:val="0"/>
                <w:sz w:val="22"/>
                <w:lang w:val="en-US" w:eastAsia="zh-CN"/>
              </w:rPr>
              <w:t>11</w:t>
            </w:r>
          </w:p>
        </w:tc>
        <w:tc>
          <w:tcPr>
            <w:tcW w:w="336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color w:val="000000"/>
                <w:kern w:val="0"/>
                <w:sz w:val="22"/>
                <w:szCs w:val="22"/>
                <w:lang w:val="en-US" w:eastAsia="zh-CN" w:bidi="ar-SA"/>
              </w:rPr>
            </w:pPr>
            <w:r>
              <w:rPr>
                <w:rFonts w:hint="eastAsia" w:ascii="宋体" w:hAnsi="宋体" w:cs="宋体"/>
                <w:color w:val="000000"/>
                <w:kern w:val="0"/>
                <w:sz w:val="22"/>
                <w:lang w:val="en-US" w:eastAsia="zh-CN"/>
              </w:rPr>
              <w:t>大气污染治理费用</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color w:val="000000"/>
                <w:kern w:val="0"/>
                <w:sz w:val="22"/>
                <w:szCs w:val="22"/>
                <w:lang w:val="en-US" w:eastAsia="zh-CN" w:bidi="ar-SA"/>
              </w:rPr>
            </w:pPr>
            <w:r>
              <w:rPr>
                <w:rFonts w:hint="eastAsia" w:ascii="宋体" w:hAnsi="宋体" w:cs="宋体"/>
                <w:color w:val="000000"/>
                <w:kern w:val="0"/>
                <w:sz w:val="22"/>
                <w:szCs w:val="22"/>
                <w:lang w:val="en-US" w:eastAsia="zh-CN" w:bidi="ar-SA"/>
              </w:rPr>
              <w:t>5.00</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 w:val="22"/>
                <w:szCs w:val="22"/>
                <w:lang w:val="en-US" w:eastAsia="zh-CN" w:bidi="ar-SA"/>
              </w:rPr>
            </w:pPr>
            <w:r>
              <w:rPr>
                <w:rFonts w:hint="eastAsia" w:ascii="宋体" w:hAnsi="宋体" w:cs="宋体"/>
                <w:color w:val="000000"/>
                <w:kern w:val="0"/>
                <w:sz w:val="22"/>
              </w:rPr>
              <w:t>√</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000000"/>
                <w:kern w:val="0"/>
                <w:sz w:val="22"/>
                <w:szCs w:val="22"/>
                <w:lang w:val="en-US" w:eastAsia="zh-CN" w:bidi="ar-SA"/>
              </w:rPr>
            </w:pPr>
          </w:p>
        </w:tc>
        <w:tc>
          <w:tcPr>
            <w:tcW w:w="111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000000"/>
                <w:kern w:val="0"/>
                <w:sz w:val="22"/>
                <w:szCs w:val="22"/>
                <w:lang w:val="en-US" w:eastAsia="zh-CN" w:bidi="ar-SA"/>
              </w:rPr>
            </w:pP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color w:val="000000"/>
                <w:kern w:val="0"/>
                <w:sz w:val="22"/>
                <w:lang w:val="en-US" w:eastAsia="zh-CN"/>
              </w:rPr>
            </w:pPr>
            <w:r>
              <w:rPr>
                <w:rFonts w:hint="eastAsia" w:ascii="宋体" w:hAnsi="宋体" w:cs="宋体"/>
                <w:color w:val="000000"/>
                <w:kern w:val="0"/>
                <w:sz w:val="22"/>
                <w:lang w:val="en-US" w:eastAsia="zh-CN"/>
              </w:rPr>
              <w:t>12</w:t>
            </w:r>
          </w:p>
        </w:tc>
        <w:tc>
          <w:tcPr>
            <w:tcW w:w="336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 w:val="22"/>
                <w:lang w:val="en-US" w:eastAsia="zh-CN"/>
              </w:rPr>
            </w:pPr>
            <w:r>
              <w:rPr>
                <w:rFonts w:hint="eastAsia" w:ascii="宋体" w:hAnsi="宋体" w:cs="宋体"/>
                <w:color w:val="000000"/>
                <w:kern w:val="0"/>
                <w:sz w:val="22"/>
                <w:lang w:val="en-US" w:eastAsia="zh-CN"/>
              </w:rPr>
              <w:t>（综）环保所专项建设资金</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color w:val="000000"/>
                <w:kern w:val="0"/>
                <w:sz w:val="22"/>
                <w:lang w:val="en-US" w:eastAsia="zh-CN"/>
              </w:rPr>
            </w:pPr>
            <w:r>
              <w:rPr>
                <w:rFonts w:hint="eastAsia" w:ascii="宋体" w:hAnsi="宋体" w:cs="宋体"/>
                <w:color w:val="000000"/>
                <w:kern w:val="0"/>
                <w:sz w:val="22"/>
                <w:lang w:val="en-US" w:eastAsia="zh-CN"/>
              </w:rPr>
              <w:t>5.00</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000000"/>
                <w:kern w:val="0"/>
                <w:sz w:val="22"/>
              </w:rPr>
            </w:pPr>
          </w:p>
        </w:tc>
        <w:tc>
          <w:tcPr>
            <w:tcW w:w="111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color w:val="000000"/>
                <w:kern w:val="0"/>
                <w:sz w:val="22"/>
                <w:lang w:val="en-US" w:eastAsia="zh-CN"/>
              </w:rPr>
            </w:pPr>
            <w:r>
              <w:rPr>
                <w:rFonts w:hint="eastAsia" w:ascii="宋体" w:hAnsi="宋体" w:cs="宋体"/>
                <w:color w:val="000000"/>
                <w:kern w:val="0"/>
                <w:sz w:val="22"/>
                <w:lang w:val="en-US" w:eastAsia="zh-CN"/>
              </w:rPr>
              <w:t>13</w:t>
            </w:r>
          </w:p>
        </w:tc>
        <w:tc>
          <w:tcPr>
            <w:tcW w:w="336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 w:val="22"/>
                <w:lang w:val="en-US" w:eastAsia="zh-CN"/>
              </w:rPr>
            </w:pPr>
            <w:r>
              <w:rPr>
                <w:rFonts w:hint="eastAsia" w:ascii="宋体" w:hAnsi="宋体" w:cs="宋体"/>
                <w:color w:val="000000"/>
                <w:kern w:val="0"/>
                <w:sz w:val="22"/>
                <w:lang w:val="en-US" w:eastAsia="zh-CN"/>
              </w:rPr>
              <w:t>（综）旅发大会租地资金</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color w:val="000000"/>
                <w:kern w:val="0"/>
                <w:sz w:val="22"/>
                <w:lang w:val="en-US" w:eastAsia="zh-CN"/>
              </w:rPr>
            </w:pPr>
            <w:r>
              <w:rPr>
                <w:rFonts w:hint="eastAsia" w:ascii="宋体" w:hAnsi="宋体" w:cs="宋体"/>
                <w:color w:val="000000"/>
                <w:kern w:val="0"/>
                <w:sz w:val="22"/>
                <w:lang w:val="en-US" w:eastAsia="zh-CN"/>
              </w:rPr>
              <w:t>19.98</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 w:val="22"/>
              </w:rPr>
            </w:pPr>
          </w:p>
        </w:tc>
        <w:tc>
          <w:tcPr>
            <w:tcW w:w="121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 w:val="22"/>
              </w:rPr>
            </w:pPr>
            <w:r>
              <w:rPr>
                <w:rFonts w:hint="eastAsia" w:ascii="宋体" w:hAnsi="宋体" w:cs="宋体"/>
                <w:color w:val="auto"/>
                <w:kern w:val="0"/>
                <w:sz w:val="22"/>
                <w:lang w:val="en-US" w:eastAsia="zh-CN"/>
              </w:rPr>
              <w:t xml:space="preserve"> </w:t>
            </w:r>
            <w:r>
              <w:rPr>
                <w:rFonts w:hint="eastAsia" w:ascii="宋体" w:hAnsi="宋体" w:cs="宋体"/>
                <w:color w:val="auto"/>
                <w:kern w:val="0"/>
                <w:sz w:val="22"/>
              </w:rPr>
              <w:t>√</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color w:val="auto"/>
                <w:kern w:val="0"/>
                <w:sz w:val="22"/>
                <w:lang w:val="en-US" w:eastAsia="zh-CN"/>
              </w:rPr>
            </w:pPr>
            <w:r>
              <w:rPr>
                <w:rFonts w:hint="eastAsia" w:ascii="宋体" w:hAnsi="宋体" w:cs="宋体"/>
                <w:color w:val="auto"/>
                <w:kern w:val="0"/>
                <w:sz w:val="22"/>
                <w:lang w:val="en-US" w:eastAsia="zh-CN"/>
              </w:rPr>
              <w:t>14</w:t>
            </w:r>
          </w:p>
        </w:tc>
        <w:tc>
          <w:tcPr>
            <w:tcW w:w="336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auto"/>
                <w:kern w:val="0"/>
                <w:sz w:val="22"/>
                <w:lang w:val="en-US" w:eastAsia="zh-CN"/>
              </w:rPr>
            </w:pPr>
            <w:r>
              <w:rPr>
                <w:rFonts w:hint="eastAsia" w:ascii="宋体" w:hAnsi="宋体" w:cs="宋体"/>
                <w:color w:val="auto"/>
                <w:kern w:val="0"/>
                <w:sz w:val="22"/>
                <w:lang w:val="en-US" w:eastAsia="zh-CN"/>
              </w:rPr>
              <w:t>2017年农村保洁员补贴</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color w:val="auto"/>
                <w:kern w:val="0"/>
                <w:sz w:val="22"/>
                <w:lang w:val="en-US" w:eastAsia="zh-CN"/>
              </w:rPr>
            </w:pPr>
            <w:r>
              <w:rPr>
                <w:rFonts w:hint="eastAsia" w:ascii="宋体" w:hAnsi="宋体" w:cs="宋体"/>
                <w:color w:val="auto"/>
                <w:kern w:val="0"/>
                <w:sz w:val="22"/>
                <w:lang w:val="en-US" w:eastAsia="zh-CN"/>
              </w:rPr>
              <w:t>27.36</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auto"/>
                <w:kern w:val="0"/>
                <w:sz w:val="22"/>
              </w:rPr>
            </w:pPr>
            <w:r>
              <w:rPr>
                <w:rFonts w:hint="eastAsia" w:ascii="宋体" w:hAnsi="宋体" w:cs="宋体"/>
                <w:color w:val="auto"/>
                <w:kern w:val="0"/>
                <w:sz w:val="22"/>
                <w:lang w:val="en-US" w:eastAsia="zh-CN"/>
              </w:rPr>
              <w:t xml:space="preserve"> </w:t>
            </w:r>
            <w:r>
              <w:rPr>
                <w:rFonts w:hint="eastAsia" w:ascii="宋体" w:hAnsi="宋体" w:cs="宋体"/>
                <w:color w:val="auto"/>
                <w:kern w:val="0"/>
                <w:sz w:val="22"/>
              </w:rPr>
              <w:t>√</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宋体" w:hAnsi="宋体" w:eastAsia="宋体" w:cs="宋体"/>
                <w:color w:val="auto"/>
                <w:kern w:val="0"/>
                <w:sz w:val="22"/>
                <w:lang w:val="en-US" w:eastAsia="zh-CN"/>
              </w:rPr>
            </w:pPr>
            <w:r>
              <w:rPr>
                <w:rFonts w:hint="eastAsia" w:ascii="宋体" w:hAnsi="宋体" w:cs="宋体"/>
                <w:color w:val="auto"/>
                <w:kern w:val="0"/>
                <w:sz w:val="22"/>
                <w:lang w:val="en-US" w:eastAsia="zh-CN"/>
              </w:rPr>
              <w:t xml:space="preserve">    </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cs="宋体"/>
                <w:color w:val="000000"/>
                <w:kern w:val="0"/>
                <w:sz w:val="22"/>
                <w:lang w:val="en-US" w:eastAsia="zh-CN"/>
              </w:rPr>
            </w:pPr>
            <w:r>
              <w:rPr>
                <w:rFonts w:hint="eastAsia" w:ascii="宋体" w:cs="宋体"/>
                <w:color w:val="000000"/>
                <w:kern w:val="0"/>
                <w:sz w:val="22"/>
                <w:lang w:val="en-US" w:eastAsia="zh-CN"/>
              </w:rPr>
              <w:t>15</w:t>
            </w:r>
          </w:p>
        </w:tc>
        <w:tc>
          <w:tcPr>
            <w:tcW w:w="336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color w:val="000000"/>
                <w:kern w:val="0"/>
                <w:sz w:val="22"/>
                <w:lang w:val="en-US" w:eastAsia="zh-CN"/>
              </w:rPr>
            </w:pPr>
            <w:r>
              <w:rPr>
                <w:rFonts w:hint="eastAsia" w:ascii="宋体" w:cs="宋体"/>
                <w:color w:val="000000"/>
                <w:kern w:val="0"/>
                <w:sz w:val="22"/>
                <w:lang w:eastAsia="zh-CN"/>
              </w:rPr>
              <w:t>拨付农村河道垃圾清理费用</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color w:val="000000"/>
                <w:kern w:val="0"/>
                <w:sz w:val="22"/>
                <w:lang w:val="en-US" w:eastAsia="zh-CN"/>
              </w:rPr>
            </w:pPr>
            <w:r>
              <w:rPr>
                <w:rFonts w:hint="eastAsia" w:ascii="宋体" w:hAnsi="宋体" w:cs="宋体"/>
                <w:color w:val="000000"/>
                <w:kern w:val="0"/>
                <w:sz w:val="22"/>
                <w:lang w:val="en-US" w:eastAsia="zh-CN"/>
              </w:rPr>
              <w:t>64.60</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000000"/>
                <w:kern w:val="0"/>
                <w:sz w:val="22"/>
              </w:rPr>
            </w:pPr>
            <w:r>
              <w:rPr>
                <w:rFonts w:hint="eastAsia" w:ascii="宋体" w:hAnsi="宋体" w:cs="宋体"/>
                <w:color w:val="000000"/>
                <w:kern w:val="0"/>
                <w:sz w:val="22"/>
              </w:rPr>
              <w:t>　</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000000"/>
                <w:kern w:val="0"/>
                <w:sz w:val="22"/>
              </w:rPr>
            </w:pPr>
            <w:r>
              <w:rPr>
                <w:rFonts w:hint="eastAsia" w:ascii="宋体" w:hAnsi="宋体" w:cs="宋体"/>
                <w:color w:val="000000"/>
                <w:kern w:val="0"/>
                <w:sz w:val="22"/>
              </w:rPr>
              <w:t>　</w:t>
            </w: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color w:val="auto"/>
                <w:kern w:val="0"/>
                <w:sz w:val="22"/>
                <w:lang w:val="en-US" w:eastAsia="zh-CN"/>
              </w:rPr>
            </w:pPr>
            <w:r>
              <w:rPr>
                <w:rFonts w:hint="eastAsia" w:ascii="宋体" w:hAnsi="宋体" w:cs="宋体"/>
                <w:color w:val="auto"/>
                <w:kern w:val="0"/>
                <w:sz w:val="22"/>
                <w:lang w:val="en-US" w:eastAsia="zh-CN"/>
              </w:rPr>
              <w:t>16</w:t>
            </w:r>
          </w:p>
        </w:tc>
        <w:tc>
          <w:tcPr>
            <w:tcW w:w="336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auto"/>
                <w:kern w:val="0"/>
                <w:sz w:val="22"/>
                <w:lang w:val="en-US" w:eastAsia="zh-CN"/>
              </w:rPr>
            </w:pPr>
            <w:r>
              <w:rPr>
                <w:rFonts w:hint="eastAsia" w:ascii="宋体" w:hAnsi="宋体" w:cs="宋体"/>
                <w:color w:val="auto"/>
                <w:kern w:val="0"/>
                <w:sz w:val="22"/>
                <w:lang w:val="en-US" w:eastAsia="zh-CN"/>
              </w:rPr>
              <w:t>驻京值班经费</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color w:val="auto"/>
                <w:kern w:val="0"/>
                <w:sz w:val="22"/>
                <w:lang w:val="en-US" w:eastAsia="zh-CN"/>
              </w:rPr>
            </w:pPr>
            <w:r>
              <w:rPr>
                <w:rFonts w:hint="eastAsia" w:ascii="宋体" w:hAnsi="宋体" w:cs="宋体"/>
                <w:color w:val="auto"/>
                <w:kern w:val="0"/>
                <w:sz w:val="22"/>
                <w:lang w:val="en-US" w:eastAsia="zh-CN"/>
              </w:rPr>
              <w:t>5.00</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auto"/>
                <w:kern w:val="0"/>
                <w:sz w:val="22"/>
              </w:rPr>
            </w:pPr>
            <w:r>
              <w:rPr>
                <w:rFonts w:hint="eastAsia" w:ascii="宋体" w:hAnsi="宋体" w:cs="宋体"/>
                <w:color w:val="auto"/>
                <w:kern w:val="0"/>
                <w:sz w:val="22"/>
                <w:lang w:val="en-US" w:eastAsia="zh-CN"/>
              </w:rPr>
              <w:t xml:space="preserve"> </w:t>
            </w:r>
            <w:r>
              <w:rPr>
                <w:rFonts w:hint="eastAsia" w:ascii="宋体" w:hAnsi="宋体" w:cs="宋体"/>
                <w:color w:val="auto"/>
                <w:kern w:val="0"/>
                <w:sz w:val="22"/>
              </w:rPr>
              <w:t>√</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宋体" w:hAnsi="宋体" w:eastAsia="宋体" w:cs="宋体"/>
                <w:color w:val="auto"/>
                <w:kern w:val="0"/>
                <w:sz w:val="22"/>
                <w:lang w:val="en-US" w:eastAsia="zh-CN"/>
              </w:rPr>
            </w:pPr>
            <w:r>
              <w:rPr>
                <w:rFonts w:hint="eastAsia" w:ascii="宋体" w:hAnsi="宋体" w:cs="宋体"/>
                <w:color w:val="auto"/>
                <w:kern w:val="0"/>
                <w:sz w:val="22"/>
                <w:lang w:val="en-US" w:eastAsia="zh-CN"/>
              </w:rPr>
              <w:t xml:space="preserve">   </w:t>
            </w:r>
          </w:p>
        </w:tc>
        <w:tc>
          <w:tcPr>
            <w:tcW w:w="111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FF0000"/>
                <w:kern w:val="0"/>
                <w:sz w:val="22"/>
              </w:rPr>
            </w:pP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color w:val="000000"/>
                <w:kern w:val="0"/>
                <w:sz w:val="22"/>
                <w:lang w:val="en-US" w:eastAsia="zh-CN"/>
              </w:rPr>
            </w:pPr>
            <w:r>
              <w:rPr>
                <w:rFonts w:hint="eastAsia" w:ascii="宋体" w:hAnsi="宋体" w:cs="宋体"/>
                <w:color w:val="000000"/>
                <w:kern w:val="0"/>
                <w:sz w:val="22"/>
                <w:lang w:val="en-US" w:eastAsia="zh-CN"/>
              </w:rPr>
              <w:t>17</w:t>
            </w:r>
          </w:p>
        </w:tc>
        <w:tc>
          <w:tcPr>
            <w:tcW w:w="336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 w:val="22"/>
                <w:lang w:val="en-US" w:eastAsia="zh-CN"/>
              </w:rPr>
            </w:pPr>
            <w:r>
              <w:rPr>
                <w:rFonts w:hint="eastAsia" w:ascii="宋体" w:hAnsi="宋体" w:cs="宋体"/>
                <w:color w:val="000000"/>
                <w:kern w:val="0"/>
                <w:sz w:val="22"/>
                <w:lang w:val="en-US" w:eastAsia="zh-CN"/>
              </w:rPr>
              <w:t>解决岭西村孔祥宾信访救助资金</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color w:val="000000"/>
                <w:kern w:val="0"/>
                <w:sz w:val="22"/>
                <w:lang w:val="en-US" w:eastAsia="zh-CN"/>
              </w:rPr>
            </w:pPr>
            <w:r>
              <w:rPr>
                <w:rFonts w:hint="eastAsia" w:ascii="宋体" w:hAnsi="宋体" w:cs="宋体"/>
                <w:color w:val="000000"/>
                <w:kern w:val="0"/>
                <w:sz w:val="22"/>
                <w:lang w:val="en-US" w:eastAsia="zh-CN"/>
              </w:rPr>
              <w:t>5.00</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 w:val="22"/>
              </w:rPr>
            </w:pPr>
            <w:r>
              <w:rPr>
                <w:rFonts w:hint="eastAsia" w:ascii="宋体" w:hAnsi="宋体" w:cs="宋体"/>
                <w:color w:val="000000"/>
                <w:kern w:val="0"/>
                <w:sz w:val="22"/>
              </w:rPr>
              <w:t>√</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000000"/>
                <w:kern w:val="0"/>
                <w:sz w:val="22"/>
              </w:rPr>
            </w:pPr>
          </w:p>
        </w:tc>
        <w:tc>
          <w:tcPr>
            <w:tcW w:w="111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000000"/>
                <w:kern w:val="0"/>
                <w:sz w:val="22"/>
              </w:rPr>
            </w:pPr>
          </w:p>
        </w:tc>
      </w:tr>
      <w:tr>
        <w:tblPrEx>
          <w:tblCellMar>
            <w:top w:w="0" w:type="dxa"/>
            <w:left w:w="108" w:type="dxa"/>
            <w:bottom w:w="0" w:type="dxa"/>
            <w:right w:w="108" w:type="dxa"/>
          </w:tblCellMar>
        </w:tblPrEx>
        <w:trPr>
          <w:trHeight w:val="495" w:hRule="atLeast"/>
        </w:trPr>
        <w:tc>
          <w:tcPr>
            <w:tcW w:w="76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color w:val="000000"/>
                <w:kern w:val="0"/>
                <w:sz w:val="22"/>
                <w:lang w:val="en-US" w:eastAsia="zh-CN"/>
              </w:rPr>
            </w:pPr>
            <w:r>
              <w:rPr>
                <w:rFonts w:hint="eastAsia" w:ascii="宋体" w:hAnsi="宋体" w:cs="宋体"/>
                <w:color w:val="000000"/>
                <w:kern w:val="0"/>
                <w:sz w:val="22"/>
                <w:lang w:val="en-US" w:eastAsia="zh-CN"/>
              </w:rPr>
              <w:t>18</w:t>
            </w:r>
          </w:p>
        </w:tc>
        <w:tc>
          <w:tcPr>
            <w:tcW w:w="336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 w:val="22"/>
                <w:lang w:val="en-US" w:eastAsia="zh-CN"/>
              </w:rPr>
            </w:pPr>
            <w:r>
              <w:rPr>
                <w:rFonts w:hint="eastAsia" w:ascii="宋体" w:hAnsi="宋体" w:cs="宋体"/>
                <w:color w:val="000000"/>
                <w:kern w:val="0"/>
                <w:sz w:val="22"/>
                <w:lang w:val="en-US" w:eastAsia="zh-CN"/>
              </w:rPr>
              <w:t>（综）美丽乡村征地补偿款</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宋体" w:hAnsi="宋体" w:cs="宋体"/>
                <w:color w:val="000000"/>
                <w:kern w:val="0"/>
                <w:sz w:val="22"/>
                <w:lang w:val="en-US" w:eastAsia="zh-CN"/>
              </w:rPr>
            </w:pPr>
            <w:r>
              <w:rPr>
                <w:rFonts w:hint="eastAsia" w:ascii="宋体" w:hAnsi="宋体" w:cs="宋体"/>
                <w:color w:val="000000"/>
                <w:kern w:val="0"/>
                <w:sz w:val="22"/>
                <w:lang w:val="en-US" w:eastAsia="zh-CN"/>
              </w:rPr>
              <w:t>27.73</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cs="宋体"/>
                <w:color w:val="000000"/>
                <w:kern w:val="0"/>
                <w:sz w:val="22"/>
              </w:rPr>
            </w:pPr>
            <w:r>
              <w:rPr>
                <w:rFonts w:hint="eastAsia" w:ascii="宋体" w:hAnsi="宋体" w:cs="宋体"/>
                <w:color w:val="auto"/>
                <w:kern w:val="0"/>
                <w:sz w:val="22"/>
                <w:lang w:val="en-US" w:eastAsia="zh-CN"/>
              </w:rPr>
              <w:t xml:space="preserve"> </w:t>
            </w:r>
            <w:r>
              <w:rPr>
                <w:rFonts w:hint="eastAsia" w:ascii="宋体" w:hAnsi="宋体" w:cs="宋体"/>
                <w:color w:val="auto"/>
                <w:kern w:val="0"/>
                <w:sz w:val="22"/>
              </w:rPr>
              <w:t>√</w:t>
            </w:r>
          </w:p>
        </w:tc>
        <w:tc>
          <w:tcPr>
            <w:tcW w:w="1215"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000000"/>
                <w:kern w:val="0"/>
                <w:sz w:val="22"/>
              </w:rPr>
            </w:pPr>
          </w:p>
        </w:tc>
        <w:tc>
          <w:tcPr>
            <w:tcW w:w="1110"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color w:val="000000"/>
                <w:kern w:val="0"/>
                <w:sz w:val="22"/>
              </w:rPr>
            </w:pPr>
          </w:p>
        </w:tc>
      </w:tr>
    </w:tbl>
    <w:p>
      <w:pPr>
        <w:ind w:firstLine="640" w:firstLineChars="200"/>
        <w:rPr>
          <w:rFonts w:ascii="Times New Roman" w:hAnsi="Times New Roman" w:eastAsia="方正仿宋_GBK"/>
          <w:sz w:val="32"/>
          <w:szCs w:val="32"/>
        </w:rPr>
      </w:pP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3. 偏差原因分析：</w:t>
      </w:r>
      <w:r>
        <w:rPr>
          <w:rFonts w:hint="eastAsia" w:ascii="仿宋_GB2312" w:hAnsi="仿宋_GB2312" w:eastAsia="仿宋_GB2312" w:cs="仿宋_GB2312"/>
          <w:sz w:val="32"/>
          <w:szCs w:val="32"/>
          <w:lang w:eastAsia="zh-CN"/>
        </w:rPr>
        <w:t>存在项目执行绩效与绩效目标发生偏离情况原因：年初预算数据较大，实际执行数据较小。</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 监控过程中采取的整改措施及整改结果。</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整改措施：未完成的项目资金退回财政，下年年初预算项目录入数据以实际情况为依据，力求数据准确。</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整改结果：无。</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下一步监控工作</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一是</w:t>
      </w:r>
      <w:r>
        <w:rPr>
          <w:rFonts w:hint="eastAsia" w:ascii="仿宋_GB2312" w:hAnsi="仿宋_GB2312" w:eastAsia="仿宋_GB2312" w:cs="仿宋_GB2312"/>
          <w:sz w:val="32"/>
          <w:szCs w:val="32"/>
          <w:lang w:eastAsia="zh-CN"/>
        </w:rPr>
        <w:t>主动</w:t>
      </w:r>
      <w:r>
        <w:rPr>
          <w:rFonts w:hint="eastAsia" w:ascii="仿宋_GB2312" w:hAnsi="仿宋_GB2312" w:eastAsia="仿宋_GB2312" w:cs="仿宋_GB2312"/>
          <w:sz w:val="32"/>
          <w:szCs w:val="32"/>
        </w:rPr>
        <w:t>加强日常自行监控工作。按照预算绩效管理有关规定，对照项目绩效目标，对所负责项目的执行过程以及资金使用和管理情况进行跟踪监控</w:t>
      </w:r>
      <w:r>
        <w:rPr>
          <w:rFonts w:hint="eastAsia" w:ascii="仿宋_GB2312" w:hAnsi="仿宋_GB2312" w:eastAsia="仿宋_GB2312" w:cs="仿宋_GB2312"/>
          <w:sz w:val="32"/>
          <w:szCs w:val="32"/>
          <w:lang w:eastAsia="zh-CN"/>
        </w:rPr>
        <w:t>，及时</w:t>
      </w:r>
      <w:r>
        <w:rPr>
          <w:rFonts w:hint="eastAsia" w:ascii="仿宋_GB2312" w:hAnsi="仿宋_GB2312" w:eastAsia="仿宋_GB2312" w:cs="仿宋_GB2312"/>
          <w:sz w:val="32"/>
          <w:szCs w:val="32"/>
        </w:rPr>
        <w:t>掌握项目绩效目标的完成情况、项目实施进程和资金支出进度，对于绩效目标执行正常项目，提出</w:t>
      </w:r>
      <w:r>
        <w:rPr>
          <w:rFonts w:hint="eastAsia" w:ascii="仿宋_GB2312" w:hAnsi="仿宋_GB2312" w:eastAsia="仿宋_GB2312" w:cs="仿宋_GB2312"/>
          <w:sz w:val="32"/>
          <w:szCs w:val="32"/>
          <w:lang w:eastAsia="zh-CN"/>
        </w:rPr>
        <w:t>下一步</w:t>
      </w:r>
      <w:r>
        <w:rPr>
          <w:rFonts w:hint="eastAsia" w:ascii="仿宋_GB2312" w:hAnsi="仿宋_GB2312" w:eastAsia="仿宋_GB2312" w:cs="仿宋_GB2312"/>
          <w:sz w:val="32"/>
          <w:szCs w:val="32"/>
        </w:rPr>
        <w:t>保障目标实现的具体措施；对于执行出现偏差的项目，结合原因分析，提出整改措施；对于预计年底无法实现的项目，提出调整意见；对于执行中出现重大问题的，提出绩效问责处理意见。</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二是积极配合上级</w:t>
      </w:r>
      <w:r>
        <w:rPr>
          <w:rFonts w:hint="eastAsia" w:ascii="仿宋_GB2312" w:hAnsi="仿宋_GB2312" w:eastAsia="仿宋_GB2312" w:cs="仿宋_GB2312"/>
          <w:sz w:val="32"/>
          <w:szCs w:val="32"/>
        </w:rPr>
        <w:t>财政部门</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重点监控</w:t>
      </w:r>
      <w:r>
        <w:rPr>
          <w:rFonts w:hint="eastAsia" w:ascii="仿宋_GB2312" w:hAnsi="仿宋_GB2312" w:eastAsia="仿宋_GB2312" w:cs="仿宋_GB2312"/>
          <w:sz w:val="32"/>
          <w:szCs w:val="32"/>
          <w:lang w:eastAsia="zh-CN"/>
        </w:rPr>
        <w:t>工作。对上级</w:t>
      </w:r>
      <w:r>
        <w:rPr>
          <w:rFonts w:hint="eastAsia" w:ascii="仿宋_GB2312" w:hAnsi="仿宋_GB2312" w:eastAsia="仿宋_GB2312" w:cs="仿宋_GB2312"/>
          <w:sz w:val="32"/>
          <w:szCs w:val="32"/>
        </w:rPr>
        <w:t>财政部门</w:t>
      </w:r>
      <w:r>
        <w:rPr>
          <w:rFonts w:hint="eastAsia" w:ascii="仿宋_GB2312" w:hAnsi="仿宋_GB2312" w:eastAsia="仿宋_GB2312" w:cs="仿宋_GB2312"/>
          <w:sz w:val="32"/>
          <w:szCs w:val="32"/>
          <w:lang w:eastAsia="zh-CN"/>
        </w:rPr>
        <w:t>进行的</w:t>
      </w:r>
      <w:r>
        <w:rPr>
          <w:rFonts w:hint="eastAsia" w:ascii="仿宋_GB2312" w:hAnsi="仿宋_GB2312" w:eastAsia="仿宋_GB2312" w:cs="仿宋_GB2312"/>
          <w:sz w:val="32"/>
          <w:szCs w:val="32"/>
        </w:rPr>
        <w:t>绩效跟踪管理</w:t>
      </w:r>
      <w:r>
        <w:rPr>
          <w:rFonts w:hint="eastAsia" w:ascii="仿宋_GB2312" w:hAnsi="仿宋_GB2312" w:eastAsia="仿宋_GB2312" w:cs="仿宋_GB2312"/>
          <w:sz w:val="32"/>
          <w:szCs w:val="32"/>
          <w:lang w:eastAsia="zh-CN"/>
        </w:rPr>
        <w:t>，进行数据收集、整理工作，撰写监控报告，按要求上报，及时反应监控中的有关问题，加强与上级财政部门的沟通、协调和联系，密切配合，共同促进该项工作规范、有序、顺利开展。</w:t>
      </w:r>
    </w:p>
    <w:p>
      <w:pPr>
        <w:ind w:firstLine="640" w:firstLineChars="200"/>
        <w:rPr>
          <w:rFonts w:hint="eastAsia" w:ascii="Times New Roman" w:hAnsi="Times New Roman" w:eastAsia="方正仿宋_GBK"/>
          <w:sz w:val="32"/>
          <w:szCs w:val="32"/>
          <w:lang w:eastAsia="zh-CN"/>
        </w:rPr>
      </w:pPr>
    </w:p>
    <w:p>
      <w:pPr>
        <w:pStyle w:val="3"/>
        <w:spacing w:before="0" w:after="0" w:line="580" w:lineRule="exact"/>
        <w:ind w:firstLine="640" w:firstLineChars="200"/>
        <w:rPr>
          <w:rFonts w:hint="eastAsia" w:ascii="仿宋_GB2312" w:eastAsia="仿宋_GB2312" w:cs="DengXian-Regular"/>
          <w:b w:val="0"/>
          <w:bCs w:val="0"/>
          <w:sz w:val="32"/>
          <w:szCs w:val="32"/>
        </w:rPr>
      </w:pPr>
      <w:r>
        <w:rPr>
          <w:rFonts w:hint="eastAsia" w:ascii="仿宋_GB2312" w:eastAsia="仿宋_GB2312" w:cs="DengXian-Regular"/>
          <w:b w:val="0"/>
          <w:bCs w:val="0"/>
          <w:sz w:val="32"/>
          <w:szCs w:val="32"/>
        </w:rPr>
        <w:t>（三）重点项目绩效评价结果。</w:t>
      </w:r>
    </w:p>
    <w:p>
      <w:pPr>
        <w:rPr>
          <w:rFonts w:hint="default" w:eastAsia="仿宋_GB2312"/>
          <w:lang w:val="en-US" w:eastAsia="zh-CN"/>
        </w:rPr>
      </w:pPr>
      <w:r>
        <w:rPr>
          <w:rFonts w:hint="eastAsia" w:ascii="仿宋_GB2312" w:eastAsia="仿宋_GB2312" w:cs="DengXian-Regular"/>
          <w:b w:val="0"/>
          <w:bCs w:val="0"/>
          <w:sz w:val="32"/>
          <w:szCs w:val="32"/>
          <w:lang w:val="en-US" w:eastAsia="zh-CN"/>
        </w:rPr>
        <w:t xml:space="preserve">      无</w:t>
      </w: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w:t>
      </w:r>
      <w:r>
        <w:rPr>
          <w:rFonts w:hint="eastAsia" w:ascii="仿宋_GB2312" w:eastAsia="仿宋_GB2312" w:cs="DengXian-Regular"/>
          <w:sz w:val="32"/>
          <w:szCs w:val="32"/>
          <w:lang w:val="en-US" w:eastAsia="zh-CN"/>
        </w:rPr>
        <w:t>163.25</w:t>
      </w:r>
      <w:r>
        <w:rPr>
          <w:rFonts w:hint="eastAsia" w:ascii="仿宋_GB2312" w:eastAsia="仿宋_GB2312" w:cs="DengXian-Regular"/>
          <w:sz w:val="32"/>
          <w:szCs w:val="32"/>
        </w:rPr>
        <w:t>万元，比年初预算数增加</w:t>
      </w:r>
      <w:r>
        <w:rPr>
          <w:rFonts w:hint="eastAsia" w:ascii="仿宋_GB2312" w:eastAsia="仿宋_GB2312" w:cs="DengXian-Regular"/>
          <w:sz w:val="32"/>
          <w:szCs w:val="32"/>
          <w:lang w:val="en-US" w:eastAsia="zh-CN"/>
        </w:rPr>
        <w:t>117.73</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258.63</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追加了办公经费及劳务费等项目</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pStyle w:val="4"/>
        <w:spacing w:before="0" w:after="0" w:line="580" w:lineRule="exact"/>
        <w:ind w:firstLine="640" w:firstLineChars="200"/>
        <w:rPr>
          <w:rFonts w:hint="eastAsia" w:ascii="仿宋_GB2312" w:hAnsi="仿宋_GB2312" w:eastAsia="仿宋_GB2312" w:cs="仿宋_GB2312"/>
          <w:b w:val="0"/>
          <w:bCs w:val="0"/>
          <w:color w:val="000000"/>
          <w:kern w:val="0"/>
          <w:sz w:val="32"/>
          <w:szCs w:val="32"/>
        </w:rPr>
      </w:pPr>
      <w:r>
        <w:rPr>
          <w:rFonts w:hint="eastAsia" w:ascii="仿宋_GB2312" w:hAnsi="Times New Roman" w:eastAsia="仿宋_GB2312" w:cs="DengXian-Regular"/>
          <w:b w:val="0"/>
          <w:bCs w:val="0"/>
          <w:sz w:val="32"/>
          <w:szCs w:val="32"/>
        </w:rPr>
        <w:t>本部门</w:t>
      </w:r>
      <w:r>
        <w:rPr>
          <w:rFonts w:ascii="仿宋_GB2312" w:hAnsi="Times New Roman" w:eastAsia="仿宋_GB2312" w:cs="DengXian-Regular"/>
          <w:b w:val="0"/>
          <w:bCs w:val="0"/>
          <w:sz w:val="32"/>
          <w:szCs w:val="32"/>
        </w:rPr>
        <w:t>201</w:t>
      </w:r>
      <w:r>
        <w:rPr>
          <w:rFonts w:hint="eastAsia" w:ascii="仿宋_GB2312" w:eastAsia="仿宋_GB2312" w:cs="DengXian-Regular"/>
          <w:b w:val="0"/>
          <w:bCs w:val="0"/>
          <w:sz w:val="32"/>
          <w:szCs w:val="32"/>
          <w:lang w:val="en-US" w:eastAsia="zh-CN"/>
        </w:rPr>
        <w:t>8</w:t>
      </w:r>
      <w:r>
        <w:rPr>
          <w:rFonts w:hint="eastAsia" w:ascii="仿宋_GB2312" w:hAnsi="Times New Roman" w:eastAsia="仿宋_GB2312" w:cs="DengXian-Regular"/>
          <w:b w:val="0"/>
          <w:bCs w:val="0"/>
          <w:sz w:val="32"/>
          <w:szCs w:val="32"/>
        </w:rPr>
        <w:t>年度政府采购支出总额</w:t>
      </w:r>
      <w:r>
        <w:rPr>
          <w:rFonts w:hint="eastAsia" w:ascii="仿宋_GB2312" w:hAnsi="Times New Roman" w:eastAsia="仿宋_GB2312" w:cs="DengXian-Regular"/>
          <w:b w:val="0"/>
          <w:bCs w:val="0"/>
          <w:sz w:val="32"/>
          <w:szCs w:val="32"/>
          <w:lang w:val="en-US" w:eastAsia="zh-CN"/>
        </w:rPr>
        <w:t>0</w:t>
      </w:r>
      <w:r>
        <w:rPr>
          <w:rFonts w:hint="eastAsia" w:ascii="仿宋_GB2312" w:hAnsi="Times New Roman" w:eastAsia="仿宋_GB2312" w:cs="DengXian-Regular"/>
          <w:b w:val="0"/>
          <w:bCs w:val="0"/>
          <w:sz w:val="32"/>
          <w:szCs w:val="32"/>
        </w:rPr>
        <w:t>万元，从采购类型来看，</w:t>
      </w:r>
      <w:r>
        <w:rPr>
          <w:rFonts w:hint="eastAsia" w:ascii="仿宋_GB2312" w:hAnsi="仿宋_GB2312" w:eastAsia="仿宋_GB2312" w:cs="仿宋_GB2312"/>
          <w:b w:val="0"/>
          <w:bCs w:val="0"/>
          <w:color w:val="000000"/>
          <w:kern w:val="0"/>
          <w:sz w:val="32"/>
          <w:szCs w:val="32"/>
        </w:rPr>
        <w:t>政府采购货物支出</w:t>
      </w:r>
      <w:r>
        <w:rPr>
          <w:rFonts w:hint="eastAsia" w:ascii="仿宋_GB2312" w:hAnsi="仿宋_GB2312" w:eastAsia="仿宋_GB2312" w:cs="仿宋_GB2312"/>
          <w:b w:val="0"/>
          <w:bCs w:val="0"/>
          <w:color w:val="000000"/>
          <w:kern w:val="0"/>
          <w:sz w:val="32"/>
          <w:szCs w:val="32"/>
          <w:lang w:val="en-US" w:eastAsia="zh-CN"/>
        </w:rPr>
        <w:t>0</w:t>
      </w:r>
      <w:r>
        <w:rPr>
          <w:rFonts w:ascii="仿宋_GB2312" w:hAnsi="仿宋_GB2312" w:eastAsia="仿宋_GB2312" w:cs="仿宋_GB2312"/>
          <w:b w:val="0"/>
          <w:bCs w:val="0"/>
          <w:color w:val="000000"/>
          <w:kern w:val="0"/>
          <w:sz w:val="32"/>
          <w:szCs w:val="32"/>
        </w:rPr>
        <w:t xml:space="preserve"> </w:t>
      </w:r>
      <w:r>
        <w:rPr>
          <w:rFonts w:hint="eastAsia" w:ascii="仿宋_GB2312" w:hAnsi="仿宋_GB2312" w:eastAsia="仿宋_GB2312" w:cs="仿宋_GB2312"/>
          <w:b w:val="0"/>
          <w:bCs w:val="0"/>
          <w:color w:val="000000"/>
          <w:kern w:val="0"/>
          <w:sz w:val="32"/>
          <w:szCs w:val="32"/>
        </w:rPr>
        <w:t>万元、政府采购工程支出</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万元、政府采购服务支出</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万元。授予中小企业合同金</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万元，占政府采购支出总额的</w:t>
      </w:r>
      <w:r>
        <w:rPr>
          <w:rFonts w:hint="eastAsia" w:ascii="仿宋_GB2312" w:hAnsi="仿宋_GB2312" w:eastAsia="仿宋_GB2312" w:cs="仿宋_GB2312"/>
          <w:b w:val="0"/>
          <w:bCs w:val="0"/>
          <w:color w:val="000000"/>
          <w:kern w:val="0"/>
          <w:sz w:val="32"/>
          <w:szCs w:val="32"/>
          <w:lang w:val="en-US" w:eastAsia="zh-CN"/>
        </w:rPr>
        <w:t>0</w:t>
      </w:r>
      <w:r>
        <w:rPr>
          <w:rFonts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color w:val="000000"/>
          <w:kern w:val="0"/>
          <w:sz w:val="32"/>
          <w:szCs w:val="32"/>
        </w:rPr>
        <w:t>，其中授予小微企业合同金额</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万元，占政府采购支出总额的</w:t>
      </w:r>
      <w:r>
        <w:rPr>
          <w:rFonts w:ascii="仿宋_GB2312" w:hAnsi="仿宋_GB2312" w:eastAsia="仿宋_GB2312" w:cs="仿宋_GB2312"/>
          <w:b w:val="0"/>
          <w:bCs w:val="0"/>
          <w:color w:val="000000"/>
          <w:kern w:val="0"/>
          <w:sz w:val="32"/>
          <w:szCs w:val="32"/>
        </w:rPr>
        <w:t xml:space="preserve"> </w:t>
      </w:r>
      <w:r>
        <w:rPr>
          <w:rFonts w:hint="eastAsia" w:ascii="仿宋_GB2312" w:hAnsi="仿宋_GB2312" w:eastAsia="仿宋_GB2312" w:cs="仿宋_GB2312"/>
          <w:b w:val="0"/>
          <w:bCs w:val="0"/>
          <w:color w:val="000000"/>
          <w:kern w:val="0"/>
          <w:sz w:val="32"/>
          <w:szCs w:val="32"/>
          <w:lang w:val="en-US" w:eastAsia="zh-CN"/>
        </w:rPr>
        <w:t>0</w:t>
      </w:r>
      <w:r>
        <w:rPr>
          <w:rFonts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w:t>
      </w:r>
      <w:r>
        <w:rPr>
          <w:rFonts w:hint="eastAsia" w:ascii="仿宋_GB2312" w:eastAsia="仿宋_GB2312" w:cs="DengXian-Regular"/>
          <w:sz w:val="32"/>
          <w:szCs w:val="32"/>
          <w:lang w:val="en-US" w:eastAsia="zh-CN"/>
        </w:rPr>
        <w:t>3</w:t>
      </w:r>
      <w:r>
        <w:rPr>
          <w:rFonts w:hint="eastAsia" w:ascii="仿宋_GB2312" w:eastAsia="仿宋_GB2312" w:cs="DengXian-Regular"/>
          <w:sz w:val="32"/>
          <w:szCs w:val="32"/>
        </w:rPr>
        <w:t>辆，比上年增加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精神和厉行节约要求。其中，副部（省）级及以上领导用车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辆，主要领导干部用车</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辆，机要通信用车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辆，应急保障用车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辆，特种专业技术用车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辆，离退休干部用车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辆，其他用车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辆，其他用车主要是</w:t>
      </w:r>
      <w:r>
        <w:rPr>
          <w:rFonts w:hint="eastAsia" w:ascii="仿宋_GB2312" w:eastAsia="仿宋_GB2312" w:cs="DengXian-Regular"/>
          <w:sz w:val="32"/>
          <w:szCs w:val="32"/>
          <w:lang w:eastAsia="zh-CN"/>
        </w:rPr>
        <w:t>按相关规定执行</w:t>
      </w:r>
      <w:r>
        <w:rPr>
          <w:rFonts w:hint="eastAsia" w:ascii="仿宋_GB2312" w:eastAsia="仿宋_GB2312" w:cs="DengXian-Regular"/>
          <w:sz w:val="32"/>
          <w:szCs w:val="32"/>
        </w:rPr>
        <w:t>；单位价值</w:t>
      </w:r>
      <w:r>
        <w:rPr>
          <w:rFonts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台（套），比上年增加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套，主要是</w:t>
      </w:r>
      <w:r>
        <w:rPr>
          <w:rFonts w:hint="eastAsia" w:ascii="仿宋_GB2312" w:eastAsia="仿宋_GB2312" w:cs="DengXian-Regular"/>
          <w:sz w:val="32"/>
          <w:szCs w:val="32"/>
          <w:lang w:eastAsia="zh-CN"/>
        </w:rPr>
        <w:t>无政府采购预算</w:t>
      </w:r>
      <w:r>
        <w:rPr>
          <w:rFonts w:hint="eastAsia" w:ascii="仿宋_GB2312" w:eastAsia="仿宋_GB2312" w:cs="DengXian-Regular"/>
          <w:sz w:val="32"/>
          <w:szCs w:val="32"/>
        </w:rPr>
        <w:t>，单位价值</w:t>
      </w:r>
      <w:r>
        <w:rPr>
          <w:rFonts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台（套）比上年增加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套</w:t>
      </w:r>
      <w:r>
        <w:rPr>
          <w:rFonts w:ascii="仿宋_GB2312" w:eastAsia="仿宋_GB2312" w:cs="DengXian-Regular"/>
          <w:sz w:val="32"/>
          <w:szCs w:val="32"/>
        </w:rPr>
        <w:t>,</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无政府采购预算</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hint="eastAsia" w:ascii="仿宋_GB2312" w:eastAsia="仿宋_GB2312" w:cs="DengXian-Regular"/>
          <w:sz w:val="32"/>
          <w:szCs w:val="32"/>
          <w:lang w:eastAsia="zh-CN"/>
        </w:rPr>
        <w:t>“国有资本经营预算财政拨款支出决算表”和“政府采购情况表”</w:t>
      </w:r>
      <w:r>
        <w:rPr>
          <w:rFonts w:hint="eastAsia" w:ascii="仿宋_GB2312" w:eastAsia="仿宋_GB2312" w:cs="DengXian-Regular"/>
          <w:sz w:val="32"/>
          <w:szCs w:val="32"/>
        </w:rPr>
        <w:t>无收支及结转结余情况，故</w:t>
      </w:r>
      <w:r>
        <w:rPr>
          <w:rFonts w:hint="eastAsia" w:ascii="仿宋_GB2312" w:eastAsia="仿宋_GB2312" w:cs="DengXian-Regular"/>
          <w:sz w:val="32"/>
          <w:szCs w:val="32"/>
          <w:lang w:val="en-US" w:eastAsia="zh-CN"/>
        </w:rPr>
        <w:t>比公开09、10</w:t>
      </w:r>
      <w:r>
        <w:rPr>
          <w:rFonts w:hint="eastAsia" w:ascii="仿宋_GB2312" w:eastAsia="仿宋_GB2312" w:cs="DengXian-Regular"/>
          <w:sz w:val="32"/>
          <w:szCs w:val="32"/>
        </w:rPr>
        <w:t>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w:pict>
          <v:group id="_x0000_s1115" o:spid="_x0000_s1115" o:spt="203" style="position:absolute;left:0pt;margin-left:-79.5pt;margin-top:29.3pt;height:43.95pt;width:301.85pt;mso-position-vertical-relative:page;z-index:251688960;mso-width-relative:page;mso-height-relative:page;" coordorigin="4551,52615" coordsize="8546,1398">
            <o:lock v:ext="edit"/>
            <v:rect id="矩形 13" o:spid="_x0000_s1116" o:spt="1" style="position:absolute;left:4551;top:52615;height:1175;width:8546;v-text-anchor:middle;" fillcolor="#96DA9D" filled="t" stroked="f" coordsize="21600,21600">
              <v:path/>
              <v:fill on="t" focussize="0,0"/>
              <v:stroke on="f" weight="2pt"/>
              <v:imagedata o:title=""/>
              <o:lock v:ext="edit"/>
            </v:rect>
            <v:rect id="矩形 14" o:spid="_x0000_s1117"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图片 21" o:spid="_x0000_s1118" o:spt="75" alt="2" type="#_x0000_t75" style="position:absolute;left:0pt;margin-left:-79.45pt;margin-top:-105.35pt;height:840.95pt;width:594.5pt;z-index:-251648000;mso-width-relative:page;mso-height-relative:page;" filled="f" o:preferrelative="t" stroked="f" coordsize="21600,21600">
            <v:path/>
            <v:fill on="f" focussize="0,0"/>
            <v:stroke on="f" joinstyle="miter"/>
            <v:imagedata r:id="rId7" o:title=""/>
            <o:lock v:ext="edit" aspectratio="t"/>
          </v:shape>
        </w:pict>
      </w:r>
      <w:r>
        <w:pict>
          <v:shape id="文本框 22" o:spid="_x0000_s1119" o:spt="202" type="#_x0000_t202" style="position:absolute;left:0pt;margin-left:-78.7pt;margin-top:232.8pt;height:159.1pt;width:596.2pt;z-index:251667456;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w:pict>
          <v:group id="组合 149" o:spid="_x0000_s1120" o:spt="203" style="position:absolute;left:0pt;margin-left:-81.05pt;margin-top:39.65pt;height:43.95pt;width:264.85pt;mso-position-vertical-relative:page;z-index:251671552;mso-width-relative:page;mso-height-relative:page;" coordorigin="4551,52615" coordsize="8546,1398">
            <o:lock v:ext="edit"/>
            <v:rect id="矩形 13" o:spid="_x0000_s1121" o:spt="1" style="position:absolute;left:4551;top:52615;height:1175;width:8546;v-text-anchor:middle;" fillcolor="#96DA9D" filled="t" stroked="f" coordsize="21600,21600">
              <v:path/>
              <v:fill on="t" focussize="0,0"/>
              <v:stroke on="f" weight="2pt"/>
              <v:imagedata o:title=""/>
              <o:lock v:ext="edit"/>
            </v:rect>
            <v:rect id="矩形 14" o:spid="_x0000_s112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pict>
          <v:group id="组合 94" o:spid="_x0000_s1123" o:spt="203" style="position:absolute;left:0pt;margin-left:-81.05pt;margin-top:39.65pt;height:43.95pt;width:264.85pt;mso-position-vertical-relative:page;z-index:251689984;mso-width-relative:page;mso-height-relative:page;" coordorigin="4551,52615" coordsize="8546,1398">
            <o:lock v:ext="edit"/>
            <v:rect id="矩形 13" o:spid="_x0000_s1124" o:spt="1" style="position:absolute;left:4551;top:52615;height:1175;width:8546;v-text-anchor:middle;" fillcolor="#96DA9D" filled="t" stroked="f" coordsize="21600,21600">
              <v:path/>
              <v:fill on="t" focussize="0,0"/>
              <v:stroke on="f" weight="2pt"/>
              <v:imagedata o:title=""/>
              <o:lock v:ext="edit"/>
            </v:rect>
            <v:rect id="矩形 14" o:spid="_x0000_s112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pict>
          <v:group id="组合 97" o:spid="_x0000_s1126" o:spt="203" style="position:absolute;left:0pt;margin-left:-81.05pt;margin-top:39.65pt;height:43.95pt;width:264.85pt;mso-position-vertical-relative:page;z-index:251691008;mso-width-relative:page;mso-height-relative:page;" coordorigin="4551,52615" coordsize="8546,1398">
            <o:lock v:ext="edit"/>
            <v:rect id="矩形 13" o:spid="_x0000_s1127" o:spt="1" style="position:absolute;left:4551;top:52615;height:1175;width:8546;v-text-anchor:middle;" fillcolor="#96DA9D" filled="t" stroked="f" coordsize="21600,21600">
              <v:path/>
              <v:fill on="t" focussize="0,0"/>
              <v:stroke on="f" weight="2pt"/>
              <v:imagedata o:title=""/>
              <o:lock v:ext="edit"/>
            </v:rect>
            <v:rect id="矩形 14" o:spid="_x0000_s112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pict>
          <v:shape id="图片 101" o:spid="_x0000_s1129" o:spt="75" alt="3" type="#_x0000_t75" style="position:absolute;left:0pt;margin-left:-78pt;margin-top:-106.7pt;height:845.35pt;width:597.65pt;z-index:-251646976;mso-width-relative:page;mso-height-relative:page;" filled="f" o:preferrelative="t" stroked="f" coordsize="21600,21600">
            <v:path/>
            <v:fill on="f" focussize="0,0"/>
            <v:stroke on="f" joinstyle="miter"/>
            <v:imagedata r:id="rId8" o:title=""/>
            <o:lock v:ext="edit" aspectratio="t"/>
          </v:shape>
        </w:pict>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DB1B91E-8EE7-41F6-A2FD-093661B9F03E}"/>
  </w:font>
  <w:font w:name="Arial">
    <w:panose1 w:val="020B0604020202020204"/>
    <w:charset w:val="01"/>
    <w:family w:val="swiss"/>
    <w:pitch w:val="default"/>
    <w:sig w:usb0="E0002AFF" w:usb1="C0007843" w:usb2="00000009" w:usb3="00000000" w:csb0="400001FF" w:csb1="FFFF0000"/>
    <w:embedRegular r:id="rId2" w:fontKey="{A716A6C7-5326-41AF-BBD5-7559ADA482B3}"/>
  </w:font>
  <w:font w:name="黑体">
    <w:panose1 w:val="02010609060101010101"/>
    <w:charset w:val="86"/>
    <w:family w:val="auto"/>
    <w:pitch w:val="default"/>
    <w:sig w:usb0="800002BF" w:usb1="38CF7CFA" w:usb2="00000016" w:usb3="00000000" w:csb0="00040001" w:csb1="00000000"/>
    <w:embedRegular r:id="rId3" w:fontKey="{D14BF1AE-84EA-4D07-B93D-1341B321E243}"/>
  </w:font>
  <w:font w:name="Courier New">
    <w:panose1 w:val="02070309020205020404"/>
    <w:charset w:val="01"/>
    <w:family w:val="modern"/>
    <w:pitch w:val="default"/>
    <w:sig w:usb0="E0002AFF" w:usb1="C0007843" w:usb2="00000009" w:usb3="00000000" w:csb0="400001FF" w:csb1="FFFF0000"/>
    <w:embedRegular r:id="rId4" w:fontKey="{07D79AC4-3497-4558-9B7C-586D8485C44B}"/>
  </w:font>
  <w:font w:name="Symbol">
    <w:panose1 w:val="05050102010706020507"/>
    <w:charset w:val="02"/>
    <w:family w:val="roman"/>
    <w:pitch w:val="default"/>
    <w:sig w:usb0="00000000" w:usb1="00000000" w:usb2="00000000" w:usb3="00000000" w:csb0="80000000" w:csb1="00000000"/>
    <w:embedRegular r:id="rId5" w:fontKey="{7018B9BB-8FC2-48E0-895B-7B0A4590CF92}"/>
  </w:font>
  <w:font w:name="Calibri">
    <w:panose1 w:val="020F0502020204030204"/>
    <w:charset w:val="00"/>
    <w:family w:val="swiss"/>
    <w:pitch w:val="default"/>
    <w:sig w:usb0="E00002FF" w:usb1="4000ACFF" w:usb2="00000001" w:usb3="00000000" w:csb0="2000019F" w:csb1="00000000"/>
    <w:embedRegular r:id="rId6" w:fontKey="{CACBD61E-EFEA-440F-A73C-D6B28249F959}"/>
  </w:font>
  <w:font w:name="Cambria">
    <w:panose1 w:val="02040503050406030204"/>
    <w:charset w:val="00"/>
    <w:family w:val="roman"/>
    <w:pitch w:val="default"/>
    <w:sig w:usb0="E00002FF" w:usb1="400004FF" w:usb2="00000000" w:usb3="00000000" w:csb0="2000019F" w:csb1="00000000"/>
    <w:embedRegular r:id="rId7" w:fontKey="{8A265A58-EF0D-4D56-A100-7DE6C8E3E789}"/>
  </w:font>
  <w:font w:name="楷体">
    <w:panose1 w:val="02010609060101010101"/>
    <w:charset w:val="86"/>
    <w:family w:val="modern"/>
    <w:pitch w:val="default"/>
    <w:sig w:usb0="800002BF" w:usb1="38CF7CFA" w:usb2="00000016" w:usb3="00000000" w:csb0="00040001" w:csb1="00000000"/>
    <w:embedRegular r:id="rId8" w:fontKey="{48471CB9-3EA6-44FC-81C2-41C9405E1D48}"/>
  </w:font>
  <w:font w:name="MS Gothic">
    <w:panose1 w:val="020B0609070205080204"/>
    <w:charset w:val="80"/>
    <w:family w:val="modern"/>
    <w:pitch w:val="default"/>
    <w:sig w:usb0="E00002FF" w:usb1="6AC7FDFB" w:usb2="00000012" w:usb3="00000000" w:csb0="4002009F" w:csb1="DFD70000"/>
    <w:embedRegular r:id="rId9" w:fontKey="{C776E894-D8D1-45C1-8AFD-2B41C36285B1}"/>
  </w:font>
  <w:font w:name="仿宋_GB2312">
    <w:panose1 w:val="02010609030101010101"/>
    <w:charset w:val="86"/>
    <w:family w:val="modern"/>
    <w:pitch w:val="default"/>
    <w:sig w:usb0="00000000" w:usb1="00000000" w:usb2="00000000" w:usb3="00000000" w:csb0="00000000" w:csb1="00000000"/>
    <w:embedRegular r:id="rId10" w:fontKey="{0F76235C-BB70-479D-801B-36D62E78EFEF}"/>
  </w:font>
  <w:font w:name="ArialUnicodeMS">
    <w:altName w:val="Malgun Gothic"/>
    <w:panose1 w:val="00000000000000000000"/>
    <w:charset w:val="81"/>
    <w:family w:val="auto"/>
    <w:pitch w:val="default"/>
    <w:sig w:usb0="00000000" w:usb1="00000000" w:usb2="00000010" w:usb3="00000000" w:csb0="00080000" w:csb1="00000000"/>
    <w:embedRegular r:id="rId11" w:fontKey="{03F431CA-9C43-46F5-AC68-0E62496870FB}"/>
  </w:font>
  <w:font w:name="Malgun Gothic">
    <w:panose1 w:val="020B0503020000020004"/>
    <w:charset w:val="81"/>
    <w:family w:val="auto"/>
    <w:pitch w:val="default"/>
    <w:sig w:usb0="900002AF" w:usb1="01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12" w:fontKey="{2BC0E985-7DAC-406E-A966-983952E57BF0}"/>
  </w:font>
  <w:font w:name="DengXian-Regular">
    <w:altName w:val="宋体"/>
    <w:panose1 w:val="00000000000000000000"/>
    <w:charset w:val="86"/>
    <w:family w:val="auto"/>
    <w:pitch w:val="default"/>
    <w:sig w:usb0="00000000" w:usb1="00000000" w:usb2="00000010" w:usb3="00000000" w:csb0="00040000" w:csb1="00000000"/>
    <w:embedRegular r:id="rId13" w:fontKey="{2BE2FD5F-24EC-4734-BD85-EFA671423527}"/>
  </w:font>
  <w:font w:name="楷体_GB2312">
    <w:panose1 w:val="02010609030101010101"/>
    <w:charset w:val="86"/>
    <w:family w:val="modern"/>
    <w:pitch w:val="default"/>
    <w:sig w:usb0="00000000" w:usb1="00000000" w:usb2="00000000" w:usb3="00000000" w:csb0="00000000" w:csb1="00000000"/>
    <w:embedRegular r:id="rId14" w:fontKey="{C001B24F-A3FA-44D2-8FD4-C62CFAFDBD35}"/>
  </w:font>
  <w:font w:name="DengXian-Bold">
    <w:altName w:val="宋体"/>
    <w:panose1 w:val="00000000000000000000"/>
    <w:charset w:val="86"/>
    <w:family w:val="auto"/>
    <w:pitch w:val="default"/>
    <w:sig w:usb0="00000000" w:usb1="00000000" w:usb2="00000010" w:usb3="00000000" w:csb0="00040000" w:csb1="00000000"/>
    <w:embedRegular r:id="rId15" w:fontKey="{708FD065-C53D-4E63-A0D2-4E53D73B12F3}"/>
  </w:font>
  <w:font w:name="方正仿宋_GBK">
    <w:altName w:val="宋体"/>
    <w:panose1 w:val="03000509000000000000"/>
    <w:charset w:val="86"/>
    <w:family w:val="script"/>
    <w:pitch w:val="default"/>
    <w:sig w:usb0="00000000" w:usb1="00000000" w:usb2="00000010" w:usb3="00000000" w:csb0="00040000" w:csb1="00000000"/>
    <w:embedRegular r:id="rId16" w:fontKey="{E74C262C-46CD-4ED5-8B2F-7DDE35419E61}"/>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04E716"/>
    <w:multiLevelType w:val="singleLevel"/>
    <w:tmpl w:val="0204E716"/>
    <w:lvl w:ilvl="0" w:tentative="0">
      <w:start w:val="2"/>
      <w:numFmt w:val="chineseCounting"/>
      <w:suff w:val="nothing"/>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1413"/>
    <w:rsid w:val="00024E7F"/>
    <w:rsid w:val="000475A0"/>
    <w:rsid w:val="000838C3"/>
    <w:rsid w:val="000B2446"/>
    <w:rsid w:val="000D7C65"/>
    <w:rsid w:val="000E2F81"/>
    <w:rsid w:val="00117946"/>
    <w:rsid w:val="00117E2C"/>
    <w:rsid w:val="00146C47"/>
    <w:rsid w:val="00152FB8"/>
    <w:rsid w:val="00176658"/>
    <w:rsid w:val="0018239E"/>
    <w:rsid w:val="001A29BD"/>
    <w:rsid w:val="001B3410"/>
    <w:rsid w:val="001C030D"/>
    <w:rsid w:val="001C4A84"/>
    <w:rsid w:val="001E5902"/>
    <w:rsid w:val="00233705"/>
    <w:rsid w:val="002455AB"/>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B6E37"/>
    <w:rsid w:val="004C32BA"/>
    <w:rsid w:val="00575922"/>
    <w:rsid w:val="005A6C90"/>
    <w:rsid w:val="005E3FB0"/>
    <w:rsid w:val="005F4B66"/>
    <w:rsid w:val="005F5208"/>
    <w:rsid w:val="00623803"/>
    <w:rsid w:val="00641318"/>
    <w:rsid w:val="0064405D"/>
    <w:rsid w:val="00695557"/>
    <w:rsid w:val="006D4EA7"/>
    <w:rsid w:val="0070012A"/>
    <w:rsid w:val="0070664B"/>
    <w:rsid w:val="007071B8"/>
    <w:rsid w:val="007414DE"/>
    <w:rsid w:val="007905A9"/>
    <w:rsid w:val="007B0E8E"/>
    <w:rsid w:val="007E5500"/>
    <w:rsid w:val="007F055B"/>
    <w:rsid w:val="00811C2F"/>
    <w:rsid w:val="00833D46"/>
    <w:rsid w:val="00840A97"/>
    <w:rsid w:val="008C0149"/>
    <w:rsid w:val="008D5DED"/>
    <w:rsid w:val="008E25CA"/>
    <w:rsid w:val="008F34FC"/>
    <w:rsid w:val="00922643"/>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3300C"/>
    <w:rsid w:val="00B56722"/>
    <w:rsid w:val="00B74D39"/>
    <w:rsid w:val="00B91DA4"/>
    <w:rsid w:val="00C12630"/>
    <w:rsid w:val="00C34562"/>
    <w:rsid w:val="00C3774E"/>
    <w:rsid w:val="00C57456"/>
    <w:rsid w:val="00C65387"/>
    <w:rsid w:val="00C87FAB"/>
    <w:rsid w:val="00C91FF7"/>
    <w:rsid w:val="00C94E53"/>
    <w:rsid w:val="00CC46BD"/>
    <w:rsid w:val="00CF57D5"/>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C4766"/>
    <w:rsid w:val="00FD3BD5"/>
    <w:rsid w:val="00FE3DC8"/>
    <w:rsid w:val="025B69E3"/>
    <w:rsid w:val="02B92E0A"/>
    <w:rsid w:val="0306478C"/>
    <w:rsid w:val="03442D79"/>
    <w:rsid w:val="04073F84"/>
    <w:rsid w:val="054D0015"/>
    <w:rsid w:val="05C32053"/>
    <w:rsid w:val="07D433FE"/>
    <w:rsid w:val="07F13D57"/>
    <w:rsid w:val="085807C6"/>
    <w:rsid w:val="089549E3"/>
    <w:rsid w:val="08E32EF2"/>
    <w:rsid w:val="0A9207DB"/>
    <w:rsid w:val="0B60750A"/>
    <w:rsid w:val="0C42103C"/>
    <w:rsid w:val="0D9879B0"/>
    <w:rsid w:val="0DEB4881"/>
    <w:rsid w:val="10686488"/>
    <w:rsid w:val="10741397"/>
    <w:rsid w:val="10DF728A"/>
    <w:rsid w:val="11F27621"/>
    <w:rsid w:val="1264200E"/>
    <w:rsid w:val="12FE21FF"/>
    <w:rsid w:val="141C5B77"/>
    <w:rsid w:val="14333A93"/>
    <w:rsid w:val="151975B4"/>
    <w:rsid w:val="15920533"/>
    <w:rsid w:val="16A70168"/>
    <w:rsid w:val="16B637E8"/>
    <w:rsid w:val="16BE4893"/>
    <w:rsid w:val="16EF1B32"/>
    <w:rsid w:val="18102D74"/>
    <w:rsid w:val="18A62054"/>
    <w:rsid w:val="18D8339D"/>
    <w:rsid w:val="19263FF1"/>
    <w:rsid w:val="1A21388F"/>
    <w:rsid w:val="1A570D2F"/>
    <w:rsid w:val="1A7726E8"/>
    <w:rsid w:val="1A8A79C4"/>
    <w:rsid w:val="1B045ED7"/>
    <w:rsid w:val="1B9B1BBC"/>
    <w:rsid w:val="1BED3F4B"/>
    <w:rsid w:val="1D323A8D"/>
    <w:rsid w:val="1E845BD7"/>
    <w:rsid w:val="1EB840F7"/>
    <w:rsid w:val="1ECE744B"/>
    <w:rsid w:val="1F491A8F"/>
    <w:rsid w:val="217843FE"/>
    <w:rsid w:val="262B0F67"/>
    <w:rsid w:val="268D05FE"/>
    <w:rsid w:val="26F52B81"/>
    <w:rsid w:val="27DA61F9"/>
    <w:rsid w:val="287E3698"/>
    <w:rsid w:val="28FB0B8D"/>
    <w:rsid w:val="2AEB15A6"/>
    <w:rsid w:val="2D2B7942"/>
    <w:rsid w:val="2D3C6E1C"/>
    <w:rsid w:val="2D46481D"/>
    <w:rsid w:val="2E733B28"/>
    <w:rsid w:val="2FA34448"/>
    <w:rsid w:val="306161D5"/>
    <w:rsid w:val="311F54CF"/>
    <w:rsid w:val="31204961"/>
    <w:rsid w:val="31852B5A"/>
    <w:rsid w:val="32AC1D91"/>
    <w:rsid w:val="32D01238"/>
    <w:rsid w:val="32F15FF0"/>
    <w:rsid w:val="33913F71"/>
    <w:rsid w:val="33A672C0"/>
    <w:rsid w:val="36586898"/>
    <w:rsid w:val="36A5210F"/>
    <w:rsid w:val="3ACE26EA"/>
    <w:rsid w:val="3CD147AF"/>
    <w:rsid w:val="3D4F3E10"/>
    <w:rsid w:val="3D7333D4"/>
    <w:rsid w:val="3DFC59A8"/>
    <w:rsid w:val="3ECF245E"/>
    <w:rsid w:val="3EED45DD"/>
    <w:rsid w:val="3FB96314"/>
    <w:rsid w:val="40293AE4"/>
    <w:rsid w:val="406E6D3D"/>
    <w:rsid w:val="40B20BB7"/>
    <w:rsid w:val="40EC7076"/>
    <w:rsid w:val="40F86AA6"/>
    <w:rsid w:val="414A17FB"/>
    <w:rsid w:val="41B6382D"/>
    <w:rsid w:val="42D8342E"/>
    <w:rsid w:val="431D626F"/>
    <w:rsid w:val="435020FA"/>
    <w:rsid w:val="44AE260F"/>
    <w:rsid w:val="44F27441"/>
    <w:rsid w:val="46981A10"/>
    <w:rsid w:val="47154082"/>
    <w:rsid w:val="47EE4EFD"/>
    <w:rsid w:val="4A3E7F6C"/>
    <w:rsid w:val="4B4B2B62"/>
    <w:rsid w:val="4BFB1F7D"/>
    <w:rsid w:val="4E831138"/>
    <w:rsid w:val="4F09426D"/>
    <w:rsid w:val="4F603964"/>
    <w:rsid w:val="4F726B9E"/>
    <w:rsid w:val="4FBF625B"/>
    <w:rsid w:val="50B92A21"/>
    <w:rsid w:val="50BC2AB1"/>
    <w:rsid w:val="512F6671"/>
    <w:rsid w:val="53275DFD"/>
    <w:rsid w:val="5337235E"/>
    <w:rsid w:val="535A5E2B"/>
    <w:rsid w:val="53A44FAF"/>
    <w:rsid w:val="53BB5C85"/>
    <w:rsid w:val="53C9165F"/>
    <w:rsid w:val="57767E61"/>
    <w:rsid w:val="5785198D"/>
    <w:rsid w:val="581B279F"/>
    <w:rsid w:val="594329EC"/>
    <w:rsid w:val="5ABD7044"/>
    <w:rsid w:val="5B390B1C"/>
    <w:rsid w:val="5BEE1540"/>
    <w:rsid w:val="5C8F3330"/>
    <w:rsid w:val="5C92623A"/>
    <w:rsid w:val="5CDB30D3"/>
    <w:rsid w:val="5D7A4704"/>
    <w:rsid w:val="5DA649CD"/>
    <w:rsid w:val="5DE61A5D"/>
    <w:rsid w:val="5E1B6C9A"/>
    <w:rsid w:val="5F800633"/>
    <w:rsid w:val="5FA2560E"/>
    <w:rsid w:val="60362099"/>
    <w:rsid w:val="61A13CE3"/>
    <w:rsid w:val="61C21BDF"/>
    <w:rsid w:val="636B7079"/>
    <w:rsid w:val="63C04243"/>
    <w:rsid w:val="648D75AA"/>
    <w:rsid w:val="649C01C7"/>
    <w:rsid w:val="65FB4C98"/>
    <w:rsid w:val="665C5EE0"/>
    <w:rsid w:val="67157D01"/>
    <w:rsid w:val="6904128F"/>
    <w:rsid w:val="699A3F60"/>
    <w:rsid w:val="69E040B4"/>
    <w:rsid w:val="6AC97BDD"/>
    <w:rsid w:val="6B577B4C"/>
    <w:rsid w:val="6CCA082B"/>
    <w:rsid w:val="6D385BC9"/>
    <w:rsid w:val="6F1345D9"/>
    <w:rsid w:val="6F2875A4"/>
    <w:rsid w:val="6F4612B4"/>
    <w:rsid w:val="6F4B155A"/>
    <w:rsid w:val="70C54346"/>
    <w:rsid w:val="71A91E90"/>
    <w:rsid w:val="726D639F"/>
    <w:rsid w:val="72902E62"/>
    <w:rsid w:val="734670C1"/>
    <w:rsid w:val="739449D5"/>
    <w:rsid w:val="73C61104"/>
    <w:rsid w:val="7427719F"/>
    <w:rsid w:val="74A50BA8"/>
    <w:rsid w:val="74D900CE"/>
    <w:rsid w:val="75E84E05"/>
    <w:rsid w:val="76E115BD"/>
    <w:rsid w:val="776452EA"/>
    <w:rsid w:val="79C36BBE"/>
    <w:rsid w:val="7A5D5F46"/>
    <w:rsid w:val="7B4306BE"/>
    <w:rsid w:val="7BE2370C"/>
    <w:rsid w:val="7DC663B9"/>
    <w:rsid w:val="7E582190"/>
    <w:rsid w:val="7EF27285"/>
    <w:rsid w:val="7F732BF5"/>
    <w:rsid w:val="7FD21032"/>
    <w:rsid w:val="7FFD328C"/>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qFormat/>
    <w:uiPriority w:val="99"/>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Heading 1 Char"/>
    <w:basedOn w:val="14"/>
    <w:link w:val="2"/>
    <w:qFormat/>
    <w:locked/>
    <w:uiPriority w:val="99"/>
    <w:rPr>
      <w:rFonts w:ascii="Times New Roman" w:hAnsi="Times New Roman" w:eastAsia="宋体" w:cs="Times New Roman"/>
      <w:b/>
      <w:bCs/>
      <w:kern w:val="44"/>
      <w:sz w:val="44"/>
      <w:szCs w:val="44"/>
    </w:rPr>
  </w:style>
  <w:style w:type="character" w:customStyle="1" w:styleId="16">
    <w:name w:val="Heading 2 Char"/>
    <w:basedOn w:val="14"/>
    <w:link w:val="3"/>
    <w:qFormat/>
    <w:locked/>
    <w:uiPriority w:val="99"/>
    <w:rPr>
      <w:rFonts w:ascii="Calibri" w:hAnsi="Calibri" w:eastAsia="宋体" w:cs="Times New Roman"/>
      <w:b/>
      <w:bCs/>
      <w:sz w:val="32"/>
      <w:szCs w:val="32"/>
    </w:rPr>
  </w:style>
  <w:style w:type="character" w:customStyle="1" w:styleId="17">
    <w:name w:val="Heading 3 Char"/>
    <w:basedOn w:val="14"/>
    <w:link w:val="4"/>
    <w:qFormat/>
    <w:locked/>
    <w:uiPriority w:val="99"/>
    <w:rPr>
      <w:rFonts w:ascii="Times New Roman" w:hAnsi="Times New Roman" w:eastAsia="宋体" w:cs="Times New Roman"/>
      <w:b/>
      <w:bCs/>
      <w:sz w:val="32"/>
      <w:szCs w:val="32"/>
    </w:rPr>
  </w:style>
  <w:style w:type="character" w:customStyle="1" w:styleId="18">
    <w:name w:val="Heading 4 Char"/>
    <w:basedOn w:val="14"/>
    <w:link w:val="5"/>
    <w:qFormat/>
    <w:locked/>
    <w:uiPriority w:val="99"/>
    <w:rPr>
      <w:rFonts w:ascii="Calibri" w:hAnsi="Calibri" w:eastAsia="宋体" w:cs="Times New Roman"/>
      <w:b/>
      <w:bCs/>
      <w:sz w:val="28"/>
      <w:szCs w:val="28"/>
    </w:rPr>
  </w:style>
  <w:style w:type="character" w:customStyle="1" w:styleId="19">
    <w:name w:val="Date Char"/>
    <w:basedOn w:val="14"/>
    <w:link w:val="6"/>
    <w:semiHidden/>
    <w:qFormat/>
    <w:locked/>
    <w:uiPriority w:val="99"/>
    <w:rPr>
      <w:rFonts w:ascii="Times New Roman" w:hAnsi="Times New Roman" w:eastAsia="宋体" w:cs="Times New Roman"/>
      <w:sz w:val="24"/>
      <w:szCs w:val="24"/>
    </w:rPr>
  </w:style>
  <w:style w:type="character" w:customStyle="1" w:styleId="20">
    <w:name w:val="Balloon Text Char"/>
    <w:basedOn w:val="14"/>
    <w:link w:val="7"/>
    <w:semiHidden/>
    <w:qFormat/>
    <w:locked/>
    <w:uiPriority w:val="99"/>
    <w:rPr>
      <w:rFonts w:ascii="Times New Roman" w:hAnsi="Times New Roman" w:eastAsia="宋体" w:cs="Times New Roman"/>
      <w:sz w:val="18"/>
      <w:szCs w:val="18"/>
    </w:rPr>
  </w:style>
  <w:style w:type="character" w:customStyle="1" w:styleId="21">
    <w:name w:val="Footer Char"/>
    <w:basedOn w:val="14"/>
    <w:link w:val="8"/>
    <w:qFormat/>
    <w:locked/>
    <w:uiPriority w:val="99"/>
    <w:rPr>
      <w:rFonts w:cs="Times New Roman"/>
      <w:sz w:val="18"/>
      <w:szCs w:val="18"/>
    </w:rPr>
  </w:style>
  <w:style w:type="character" w:customStyle="1" w:styleId="22">
    <w:name w:val="Header Char"/>
    <w:basedOn w:val="14"/>
    <w:link w:val="9"/>
    <w:qFormat/>
    <w:locked/>
    <w:uiPriority w:val="99"/>
    <w:rPr>
      <w:rFonts w:cs="Times New Roman"/>
      <w:sz w:val="18"/>
      <w:szCs w:val="18"/>
    </w:rPr>
  </w:style>
  <w:style w:type="character" w:customStyle="1" w:styleId="23">
    <w:name w:val="Subtitle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Title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kern w:val="0"/>
      <w:sz w:val="22"/>
      <w:szCs w:val="22"/>
      <w:lang w:val="en-US" w:eastAsia="zh-CN" w:bidi="ar-SA"/>
    </w:rPr>
  </w:style>
  <w:style w:type="character" w:customStyle="1" w:styleId="26">
    <w:name w:val="No Spacing Char"/>
    <w:basedOn w:val="14"/>
    <w:link w:val="25"/>
    <w:qFormat/>
    <w:locked/>
    <w:uiPriority w:val="99"/>
    <w:rPr>
      <w:rFonts w:cs="Times New Roman"/>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9"/>
    <customShpInfo spid="_x0000_s1030"/>
    <customShpInfo spid="_x0000_s1028"/>
    <customShpInfo spid="_x0000_s1032"/>
    <customShpInfo spid="_x0000_s1033"/>
    <customShpInfo spid="_x0000_s1031"/>
    <customShpInfo spid="_x0000_s1034"/>
    <customShpInfo spid="_x0000_s1035"/>
    <customShpInfo spid="_x0000_s1037"/>
    <customShpInfo spid="_x0000_s1038"/>
    <customShpInfo spid="_x0000_s1036"/>
    <customShpInfo spid="_x0000_s1039"/>
    <customShpInfo spid="_x0000_s1040"/>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Info spid="_x0000_s1063"/>
    <customShpInfo spid="_x0000_s1064"/>
    <customShpInfo spid="_x0000_s1062"/>
    <customShpInfo spid="_x0000_s1066"/>
    <customShpInfo spid="_x0000_s1067"/>
    <customShpInfo spid="_x0000_s1065"/>
    <customShpInfo spid="_x0000_s1069"/>
    <customShpInfo spid="_x0000_s1070"/>
    <customShpInfo spid="_x0000_s1068"/>
    <customShpInfo spid="_x0000_s1071"/>
    <customShpInfo spid="_x0000_s1072"/>
    <customShpInfo spid="_x0000_s1074"/>
    <customShpInfo spid="_x0000_s1075"/>
    <customShpInfo spid="_x0000_s1073"/>
    <customShpInfo spid="_x0000_s1083"/>
    <customShpInfo spid="_x0000_s1084"/>
    <customShpInfo spid="_x0000_s1082"/>
    <customShpInfo spid="_x0000_s1101"/>
    <customShpInfo spid="_x0000_s1102"/>
    <customShpInfo spid="_x0000_s1100"/>
    <customShpInfo spid="_x0000_s1104"/>
    <customShpInfo spid="_x0000_s1105"/>
    <customShpInfo spid="_x0000_s1103"/>
    <customShpInfo spid="_x0000_s1107"/>
    <customShpInfo spid="_x0000_s1108"/>
    <customShpInfo spid="_x0000_s1106"/>
    <customShpInfo spid="_x0000_s1110"/>
    <customShpInfo spid="_x0000_s1111"/>
    <customShpInfo spid="_x0000_s1109"/>
    <customShpInfo spid="_x0000_s1116"/>
    <customShpInfo spid="_x0000_s1117"/>
    <customShpInfo spid="_x0000_s1115"/>
    <customShpInfo spid="_x0000_s1118"/>
    <customShpInfo spid="_x0000_s1119"/>
    <customShpInfo spid="_x0000_s1121"/>
    <customShpInfo spid="_x0000_s1122"/>
    <customShpInfo spid="_x0000_s1120"/>
    <customShpInfo spid="_x0000_s1124"/>
    <customShpInfo spid="_x0000_s1125"/>
    <customShpInfo spid="_x0000_s1123"/>
    <customShpInfo spid="_x0000_s1127"/>
    <customShpInfo spid="_x0000_s1128"/>
    <customShpInfo spid="_x0000_s1126"/>
    <customShpInfo spid="_x0000_s11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33</Pages>
  <Words>1623</Words>
  <Characters>9257</Characters>
  <Lines>0</Lines>
  <Paragraphs>0</Paragraphs>
  <TotalTime>0</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adizuo</cp:lastModifiedBy>
  <cp:lastPrinted>2021-05-07T07:01:00Z</cp:lastPrinted>
  <dcterms:modified xsi:type="dcterms:W3CDTF">2022-03-12T01:24:07Z</dcterms:modified>
  <dc:subject>石家庄市xxx部门</dc:subject>
  <dc:title>2017年度部门决算</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166D224C9FEC41DE8262CFD246EE1B81</vt:lpwstr>
  </property>
</Properties>
</file>