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both"/>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eastAsia="zh-CN"/>
        </w:rPr>
      </w:pPr>
      <w:r>
        <w:rPr>
          <w:rFonts w:hint="eastAsia" w:ascii="楷体_GB2312" w:hAnsi="楷体_GB2312" w:eastAsia="楷体_GB2312" w:cs="楷体_GB2312"/>
          <w:color w:val="000000"/>
          <w:kern w:val="0"/>
          <w:sz w:val="44"/>
          <w:szCs w:val="44"/>
          <w:highlight w:val="none"/>
          <w:lang w:eastAsia="zh-CN"/>
        </w:rPr>
        <w:t>保定市满城区坨南乡人民政府</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jc w:val="both"/>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满城区</w:t>
      </w:r>
      <w:r>
        <w:rPr>
          <w:rFonts w:hint="eastAsia" w:ascii="宋体" w:hAnsi="宋体" w:eastAsia="宋体" w:cs="宋体"/>
          <w:sz w:val="32"/>
          <w:szCs w:val="32"/>
          <w:lang w:eastAsia="zh-CN"/>
        </w:rPr>
        <w:t>坨南</w:t>
      </w:r>
      <w:r>
        <w:rPr>
          <w:rFonts w:hint="eastAsia" w:ascii="宋体" w:hAnsi="宋体" w:eastAsia="宋体" w:cs="宋体"/>
          <w:sz w:val="32"/>
          <w:szCs w:val="32"/>
        </w:rPr>
        <w:t>乡人民政府由行政编制和事业编制组成。满城区</w:t>
      </w:r>
      <w:r>
        <w:rPr>
          <w:rFonts w:hint="eastAsia" w:ascii="宋体" w:hAnsi="宋体" w:eastAsia="宋体" w:cs="宋体"/>
          <w:sz w:val="32"/>
          <w:szCs w:val="32"/>
          <w:lang w:eastAsia="zh-CN"/>
        </w:rPr>
        <w:t>坨南</w:t>
      </w:r>
      <w:r>
        <w:rPr>
          <w:rFonts w:hint="eastAsia" w:ascii="宋体" w:hAnsi="宋体" w:eastAsia="宋体" w:cs="宋体"/>
          <w:sz w:val="32"/>
          <w:szCs w:val="32"/>
        </w:rPr>
        <w:t>乡人民政府内设人大监督、人大代表活动、司法工作、计划生育、统计工作、财政工作民政事务管理、信访活动、安保工作等各部门。</w:t>
      </w:r>
      <w:r>
        <w:rPr>
          <w:rFonts w:hint="eastAsia" w:ascii="宋体" w:hAnsi="宋体" w:eastAsia="宋体" w:cs="宋体"/>
          <w:b/>
          <w:bCs/>
          <w:sz w:val="32"/>
          <w:szCs w:val="32"/>
        </w:rPr>
        <w:t>主要职责是：</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1、人大监督，围绕政府工作报告监督组织实施。</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2、人大代表活动，对法律实施情况进行检查，开展代表建议督办活动。</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3、会议召开，人大会议，换届选举会议。保证会议顺利召开，完成会议议程。</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4、办案问责，受理信访、举报等案件，组织协调案件的查办，调查、审查违纪违法案件，对案件审理提出处理意见</w:t>
      </w:r>
      <w:r>
        <w:rPr>
          <w:rFonts w:hint="eastAsia" w:ascii="宋体" w:hAnsi="宋体" w:eastAsia="宋体" w:cs="宋体"/>
          <w:sz w:val="32"/>
          <w:szCs w:val="32"/>
          <w:lang w:eastAsia="zh-CN"/>
        </w:rPr>
        <w:t>。</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5、党风廉政建设及监督检查，加强党风廉政建设，营造风清气正、干事创业的工作氛围，加大问责力度，促进“两个责任”有效落实。</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6、司法工作，开展公民普法教育，调节群众矛盾纠纷，提高群众的法律意识。</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7、计划生育，提供各类计划生育技术服务，建立利益导向机制，开展出生人口性别比的治理及流动人口计划生育管理等各项工作。提高妇女生殖健康水平，降低出生缺陷的发生。</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8、统计工作 ，组织人口、农业等部门专项统计调查检测。发布普查的主要数据公报，完成普查工作。</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9、财政工作 加强财务会计管理工作，依法按照财经制度管理会计事务，做到量入微出。维护财经制度，办理好各项财经事项。</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10、民政事务管理，做好对五保户、低保户、贫困户、大病医疗救助、防灾、减灾、救灾工作。做好对五保户、低保户贫困户、大病医疗救助、防灾、减灾、救灾款项的及时发放。</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11、信访活动安保工作  接待和处理人民群众反映的情况和问题。确保乡镇治安防控工作到位，社会稳定、政治稳定、治安秩序良好。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419"/>
        <w:gridCol w:w="2399"/>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1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39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14"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19"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保定市满城区坨南乡人民政府</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399"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eastAsia="zh-CN"/>
              </w:rPr>
              <w:t>行政单位</w:t>
            </w:r>
            <w:r>
              <w:rPr>
                <w:rFonts w:hint="eastAsia" w:ascii="仿宋_GB2312" w:hAnsi="Calibri" w:eastAsia="仿宋_GB2312" w:cs="ArialUnicodeMS"/>
                <w:kern w:val="0"/>
                <w:sz w:val="28"/>
                <w:szCs w:val="28"/>
                <w:lang w:val="en-US" w:eastAsia="zh-CN"/>
              </w:rPr>
              <w:t xml:space="preserve"> </w:t>
            </w:r>
          </w:p>
        </w:tc>
        <w:tc>
          <w:tcPr>
            <w:tcW w:w="2614"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8"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jc w:val="both"/>
        <w:rPr>
          <w:rFonts w:ascii="黑体" w:hAnsi="黑体" w:eastAsia="黑体" w:cs="黑体"/>
          <w:sz w:val="56"/>
          <w:szCs w:val="72"/>
        </w:rPr>
      </w:pPr>
    </w:p>
    <w:p>
      <w:pPr>
        <w:jc w:val="both"/>
        <w:rPr>
          <w:rFonts w:ascii="黑体" w:hAnsi="黑体" w:eastAsia="黑体" w:cs="黑体"/>
          <w:sz w:val="56"/>
          <w:szCs w:val="72"/>
        </w:rPr>
      </w:pPr>
    </w:p>
    <w:p>
      <w:pPr>
        <w:jc w:val="both"/>
        <w:rPr>
          <w:rFonts w:hint="default" w:ascii="黑体" w:hAnsi="黑体" w:eastAsia="黑体" w:cs="黑体"/>
          <w:sz w:val="56"/>
          <w:szCs w:val="72"/>
          <w:lang w:val="en-US" w:eastAsia="zh-CN"/>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没有政府性基金预算</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政府性基金支出</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黑体" w:hAnsi="Calibri" w:eastAsia="黑体"/>
          <w:sz w:val="32"/>
          <w:szCs w:val="32"/>
        </w:rPr>
      </w:pPr>
      <w:r>
        <w:pict>
          <v:group id="_x0000_s1063" o:spid="_x0000_s1063" o:spt="203" style="position:absolute;left:0pt;margin-left:71.65pt;margin-top:19.55pt;height:217.5pt;width:308.75pt;z-index:251670528;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8"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799.49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18.00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6" o:spid="_x0000_s1066" o:spt="203" style="position:absolute;left:0pt;margin-left:58.35pt;margin-top:-21.2pt;height:192.85pt;width:287.95pt;z-index:-251646976;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8"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无政府性基金预算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无政府性基金支出</w:t>
      </w:r>
      <w:r>
        <w:rPr>
          <w:rFonts w:hint="eastAsia" w:ascii="仿宋_GB2312" w:hAnsi="Times New Roman" w:eastAsia="仿宋_GB2312" w:cs="DengXian-Regular"/>
          <w:sz w:val="32"/>
          <w:szCs w:val="32"/>
        </w:rPr>
        <w:t>。</w:t>
      </w:r>
    </w:p>
    <w:p>
      <w:pPr>
        <w:numPr>
          <w:ilvl w:val="0"/>
          <w:numId w:val="1"/>
        </w:numPr>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财政拨款收支与年初预算数对比情况</w:t>
      </w:r>
    </w:p>
    <w:p>
      <w:pPr>
        <w:numPr>
          <w:ilvl w:val="0"/>
          <w:numId w:val="0"/>
        </w:numPr>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16.58</w:t>
      </w:r>
      <w:r>
        <w:rPr>
          <w:rFonts w:hint="eastAsia" w:ascii="仿宋_GB2312" w:hAnsi="Times New Roman" w:eastAsia="仿宋_GB2312" w:cs="DengXian-Regular"/>
          <w:sz w:val="32"/>
          <w:szCs w:val="32"/>
        </w:rPr>
        <w:t>万元，决算数大小于预算数主要原因是</w:t>
      </w:r>
      <w:r>
        <w:rPr>
          <w:rFonts w:hint="eastAsia" w:ascii="仿宋_GB2312" w:eastAsia="仿宋_GB2312" w:cs="DengXian-Regular"/>
          <w:sz w:val="32"/>
          <w:szCs w:val="32"/>
        </w:rPr>
        <w:t>认真贯彻落实中央</w:t>
      </w:r>
      <w:bookmarkStart w:id="0" w:name="_GoBack"/>
      <w:bookmarkEnd w:id="0"/>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16.58</w:t>
      </w:r>
      <w:r>
        <w:rPr>
          <w:rFonts w:hint="eastAsia" w:ascii="仿宋_GB2312" w:hAnsi="Times New Roman" w:eastAsia="仿宋_GB2312" w:cs="DengXian-Regular"/>
          <w:sz w:val="32"/>
          <w:szCs w:val="32"/>
        </w:rPr>
        <w:t>万元，决算数小于预算数主要原因是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462.38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68.82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卫生健康（类）支出</w:t>
      </w:r>
      <w:r>
        <w:rPr>
          <w:rFonts w:hint="eastAsia" w:ascii="仿宋_GB2312" w:hAnsi="Times New Roman" w:eastAsia="仿宋_GB2312" w:cs="DengXian-Regular"/>
          <w:sz w:val="32"/>
          <w:szCs w:val="32"/>
          <w:lang w:val="en-US" w:eastAsia="zh-CN"/>
        </w:rPr>
        <w:t>15.04万元，占1.84%；农林水（类）支出249.03万元，占30.46%；</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22.22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2.72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4928;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8"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799.49</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747.15</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52.34</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w:t>
      </w:r>
      <w:r>
        <w:rPr>
          <w:rFonts w:hint="eastAsia" w:ascii="仿宋_GB2312" w:hAnsi="Times New Roman" w:eastAsia="仿宋_GB2312" w:cs="DengXian-Regular"/>
          <w:sz w:val="32"/>
          <w:szCs w:val="32"/>
          <w:lang w:val="en-US" w:eastAsia="zh-CN"/>
        </w:rPr>
        <w:t>8.04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无此类安排</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无此类安排</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7.17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0.10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0.10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0.87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295</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429.16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政府性基金预算项目支出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429.16</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本部门对</w:t>
      </w:r>
      <w:r>
        <w:rPr>
          <w:rFonts w:hint="eastAsia" w:ascii="仿宋_GB2312" w:hAnsi="仿宋_GB2312" w:eastAsia="仿宋_GB2312" w:cs="仿宋_GB2312"/>
          <w:sz w:val="32"/>
          <w:szCs w:val="32"/>
          <w:lang w:val="en-US" w:eastAsia="zh-CN"/>
        </w:rPr>
        <w:t>14个项目均能按时、按质、按量对资金予以作用及发放到位</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“基层组织运转和党建提升经费”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“基层组织运转和党建提升经费”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35.25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35.25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保障了村级组织正常运转和党建提升</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保障了村级工作顺利开展和正常运行</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“村级组织办公经费和服务群众专项”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“村级组织办公经费和服务群众专项”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72.98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保障了村级组织办公正常开展；二是保障了服务群众专项事务的顺利进行</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“村干部正常离任补贴”和“</w:t>
      </w:r>
      <w:r>
        <w:rPr>
          <w:rFonts w:hint="eastAsia" w:ascii="仿宋_GB2312" w:hAnsi="仿宋_GB2312" w:eastAsia="仿宋_GB2312" w:cs="仿宋_GB2312"/>
          <w:sz w:val="32"/>
          <w:szCs w:val="32"/>
          <w:lang w:val="en-US" w:eastAsia="zh-CN"/>
        </w:rPr>
        <w:t>2018年村干部正常离任补贴”</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“村干部正常离任补贴”和“</w:t>
      </w:r>
      <w:r>
        <w:rPr>
          <w:rFonts w:hint="eastAsia" w:ascii="仿宋_GB2312" w:hAnsi="仿宋_GB2312" w:eastAsia="仿宋_GB2312" w:cs="仿宋_GB2312"/>
          <w:sz w:val="32"/>
          <w:szCs w:val="32"/>
          <w:lang w:val="en-US" w:eastAsia="zh-CN"/>
        </w:rPr>
        <w:t>2018年村干部正常离任补贴”</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保障了正常离任村干部的日常生活；二是体现了党组织对离任村干部的关怀</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及时申报用款计划，经费到账后及时发放到离任干部手中</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保障了村党组织办公正常运行；二是保障了党组织活动的开展</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“村干部养老保险经费”和“</w:t>
      </w:r>
      <w:r>
        <w:rPr>
          <w:rFonts w:hint="eastAsia" w:ascii="仿宋_GB2312" w:hAnsi="仿宋_GB2312" w:eastAsia="仿宋_GB2312" w:cs="仿宋_GB2312"/>
          <w:sz w:val="32"/>
          <w:szCs w:val="32"/>
          <w:lang w:val="en-US" w:eastAsia="zh-CN"/>
        </w:rPr>
        <w:t>村干部工资”</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“村干部养老保险经费”和“</w:t>
      </w:r>
      <w:r>
        <w:rPr>
          <w:rFonts w:hint="eastAsia" w:ascii="仿宋_GB2312" w:hAnsi="仿宋_GB2312" w:eastAsia="仿宋_GB2312" w:cs="仿宋_GB2312"/>
          <w:sz w:val="32"/>
          <w:szCs w:val="32"/>
          <w:lang w:val="en-US" w:eastAsia="zh-CN"/>
        </w:rPr>
        <w:t>村干部工资”</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274.39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274.39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保障了村干部的日常生活，使村干部老有所养，老有所依；二是促使村干部积极主动的开展村内各项工作，发挥积极带头作用</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及时申报用款计划，经费到账后及时交缴纳保险和发放工资</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1-6月份大事实事如期完成项目奖励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1-6月份大事实事如期完成项目奖励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促使乡党委领导班子提高自主意识，提升干劲；二是保障乡镇干部更好的服务群众</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推动森林防火工作，阻止火源，保障群众生命财产安全；二是更好的保护国家森林资源和自然环境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保障了全乡信访稳定工作的正常开展，维护了社会安定；二是有力的配合了区委、区政府的信访稳定工作</w:t>
      </w:r>
      <w:r>
        <w:rPr>
          <w:rFonts w:hint="eastAsia" w:ascii="仿宋_GB2312" w:hAnsi="仿宋_GB2312" w:eastAsia="仿宋_GB2312" w:cs="仿宋_GB2312"/>
          <w:sz w:val="32"/>
          <w:szCs w:val="32"/>
        </w:rPr>
        <w:t>。</w:t>
      </w:r>
    </w:p>
    <w:p>
      <w:pPr>
        <w:keepNext/>
        <w:keepLines/>
        <w:numPr>
          <w:ilvl w:val="0"/>
          <w:numId w:val="0"/>
        </w:numPr>
        <w:snapToGrid w:val="0"/>
        <w:spacing w:line="58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left="105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具体统计表如下：</w:t>
      </w:r>
    </w:p>
    <w:tbl>
      <w:tblPr>
        <w:tblStyle w:val="6"/>
        <w:tblW w:w="9060" w:type="dxa"/>
        <w:tblInd w:w="93" w:type="dxa"/>
        <w:tblLayout w:type="fixed"/>
        <w:tblCellMar>
          <w:top w:w="0" w:type="dxa"/>
          <w:left w:w="108" w:type="dxa"/>
          <w:bottom w:w="0" w:type="dxa"/>
          <w:right w:w="108" w:type="dxa"/>
        </w:tblCellMar>
      </w:tblPr>
      <w:tblGrid>
        <w:gridCol w:w="765"/>
        <w:gridCol w:w="4183"/>
        <w:gridCol w:w="1200"/>
        <w:gridCol w:w="885"/>
        <w:gridCol w:w="990"/>
        <w:gridCol w:w="849"/>
      </w:tblGrid>
      <w:tr>
        <w:tblPrEx>
          <w:tblCellMar>
            <w:top w:w="0" w:type="dxa"/>
            <w:left w:w="108" w:type="dxa"/>
            <w:bottom w:w="0" w:type="dxa"/>
            <w:right w:w="108" w:type="dxa"/>
          </w:tblCellMar>
        </w:tblPrEx>
        <w:trPr>
          <w:trHeight w:val="645"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序号</w:t>
            </w:r>
          </w:p>
        </w:tc>
        <w:tc>
          <w:tcPr>
            <w:tcW w:w="41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2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6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41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8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99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1</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eastAsia="宋体" w:cs="宋体"/>
                <w:color w:val="000000"/>
                <w:kern w:val="0"/>
                <w:sz w:val="22"/>
                <w:lang w:eastAsia="zh-CN"/>
              </w:rPr>
            </w:pPr>
            <w:r>
              <w:rPr>
                <w:rFonts w:hint="eastAsia" w:ascii="仿宋_GB2312" w:hAnsi="仿宋_GB2312" w:eastAsia="仿宋_GB2312" w:cs="仿宋_GB2312"/>
                <w:sz w:val="24"/>
                <w:szCs w:val="24"/>
                <w:vertAlign w:val="baseline"/>
                <w:lang w:eastAsia="zh-CN"/>
              </w:rPr>
              <w:t>基层组织运转和党建提升经费</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35.25</w:t>
            </w:r>
          </w:p>
        </w:tc>
        <w:tc>
          <w:tcPr>
            <w:tcW w:w="885"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2"/>
                <w:lang w:eastAsia="zh-CN"/>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2</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村级组织办公经费和服务群众</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72.98</w:t>
            </w:r>
          </w:p>
        </w:tc>
        <w:tc>
          <w:tcPr>
            <w:tcW w:w="885"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2"/>
                <w:lang w:eastAsia="zh-CN"/>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14"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3</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eastAsia="宋体" w:cs="宋体"/>
                <w:color w:val="000000"/>
                <w:kern w:val="0"/>
                <w:sz w:val="22"/>
                <w:lang w:eastAsia="zh-CN"/>
              </w:rPr>
            </w:pPr>
            <w:r>
              <w:rPr>
                <w:rFonts w:hint="eastAsia" w:ascii="仿宋_GB2312" w:hAnsi="仿宋_GB2312" w:eastAsia="仿宋_GB2312" w:cs="仿宋_GB2312"/>
                <w:sz w:val="24"/>
                <w:szCs w:val="24"/>
                <w:vertAlign w:val="baseline"/>
                <w:lang w:eastAsia="zh-CN"/>
              </w:rPr>
              <w:t>村干部正常离任补贴</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7.73</w:t>
            </w:r>
          </w:p>
        </w:tc>
        <w:tc>
          <w:tcPr>
            <w:tcW w:w="88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4</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2018年正常离任补贴</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1.7</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5</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村党组织活动经费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13.60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themeColor="text1"/>
                <w:kern w:val="0"/>
                <w:sz w:val="22"/>
                <w:lang w:val="en-US" w:eastAsia="zh-CN"/>
              </w:rPr>
            </w:pPr>
            <w:r>
              <w:rPr>
                <w:rFonts w:hint="eastAsia" w:ascii="宋体" w:hAnsi="宋体" w:cs="宋体"/>
                <w:color w:val="000000" w:themeColor="text1"/>
                <w:kern w:val="0"/>
                <w:sz w:val="22"/>
                <w:lang w:val="en-US" w:eastAsia="zh-CN"/>
              </w:rPr>
              <w:t>6</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themeColor="text1"/>
                <w:kern w:val="0"/>
                <w:sz w:val="22"/>
                <w:lang w:val="en-US" w:eastAsia="zh-CN"/>
              </w:rPr>
            </w:pPr>
            <w:r>
              <w:rPr>
                <w:rFonts w:hint="eastAsia" w:ascii="仿宋_GB2312" w:hAnsi="仿宋_GB2312" w:eastAsia="仿宋_GB2312" w:cs="仿宋_GB2312"/>
                <w:sz w:val="24"/>
                <w:szCs w:val="24"/>
                <w:vertAlign w:val="baseline"/>
                <w:lang w:eastAsia="zh-CN"/>
              </w:rPr>
              <w:t>村干部养老保险经费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themeColor="text1"/>
                <w:kern w:val="0"/>
                <w:sz w:val="22"/>
                <w:lang w:val="en-US" w:eastAsia="zh-CN"/>
              </w:rPr>
            </w:pPr>
            <w:r>
              <w:rPr>
                <w:rFonts w:hint="eastAsia" w:ascii="仿宋_GB2312" w:hAnsi="仿宋_GB2312" w:eastAsia="仿宋_GB2312" w:cs="仿宋_GB2312"/>
                <w:sz w:val="24"/>
                <w:szCs w:val="24"/>
                <w:vertAlign w:val="baseline"/>
                <w:lang w:val="en-US" w:eastAsia="zh-CN"/>
              </w:rPr>
              <w:t>13.65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2"/>
                <w:lang w:val="en-US" w:eastAsia="zh-CN"/>
              </w:rPr>
            </w:pPr>
            <w:r>
              <w:rPr>
                <w:rFonts w:hint="eastAsia" w:ascii="宋体" w:hAnsi="宋体" w:cs="宋体"/>
                <w:color w:val="000000" w:themeColor="text1"/>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7</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村干部工资</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260.74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8</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1-6月份大事实如期完成项目奖励</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0.5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9</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eastAsia="zh-CN"/>
              </w:rPr>
              <w:t>防火经费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ind w:firstLine="440" w:firstLineChars="200"/>
              <w:jc w:val="left"/>
              <w:rPr>
                <w:rFonts w:hint="eastAsia" w:ascii="宋体" w:hAnsi="宋体" w:cs="宋体"/>
                <w:color w:val="auto"/>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10</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11</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szCs w:val="22"/>
                <w:lang w:val="en-US" w:eastAsia="zh-CN" w:bidi="ar-SA"/>
              </w:rPr>
            </w:pPr>
            <w:r>
              <w:rPr>
                <w:rFonts w:hint="eastAsia" w:ascii="仿宋_GB2312" w:hAnsi="仿宋_GB2312" w:eastAsia="仿宋_GB2312" w:cs="仿宋_GB2312"/>
                <w:sz w:val="24"/>
                <w:szCs w:val="24"/>
                <w:vertAlign w:val="baseline"/>
                <w:lang w:eastAsia="zh-CN"/>
              </w:rPr>
              <w:t>解决垫付维稳资金</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szCs w:val="22"/>
                <w:lang w:val="en-US" w:eastAsia="zh-CN" w:bidi="ar-SA"/>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bidi="ar-SA"/>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bidi="ar-SA"/>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bidi="ar-SA"/>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12</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稳定经费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13</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14</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2.00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bl>
    <w:p>
      <w:pPr>
        <w:keepNext/>
        <w:keepLines/>
        <w:numPr>
          <w:ilvl w:val="0"/>
          <w:numId w:val="3"/>
        </w:numPr>
        <w:snapToGrid w:val="0"/>
        <w:spacing w:line="580" w:lineRule="exact"/>
        <w:ind w:firstLine="640"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财政评价项目绩效评价结果</w:t>
      </w:r>
      <w:r>
        <w:rPr>
          <w:rFonts w:hint="eastAsia" w:ascii="仿宋_GB2312" w:hAnsi="仿宋_GB2312" w:eastAsia="仿宋_GB2312" w:cs="仿宋_GB2312"/>
          <w:b/>
          <w:bCs/>
          <w:sz w:val="32"/>
          <w:szCs w:val="32"/>
        </w:rPr>
        <w:t>。</w:t>
      </w:r>
    </w:p>
    <w:p>
      <w:pPr>
        <w:keepNext/>
        <w:keepLines/>
        <w:numPr>
          <w:ilvl w:val="0"/>
          <w:numId w:val="0"/>
        </w:numPr>
        <w:snapToGrid w:val="0"/>
        <w:spacing w:line="580" w:lineRule="exact"/>
        <w:outlineLvl w:val="1"/>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52.34</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110.91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67.94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52.34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7.56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16.88</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追加了办公经费</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无公务车购置安排</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无此类设备购置安排</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无此类设备购置安排</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“政府性基金预算财政拨款收入支出决算表”、“国有资本经营预算财政拨款支出决算表”及“政府采购情况表”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公开</w:t>
      </w:r>
      <w:r>
        <w:rPr>
          <w:rFonts w:hint="eastAsia" w:ascii="仿宋_GB2312" w:hAnsi="Times New Roman" w:eastAsia="仿宋_GB2312" w:cs="DengXian-Regular"/>
          <w:sz w:val="32"/>
          <w:szCs w:val="32"/>
          <w:lang w:val="en-US" w:eastAsia="zh-CN"/>
        </w:rPr>
        <w:t>08、09、10</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360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0778" w:type="dxa"/>
        <w:jc w:val="center"/>
        <w:tblLayout w:type="fixed"/>
        <w:tblCellMar>
          <w:top w:w="0" w:type="dxa"/>
          <w:left w:w="0" w:type="dxa"/>
          <w:bottom w:w="0" w:type="dxa"/>
          <w:right w:w="0" w:type="dxa"/>
        </w:tblCellMar>
      </w:tblPr>
      <w:tblGrid>
        <w:gridCol w:w="1126"/>
        <w:gridCol w:w="63"/>
        <w:gridCol w:w="64"/>
        <w:gridCol w:w="4024"/>
        <w:gridCol w:w="1110"/>
        <w:gridCol w:w="1020"/>
        <w:gridCol w:w="675"/>
        <w:gridCol w:w="675"/>
        <w:gridCol w:w="675"/>
        <w:gridCol w:w="750"/>
        <w:gridCol w:w="596"/>
      </w:tblGrid>
      <w:tr>
        <w:tblPrEx>
          <w:tblCellMar>
            <w:top w:w="0" w:type="dxa"/>
            <w:left w:w="0" w:type="dxa"/>
            <w:bottom w:w="0" w:type="dxa"/>
            <w:right w:w="0" w:type="dxa"/>
          </w:tblCellMar>
        </w:tblPrEx>
        <w:trPr>
          <w:trHeight w:val="670" w:hRule="atLeast"/>
          <w:jc w:val="center"/>
        </w:trPr>
        <w:tc>
          <w:tcPr>
            <w:tcW w:w="1077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12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4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12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2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27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25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02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2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2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817.49</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462.38</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462.38</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263.31</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181.07</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68.82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68.82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14.56</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47.55</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3.49</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15.04</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15.04</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5.12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78"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993"/>
        <w:gridCol w:w="1065"/>
        <w:gridCol w:w="1155"/>
        <w:gridCol w:w="1170"/>
        <w:gridCol w:w="735"/>
        <w:gridCol w:w="660"/>
        <w:gridCol w:w="797"/>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7"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409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5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6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79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99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40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40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rPr>
            </w:pPr>
            <w:r>
              <w:rPr>
                <w:rFonts w:hint="eastAsia" w:ascii="宋体" w:hAnsi="宋体" w:eastAsia="宋体" w:cs="宋体"/>
                <w:b/>
                <w:color w:val="000000"/>
                <w:sz w:val="22"/>
                <w:lang w:val="en-US" w:eastAsia="zh-CN"/>
              </w:rPr>
              <w:t>799.49</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444.38</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444.38</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806"/>
        <w:gridCol w:w="2985"/>
        <w:gridCol w:w="495"/>
        <w:gridCol w:w="855"/>
        <w:gridCol w:w="792"/>
        <w:gridCol w:w="240"/>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8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8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5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6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0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2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9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1267" w:type="dxa"/>
        <w:jc w:val="center"/>
        <w:tblLayout w:type="fixed"/>
        <w:tblCellMar>
          <w:top w:w="0" w:type="dxa"/>
          <w:left w:w="0" w:type="dxa"/>
          <w:bottom w:w="0" w:type="dxa"/>
          <w:right w:w="0" w:type="dxa"/>
        </w:tblCellMar>
      </w:tblPr>
      <w:tblGrid>
        <w:gridCol w:w="1250"/>
        <w:gridCol w:w="71"/>
        <w:gridCol w:w="70"/>
        <w:gridCol w:w="3501"/>
        <w:gridCol w:w="2130"/>
        <w:gridCol w:w="2093"/>
        <w:gridCol w:w="2152"/>
      </w:tblGrid>
      <w:tr>
        <w:tblPrEx>
          <w:tblCellMar>
            <w:top w:w="0" w:type="dxa"/>
            <w:left w:w="0" w:type="dxa"/>
            <w:bottom w:w="0" w:type="dxa"/>
            <w:right w:w="0" w:type="dxa"/>
          </w:tblCellMar>
        </w:tblPrEx>
        <w:trPr>
          <w:trHeight w:val="600" w:hRule="atLeast"/>
          <w:jc w:val="center"/>
        </w:trPr>
        <w:tc>
          <w:tcPr>
            <w:tcW w:w="1126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4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5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4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89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3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0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1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09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1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48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48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799.49</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444.38</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444.38</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396.52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222.92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11.13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13.09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10.10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50.57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22.22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54.27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350.63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17.78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0.87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259.01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57.11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16.73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12.65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747.15</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0.88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7.17</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0.87</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注：本部门本年度无相关收支及结转结余情况，按要求空表列示。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注：本部门本年度无相关支出情况，按要求空表列示。</w:t>
      </w:r>
      <w:r>
        <w:br w:type="page"/>
      </w:r>
    </w:p>
    <w:p>
      <w:r>
        <w:pict>
          <v:rect id="_x0000_s1105" o:spid="_x0000_s1105" o:spt="1" style="position:absolute;left:0pt;margin-left:-70.5pt;margin-top:-85.25pt;height:841.15pt;width:595.1pt;z-index:251674624;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44915"/>
    <w:multiLevelType w:val="singleLevel"/>
    <w:tmpl w:val="DC944915"/>
    <w:lvl w:ilvl="0" w:tentative="0">
      <w:start w:val="3"/>
      <w:numFmt w:val="decimal"/>
      <w:suff w:val="nothing"/>
      <w:lvlText w:val="%1、"/>
      <w:lvlJc w:val="left"/>
    </w:lvl>
  </w:abstractNum>
  <w:abstractNum w:abstractNumId="1">
    <w:nsid w:val="3BE17E42"/>
    <w:multiLevelType w:val="singleLevel"/>
    <w:tmpl w:val="3BE17E42"/>
    <w:lvl w:ilvl="0" w:tentative="0">
      <w:start w:val="2"/>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45B7D"/>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3A452C7"/>
    <w:rsid w:val="043237EC"/>
    <w:rsid w:val="06454577"/>
    <w:rsid w:val="06AA50D2"/>
    <w:rsid w:val="0D3E3B3C"/>
    <w:rsid w:val="0F665EAD"/>
    <w:rsid w:val="11383788"/>
    <w:rsid w:val="114C3AD7"/>
    <w:rsid w:val="12863C92"/>
    <w:rsid w:val="12C1432F"/>
    <w:rsid w:val="14F07C31"/>
    <w:rsid w:val="153337C8"/>
    <w:rsid w:val="154F6095"/>
    <w:rsid w:val="1B234F7D"/>
    <w:rsid w:val="1B2D5CEF"/>
    <w:rsid w:val="1C594DA8"/>
    <w:rsid w:val="1DE34003"/>
    <w:rsid w:val="21DC7754"/>
    <w:rsid w:val="22D73E00"/>
    <w:rsid w:val="251378B6"/>
    <w:rsid w:val="254572CC"/>
    <w:rsid w:val="25E25008"/>
    <w:rsid w:val="260C5CE1"/>
    <w:rsid w:val="267C7DB9"/>
    <w:rsid w:val="276F2B2C"/>
    <w:rsid w:val="29331B69"/>
    <w:rsid w:val="2C346AE1"/>
    <w:rsid w:val="2E28155E"/>
    <w:rsid w:val="2E4F55C3"/>
    <w:rsid w:val="2E57623A"/>
    <w:rsid w:val="2E8558D1"/>
    <w:rsid w:val="2EDC43F1"/>
    <w:rsid w:val="2EEC1DCA"/>
    <w:rsid w:val="302638AA"/>
    <w:rsid w:val="309F22E4"/>
    <w:rsid w:val="31C2036A"/>
    <w:rsid w:val="320D02A5"/>
    <w:rsid w:val="332F19E1"/>
    <w:rsid w:val="346B6ECF"/>
    <w:rsid w:val="348E566F"/>
    <w:rsid w:val="36343C7A"/>
    <w:rsid w:val="372D46D1"/>
    <w:rsid w:val="383B3531"/>
    <w:rsid w:val="38B55BB5"/>
    <w:rsid w:val="39795EB8"/>
    <w:rsid w:val="3A226944"/>
    <w:rsid w:val="3A5B03EB"/>
    <w:rsid w:val="3AE36B8C"/>
    <w:rsid w:val="3AEE6A48"/>
    <w:rsid w:val="3C1620AA"/>
    <w:rsid w:val="3D8029F9"/>
    <w:rsid w:val="3D8F080F"/>
    <w:rsid w:val="3E0B3B4B"/>
    <w:rsid w:val="40271805"/>
    <w:rsid w:val="40C64489"/>
    <w:rsid w:val="432743F2"/>
    <w:rsid w:val="43543688"/>
    <w:rsid w:val="441B743A"/>
    <w:rsid w:val="44CE1FA4"/>
    <w:rsid w:val="460A0F55"/>
    <w:rsid w:val="466F2D9E"/>
    <w:rsid w:val="469202DF"/>
    <w:rsid w:val="487F73ED"/>
    <w:rsid w:val="489E7062"/>
    <w:rsid w:val="48F75635"/>
    <w:rsid w:val="4A347EAE"/>
    <w:rsid w:val="4C1C32C4"/>
    <w:rsid w:val="4D2C3462"/>
    <w:rsid w:val="4DB97CBF"/>
    <w:rsid w:val="4E5270A5"/>
    <w:rsid w:val="4F2C12D4"/>
    <w:rsid w:val="4F5E67B4"/>
    <w:rsid w:val="4F6F7290"/>
    <w:rsid w:val="4F8A64D2"/>
    <w:rsid w:val="50A32011"/>
    <w:rsid w:val="51E20C88"/>
    <w:rsid w:val="52600405"/>
    <w:rsid w:val="529B4319"/>
    <w:rsid w:val="55374147"/>
    <w:rsid w:val="556D6BB8"/>
    <w:rsid w:val="56886C98"/>
    <w:rsid w:val="57773DD6"/>
    <w:rsid w:val="578B79AB"/>
    <w:rsid w:val="588B05D0"/>
    <w:rsid w:val="591D2440"/>
    <w:rsid w:val="59E949E2"/>
    <w:rsid w:val="5A560984"/>
    <w:rsid w:val="5CB21CD7"/>
    <w:rsid w:val="5CCD3FD5"/>
    <w:rsid w:val="5E341E8B"/>
    <w:rsid w:val="60437CFD"/>
    <w:rsid w:val="604556B4"/>
    <w:rsid w:val="613A239A"/>
    <w:rsid w:val="61B3236C"/>
    <w:rsid w:val="61FA5F9D"/>
    <w:rsid w:val="6292096A"/>
    <w:rsid w:val="63A74890"/>
    <w:rsid w:val="64173A8F"/>
    <w:rsid w:val="64CD6910"/>
    <w:rsid w:val="64F032E9"/>
    <w:rsid w:val="658D3C10"/>
    <w:rsid w:val="677C54B5"/>
    <w:rsid w:val="6789158D"/>
    <w:rsid w:val="6792193F"/>
    <w:rsid w:val="67D81BA4"/>
    <w:rsid w:val="6829684D"/>
    <w:rsid w:val="6988315B"/>
    <w:rsid w:val="698D6CE5"/>
    <w:rsid w:val="69B44D7B"/>
    <w:rsid w:val="6AAF1C96"/>
    <w:rsid w:val="6CC210C5"/>
    <w:rsid w:val="712611E8"/>
    <w:rsid w:val="731345E9"/>
    <w:rsid w:val="73A3248C"/>
    <w:rsid w:val="73A67CDC"/>
    <w:rsid w:val="75681757"/>
    <w:rsid w:val="75A346A8"/>
    <w:rsid w:val="75E767F1"/>
    <w:rsid w:val="76035902"/>
    <w:rsid w:val="7663455E"/>
    <w:rsid w:val="76A10BE7"/>
    <w:rsid w:val="776D3F28"/>
    <w:rsid w:val="77904E0D"/>
    <w:rsid w:val="78D051A1"/>
    <w:rsid w:val="79392465"/>
    <w:rsid w:val="79B9382C"/>
    <w:rsid w:val="7A1E532B"/>
    <w:rsid w:val="7B043B76"/>
    <w:rsid w:val="7BE74B43"/>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adizuo</cp:lastModifiedBy>
  <cp:lastPrinted>2021-05-08T02:26:00Z</cp:lastPrinted>
  <dcterms:modified xsi:type="dcterms:W3CDTF">2022-03-12T01:24:56Z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926CF981D28A4F988A7DE1B4E233D588</vt:lpwstr>
  </property>
</Properties>
</file>