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bookmarkStart w:id="0" w:name="_GoBack"/>
      <w:bookmarkEnd w:id="0"/>
      <w:r>
        <w:pict>
          <v:shape id="文本框 10" o:spid="_x0000_s1033" o:spt="202" type="#_x0000_t202" style="position:absolute;left:0pt;margin-left:106.25pt;margin-top:693.55pt;height:79.95pt;width:404.15pt;z-index:251664384;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shape>
        </w:pict>
      </w:r>
      <w:r>
        <w:pict>
          <v:shape id="椭圆 8" o:spid="_x0000_s1034" o:spt="3" type="#_x0000_t3" style="position:absolute;left:0pt;margin-left:53.5pt;margin-top:232.45pt;height:121.95pt;width:121.95pt;z-index:251661312;v-text-anchor:middle;mso-width-relative:page;mso-height-relative:page;" stroked="f" coordsize="21600,21600">
            <v:path/>
            <v:fill focussize="0,0"/>
            <v:stroke on="f" weight="1pt" joinstyle="miter"/>
            <v:imagedata o:title=""/>
            <o:lock v:ext="edit"/>
            <v:textbox>
              <w:txbxContent>
                <w:p/>
              </w:txbxContent>
            </v:textbox>
          </v:shape>
        </w:pict>
      </w:r>
      <w:r>
        <w:pict>
          <v:rect id="矩形 14" o:spid="_x0000_s1035" o:spt="1" style="position:absolute;left:0pt;margin-left:33.6pt;margin-top:256.75pt;height:69.6pt;width:160.65pt;z-index:251666432;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椭圆 9" o:spid="_x0000_s1036" o:spt="3" type="#_x0000_t3" style="position:absolute;left:0pt;margin-left:62.2pt;margin-top:242.75pt;height:103.45pt;width:103.45pt;z-index:251665408;v-text-anchor:middle;mso-width-relative:page;mso-height-relative:page;" fillcolor="#1F2959" filled="t" stroked="f" coordsize="21600,21600">
            <v:path/>
            <v:fill on="t" focussize="0,0"/>
            <v:stroke on="f" weight="1pt" joinstyle="miter"/>
            <v:imagedata o:title=""/>
            <o:lock v:ext="edit"/>
            <v:textbox>
              <w:txbxContent>
                <w:p/>
              </w:txbxContent>
            </v:textbox>
          </v:shape>
        </w:pict>
      </w:r>
      <w:r>
        <w:pict>
          <v:group id="_x0000_s1037" o:spid="_x0000_s1037" o:spt="203" style="position:absolute;left:0pt;margin-left:1.25pt;margin-top:821.7pt;height:21.45pt;width:595.25pt;z-index:251662336;mso-width-relative:page;mso-height-relative:page;" coordorigin="1483,16692" coordsize="11905,429203203">
            <o:lock v:ext="edit"/>
            <v:rect id="矩形 6" o:spid="_x0000_s1038" o:spt="1" style="position:absolute;left:1483;top:16692;height:428;width:1125;v-text-anchor:middle;" fillcolor="#FDBC11" filled="t" stroked="f" coordsize="21600,21600">
              <v:path/>
              <v:fill on="t" focussize="0,0"/>
              <v:stroke on="f" weight="1pt"/>
              <v:imagedata o:title=""/>
              <o:lock v:ext="edit"/>
            </v:rect>
            <v:rect id="矩形 7" o:spid="_x0000_s1039" o:spt="1" style="position:absolute;left:2608;top:16693;height:428;width:10780;v-text-anchor:middle;" fillcolor="#1F2959" filled="t" stroked="f" coordsize="21600,21600">
              <v:path/>
              <v:fill on="t" focussize="0,0"/>
              <v:stroke on="f" weight="1pt"/>
              <v:imagedata o:title=""/>
              <o:lock v:ext="edit"/>
            </v:rect>
          </v:group>
        </w:pict>
      </w:r>
      <w:r>
        <w:pict>
          <v:group id="_x0000_s1040" o:spid="_x0000_s1040" o:spt="203" style="position:absolute;left:0pt;margin-left:-2.5pt;margin-top:-3.35pt;height:69.6pt;width:600.25pt;z-index:-251657216;mso-width-relative:page;mso-height-relative:page;" coordorigin="13622,-66719" coordsize="12005,1392046203">
            <o:lock v:ext="edit"/>
            <v:rect id="矩形 5" o:spid="_x0000_s1041" o:spt="1" style="position:absolute;left:13622;top:283;height:6170;width:12005;v-text-anchor:middle;" fillcolor="#FDBC11" filled="t" stroked="f" coordsize="21600,21600">
              <v:path/>
              <v:fill on="t" focussize="0,0"/>
              <v:stroke on="f" weight="1pt"/>
              <v:imagedata o:title=""/>
              <o:lock v:ext="edit"/>
            </v:rect>
            <v:shape id="_x0000_s1042" o:spid="_x0000_s1042" o:spt="202" type="#_x0000_t202" style="position:absolute;left:17229;top:-66719;height:1392046;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43" o:spt="1" style="position:absolute;left:0pt;margin-left:184.75pt;margin-top:286.6pt;height:31.25pt;width:339.65pt;mso-wrap-style:none;z-index:251663360;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jc w:val="right"/>
        <w:rPr>
          <w:rFonts w:ascii="黑体" w:hAnsi="黑体" w:eastAsia="黑体" w:cs="黑体"/>
          <w:b/>
          <w:bCs/>
          <w:sz w:val="48"/>
          <w:szCs w:val="48"/>
        </w:rPr>
      </w:pPr>
    </w:p>
    <w:p>
      <w:pPr>
        <w:jc w:val="right"/>
        <w:rPr>
          <w:rFonts w:ascii="黑体" w:hAnsi="黑体" w:eastAsia="黑体" w:cs="黑体"/>
          <w:b/>
          <w:bCs/>
          <w:sz w:val="48"/>
          <w:szCs w:val="48"/>
        </w:rPr>
      </w:pPr>
    </w:p>
    <w:p>
      <w:pPr>
        <w:jc w:val="right"/>
        <w:rPr>
          <w:rFonts w:ascii="黑体" w:hAnsi="黑体" w:eastAsia="黑体" w:cs="黑体"/>
          <w:b/>
          <w:bCs/>
          <w:sz w:val="48"/>
          <w:szCs w:val="48"/>
        </w:rPr>
      </w:pPr>
    </w:p>
    <w:p>
      <w:pPr>
        <w:jc w:val="right"/>
        <w:rPr>
          <w:rFonts w:ascii="黑体" w:hAnsi="黑体" w:eastAsia="黑体" w:cs="黑体"/>
          <w:b/>
          <w:bCs/>
          <w:sz w:val="48"/>
          <w:szCs w:val="48"/>
        </w:rPr>
      </w:pPr>
    </w:p>
    <w:p>
      <w:pPr>
        <w:jc w:val="right"/>
        <w:rPr>
          <w:rFonts w:ascii="黑体" w:hAnsi="黑体" w:eastAsia="黑体" w:cs="黑体"/>
          <w:b/>
          <w:bCs/>
          <w:sz w:val="48"/>
          <w:szCs w:val="48"/>
        </w:rPr>
      </w:pPr>
    </w:p>
    <w:p>
      <w:pPr>
        <w:jc w:val="right"/>
        <w:rPr>
          <w:rFonts w:ascii="黑体" w:hAnsi="黑体" w:eastAsia="黑体" w:cs="黑体"/>
          <w:b/>
          <w:bCs/>
          <w:sz w:val="48"/>
          <w:szCs w:val="48"/>
        </w:rPr>
      </w:pPr>
      <w:r>
        <w:rPr>
          <w:rFonts w:ascii="黑体" w:hAnsi="黑体" w:eastAsia="黑体" w:cs="黑体"/>
          <w:b/>
          <w:bCs/>
          <w:sz w:val="48"/>
          <w:szCs w:val="48"/>
        </w:rPr>
        <w:t>2019</w:t>
      </w:r>
      <w:r>
        <w:rPr>
          <w:rFonts w:hint="eastAsia" w:ascii="黑体" w:hAnsi="黑体" w:eastAsia="黑体" w:cs="黑体"/>
          <w:b/>
          <w:bCs/>
          <w:sz w:val="48"/>
          <w:szCs w:val="48"/>
        </w:rPr>
        <w:t>年度部门决算公开文本</w:t>
      </w: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ind w:firstLine="1320" w:firstLineChars="300"/>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保定市满城区人民政府办公室</w:t>
      </w:r>
    </w:p>
    <w:p>
      <w:pPr>
        <w:snapToGrid w:val="0"/>
        <w:jc w:val="center"/>
        <w:rPr>
          <w:rFonts w:ascii="楷体_GB2312" w:hAns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widowControl/>
        <w:spacing w:line="600" w:lineRule="exact"/>
        <w:jc w:val="left"/>
        <w:rPr>
          <w:rFonts w:ascii="黑体" w:hAnsi="黑体" w:eastAsia="黑体" w:cs="黑体"/>
          <w:bCs/>
          <w:sz w:val="32"/>
          <w:szCs w:val="32"/>
          <w:highlight w:val="yellow"/>
        </w:rPr>
      </w:pPr>
    </w:p>
    <w:p>
      <w:pPr>
        <w:rPr>
          <w:rFonts w:ascii="黑体" w:hAnsi="Times New Roman" w:eastAsia="黑体"/>
          <w:sz w:val="48"/>
          <w:szCs w:val="48"/>
        </w:rPr>
      </w:pP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rPr>
          <w:rFonts w:ascii="Times New Roman" w:hAnsi="Times New Roman" w:eastAsia="黑体"/>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_x0000_s1053" o:spid="_x0000_s1053" o:spt="202" type="#_x0000_t202" style="position:absolute;left:0pt;margin-left:-85.7pt;margin-top:80.7pt;height:263.1pt;width:613.65pt;z-index:251667456;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r>
        <w:br w:type="page"/>
      </w:r>
    </w:p>
    <w:p>
      <w:pPr>
        <w:pStyle w:val="2"/>
        <w:spacing w:before="0" w:after="0" w:line="600" w:lineRule="exact"/>
        <w:jc w:val="left"/>
        <w:rPr>
          <w:rFonts w:ascii="黑体" w:hAnsi="Cambria" w:eastAsia="黑体" w:cs="黑体"/>
          <w:b w:val="0"/>
          <w:bCs w:val="0"/>
          <w:kern w:val="0"/>
          <w:sz w:val="32"/>
          <w:szCs w:val="32"/>
        </w:rPr>
      </w:pPr>
      <w:r>
        <w:pict>
          <v:group id="组合 15" o:spid="_x0000_s1106" o:spt="203" style="position:absolute;left:0pt;margin-left:-80.8pt;margin-top:39.5pt;height:46.7pt;width:245.25pt;mso-position-vertical-relative:page;z-index:251673600;mso-width-relative:page;mso-height-relative:page;" coordorigin="4551,52615" coordsize="8546,1398203">
            <o:lock v:ext="edit"/>
            <v:rect id="_x0000_s1107" o:spid="_x0000_s1107" o:spt="1" style="position:absolute;left:4551;top:52615;height:1175;width:8546;v-text-anchor:middle;" fillcolor="#96DA9D" filled="t" stroked="f" coordsize="21600,21600">
              <v:path/>
              <v:fill on="t" focussize="0,0"/>
              <v:stroke on="f" weight="2pt"/>
              <v:imagedata o:title=""/>
              <o:lock v:ext="edit"/>
            </v:rect>
            <v:rect id="_x0000_s1108" o:spid="_x0000_s1108"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部门概况</w:t>
                    </w:r>
                  </w:p>
                  <w:p>
                    <w:pPr>
                      <w:jc w:val="center"/>
                    </w:pPr>
                  </w:p>
                </w:txbxContent>
              </v:textbox>
            </v:rect>
            <w10:anchorlock/>
          </v:group>
        </w:pict>
      </w:r>
      <w:r>
        <w:rPr>
          <w:rFonts w:hint="eastAsia" w:ascii="黑体" w:hAnsi="Cambria" w:eastAsia="黑体" w:cs="黑体"/>
          <w:b w:val="0"/>
          <w:bCs w:val="0"/>
          <w:kern w:val="0"/>
          <w:sz w:val="32"/>
          <w:szCs w:val="32"/>
        </w:rPr>
        <w:t>一、部门职责</w:t>
      </w:r>
    </w:p>
    <w:p>
      <w:pPr>
        <w:pStyle w:val="15"/>
        <w:ind w:firstLine="480" w:firstLineChars="150"/>
        <w:rPr>
          <w:rFonts w:ascii="宋体" w:hAnsi="宋体" w:eastAsia="宋体" w:cs="方正黑体."/>
          <w:sz w:val="32"/>
          <w:szCs w:val="32"/>
        </w:rPr>
      </w:pPr>
      <w:r>
        <w:rPr>
          <w:rFonts w:hint="eastAsia" w:ascii="宋体" w:hAnsi="宋体" w:eastAsia="宋体" w:cs="方正黑体."/>
          <w:sz w:val="32"/>
          <w:szCs w:val="32"/>
        </w:rPr>
        <w:t>（一）围绕区政府各时期的中心工作和重点工作，进行调查研究，随时了解、掌握经济和社会发展动态，及时向区政府领导反映，提出建议。</w:t>
      </w:r>
    </w:p>
    <w:p>
      <w:pPr>
        <w:pStyle w:val="15"/>
        <w:ind w:firstLine="570"/>
        <w:rPr>
          <w:rFonts w:ascii="宋体" w:hAnsi="宋体" w:eastAsia="宋体" w:cs="方正黑体."/>
          <w:sz w:val="32"/>
          <w:szCs w:val="32"/>
        </w:rPr>
      </w:pPr>
      <w:r>
        <w:rPr>
          <w:rFonts w:hint="eastAsia" w:ascii="宋体" w:hAnsi="宋体" w:eastAsia="宋体" w:cs="方正黑体."/>
          <w:sz w:val="32"/>
          <w:szCs w:val="32"/>
        </w:rPr>
        <w:t>（二）协助区政府领导组织各类会议。</w:t>
      </w:r>
    </w:p>
    <w:p>
      <w:pPr>
        <w:pStyle w:val="15"/>
        <w:ind w:firstLine="570"/>
        <w:rPr>
          <w:rFonts w:ascii="宋体" w:hAnsi="宋体" w:eastAsia="宋体" w:cs="方正黑体."/>
          <w:sz w:val="32"/>
          <w:szCs w:val="32"/>
        </w:rPr>
      </w:pPr>
      <w:r>
        <w:rPr>
          <w:rFonts w:hint="eastAsia" w:ascii="宋体" w:hAnsi="宋体" w:eastAsia="宋体" w:cs="方正黑体."/>
          <w:sz w:val="32"/>
          <w:szCs w:val="32"/>
        </w:rPr>
        <w:t>（三）负责区政府暨办公室文电的起草、审核把关和政府机关的文书处理、档案管理、印信管理和保密工作。</w:t>
      </w:r>
    </w:p>
    <w:p>
      <w:pPr>
        <w:pStyle w:val="15"/>
        <w:ind w:firstLine="570"/>
        <w:rPr>
          <w:rFonts w:ascii="宋体" w:hAnsi="宋体" w:eastAsia="宋体" w:cs="方正黑体."/>
          <w:sz w:val="32"/>
          <w:szCs w:val="32"/>
        </w:rPr>
      </w:pPr>
      <w:r>
        <w:rPr>
          <w:rFonts w:hint="eastAsia" w:ascii="宋体" w:hAnsi="宋体" w:eastAsia="宋体" w:cs="方正黑体."/>
          <w:sz w:val="32"/>
          <w:szCs w:val="32"/>
        </w:rPr>
        <w:t>（四）负责组织区政府工作报告、领导同志重要讲话及其它重要文字材料的起草、修改工作。</w:t>
      </w:r>
    </w:p>
    <w:p>
      <w:pPr>
        <w:pStyle w:val="15"/>
        <w:ind w:firstLine="570"/>
        <w:rPr>
          <w:rFonts w:ascii="宋体" w:hAnsi="宋体" w:eastAsia="宋体" w:cs="方正黑体."/>
          <w:sz w:val="32"/>
          <w:szCs w:val="32"/>
        </w:rPr>
      </w:pPr>
      <w:r>
        <w:rPr>
          <w:rFonts w:hint="eastAsia" w:ascii="宋体" w:hAnsi="宋体" w:eastAsia="宋体" w:cs="方正黑体."/>
          <w:sz w:val="32"/>
          <w:szCs w:val="32"/>
        </w:rPr>
        <w:t>（五）负责政务信息刊物的编辑、重要信息的上报和对全区政务信息工作的指导。</w:t>
      </w:r>
    </w:p>
    <w:p>
      <w:pPr>
        <w:pStyle w:val="15"/>
        <w:ind w:firstLine="570"/>
        <w:rPr>
          <w:rFonts w:ascii="宋体" w:hAnsi="宋体" w:eastAsia="宋体" w:cs="方正黑体."/>
          <w:sz w:val="32"/>
          <w:szCs w:val="32"/>
        </w:rPr>
      </w:pPr>
      <w:r>
        <w:rPr>
          <w:rFonts w:hint="eastAsia" w:ascii="宋体" w:hAnsi="宋体" w:eastAsia="宋体" w:cs="方正黑体."/>
          <w:sz w:val="32"/>
          <w:szCs w:val="32"/>
        </w:rPr>
        <w:t>（六）协助区政府领导协调各部门工作，采取有效措施，抓好区政府各项重要决策的落实。</w:t>
      </w:r>
    </w:p>
    <w:p>
      <w:pPr>
        <w:pStyle w:val="15"/>
        <w:ind w:firstLine="570"/>
        <w:rPr>
          <w:rFonts w:ascii="宋体" w:hAnsi="宋体" w:eastAsia="宋体" w:cs="方正黑体."/>
          <w:sz w:val="32"/>
          <w:szCs w:val="32"/>
        </w:rPr>
      </w:pPr>
      <w:r>
        <w:rPr>
          <w:rFonts w:hint="eastAsia" w:ascii="宋体" w:hAnsi="宋体" w:eastAsia="宋体" w:cs="方正黑体."/>
          <w:sz w:val="32"/>
          <w:szCs w:val="32"/>
        </w:rPr>
        <w:t>（七）负责政府机关工作秩序、纪律作风、效率的检查督导。</w:t>
      </w:r>
    </w:p>
    <w:p>
      <w:pPr>
        <w:pStyle w:val="15"/>
        <w:ind w:firstLine="570"/>
        <w:rPr>
          <w:rFonts w:ascii="宋体" w:hAnsi="宋体" w:eastAsia="宋体" w:cs="方正黑体."/>
          <w:sz w:val="32"/>
          <w:szCs w:val="32"/>
        </w:rPr>
      </w:pPr>
      <w:r>
        <w:rPr>
          <w:rFonts w:hint="eastAsia" w:ascii="宋体" w:hAnsi="宋体" w:eastAsia="宋体" w:cs="方正黑体."/>
          <w:sz w:val="32"/>
          <w:szCs w:val="32"/>
        </w:rPr>
        <w:t>（八）负责人大代表建议、批评、意见和政协委员提案的办理工作。</w:t>
      </w:r>
    </w:p>
    <w:p>
      <w:pPr>
        <w:pStyle w:val="15"/>
        <w:ind w:firstLine="570"/>
        <w:rPr>
          <w:rFonts w:ascii="宋体" w:hAnsi="宋体" w:eastAsia="宋体" w:cs="方正黑体."/>
          <w:sz w:val="32"/>
          <w:szCs w:val="32"/>
        </w:rPr>
      </w:pPr>
      <w:r>
        <w:rPr>
          <w:rFonts w:hint="eastAsia" w:ascii="宋体" w:hAnsi="宋体" w:eastAsia="宋体" w:cs="方正黑体."/>
          <w:sz w:val="32"/>
          <w:szCs w:val="32"/>
        </w:rPr>
        <w:t>（九）负责区政府机关事务管理、各项公务接待和群众的日常来访工作。</w:t>
      </w:r>
    </w:p>
    <w:p>
      <w:pPr>
        <w:pStyle w:val="15"/>
        <w:ind w:firstLine="570"/>
        <w:rPr>
          <w:rFonts w:ascii="宋体" w:hAnsi="宋体" w:eastAsia="宋体" w:cs="方正黑体."/>
          <w:sz w:val="32"/>
          <w:szCs w:val="32"/>
        </w:rPr>
      </w:pPr>
      <w:r>
        <w:rPr>
          <w:rFonts w:hint="eastAsia" w:ascii="宋体" w:hAnsi="宋体" w:eastAsia="宋体" w:cs="方正黑体."/>
          <w:sz w:val="32"/>
          <w:szCs w:val="32"/>
        </w:rPr>
        <w:t>（十）负责全区外事、侨务管理工作。</w:t>
      </w:r>
    </w:p>
    <w:p>
      <w:pPr>
        <w:pStyle w:val="15"/>
        <w:ind w:firstLine="570"/>
        <w:rPr>
          <w:rFonts w:ascii="宋体" w:hAnsi="宋体" w:eastAsia="宋体" w:cs="方正黑体."/>
          <w:sz w:val="32"/>
          <w:szCs w:val="32"/>
        </w:rPr>
      </w:pPr>
      <w:r>
        <w:rPr>
          <w:rFonts w:hint="eastAsia" w:ascii="宋体" w:hAnsi="宋体" w:eastAsia="宋体" w:cs="方正黑体."/>
          <w:sz w:val="32"/>
          <w:szCs w:val="32"/>
        </w:rPr>
        <w:t>（十一）负责地方志工作。</w:t>
      </w:r>
    </w:p>
    <w:p>
      <w:pPr>
        <w:pStyle w:val="15"/>
        <w:ind w:firstLine="570"/>
        <w:rPr>
          <w:rFonts w:ascii="宋体" w:hAnsi="宋体" w:eastAsia="宋体" w:cs="方正黑体."/>
          <w:sz w:val="32"/>
          <w:szCs w:val="32"/>
        </w:rPr>
      </w:pPr>
      <w:r>
        <w:rPr>
          <w:rFonts w:hint="eastAsia" w:ascii="宋体" w:hAnsi="宋体" w:eastAsia="宋体" w:cs="方正黑体."/>
          <w:sz w:val="32"/>
          <w:szCs w:val="32"/>
        </w:rPr>
        <w:t>（十二）负责全区应急管理工作。</w:t>
      </w:r>
    </w:p>
    <w:p>
      <w:pPr>
        <w:pStyle w:val="15"/>
        <w:ind w:firstLine="570"/>
        <w:rPr>
          <w:rFonts w:ascii="宋体" w:hAnsi="宋体" w:eastAsia="宋体" w:cs="方正黑体."/>
          <w:sz w:val="32"/>
          <w:szCs w:val="32"/>
        </w:rPr>
      </w:pPr>
      <w:r>
        <w:rPr>
          <w:rFonts w:hint="eastAsia" w:ascii="宋体" w:hAnsi="宋体" w:eastAsia="宋体" w:cs="方正黑体."/>
          <w:sz w:val="32"/>
          <w:szCs w:val="32"/>
        </w:rPr>
        <w:t>（十三）承办区政府交办的其他事项。</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pStyle w:val="15"/>
        <w:ind w:firstLine="640" w:firstLineChars="200"/>
        <w:rPr>
          <w:rFonts w:ascii="宋体" w:hAnsi="宋体" w:eastAsia="宋体" w:cs="方正黑体."/>
          <w:bCs/>
          <w:sz w:val="32"/>
          <w:szCs w:val="32"/>
        </w:rPr>
      </w:pPr>
      <w:r>
        <w:rPr>
          <w:rFonts w:hint="eastAsia" w:ascii="宋体" w:hAnsi="宋体" w:eastAsia="宋体" w:cs="方正黑体."/>
          <w:bCs/>
          <w:sz w:val="32"/>
          <w:szCs w:val="32"/>
        </w:rPr>
        <w:t>从决算报表单位构成看，纳入201</w:t>
      </w:r>
      <w:r>
        <w:rPr>
          <w:rFonts w:hint="eastAsia" w:ascii="宋体" w:hAnsi="宋体" w:eastAsia="宋体" w:cs="方正黑体."/>
          <w:bCs/>
          <w:sz w:val="32"/>
          <w:szCs w:val="32"/>
          <w:lang w:val="en-US" w:eastAsia="zh-CN"/>
        </w:rPr>
        <w:t>9</w:t>
      </w:r>
      <w:r>
        <w:rPr>
          <w:rFonts w:hint="eastAsia" w:ascii="宋体" w:hAnsi="宋体" w:eastAsia="宋体" w:cs="方正黑体."/>
          <w:bCs/>
          <w:sz w:val="32"/>
          <w:szCs w:val="32"/>
        </w:rPr>
        <w:t>年度本部门决算汇编范围的独立核算单位共1个，具体情况如下：</w:t>
      </w:r>
    </w:p>
    <w:p>
      <w:pPr>
        <w:pStyle w:val="15"/>
        <w:ind w:firstLine="570"/>
        <w:rPr>
          <w:rFonts w:ascii="宋体" w:hAnsi="宋体" w:eastAsia="宋体" w:cs="方正黑体."/>
          <w:b/>
          <w:sz w:val="32"/>
          <w:szCs w:val="32"/>
        </w:rPr>
      </w:pPr>
    </w:p>
    <w:tbl>
      <w:tblPr>
        <w:tblStyle w:val="6"/>
        <w:tblW w:w="9796" w:type="dxa"/>
        <w:jc w:val="center"/>
        <w:tblLayout w:type="fixed"/>
        <w:tblCellMar>
          <w:top w:w="0" w:type="dxa"/>
          <w:left w:w="108" w:type="dxa"/>
          <w:bottom w:w="0" w:type="dxa"/>
          <w:right w:w="108" w:type="dxa"/>
        </w:tblCellMar>
      </w:tblPr>
      <w:tblGrid>
        <w:gridCol w:w="1085"/>
        <w:gridCol w:w="2316"/>
        <w:gridCol w:w="2119"/>
        <w:gridCol w:w="1900"/>
        <w:gridCol w:w="2376"/>
      </w:tblGrid>
      <w:tr>
        <w:tblPrEx>
          <w:tblCellMar>
            <w:top w:w="0" w:type="dxa"/>
            <w:left w:w="108" w:type="dxa"/>
            <w:bottom w:w="0" w:type="dxa"/>
            <w:right w:w="108" w:type="dxa"/>
          </w:tblCellMar>
        </w:tblPrEx>
        <w:trPr>
          <w:trHeight w:val="810" w:hRule="atLeast"/>
          <w:jc w:val="center"/>
        </w:trPr>
        <w:tc>
          <w:tcPr>
            <w:tcW w:w="9796" w:type="dxa"/>
            <w:gridSpan w:val="5"/>
            <w:tcBorders>
              <w:top w:val="nil"/>
              <w:left w:val="nil"/>
              <w:bottom w:val="single" w:color="auto" w:sz="4" w:space="0"/>
              <w:right w:val="nil"/>
            </w:tcBorders>
            <w:vAlign w:val="center"/>
          </w:tcPr>
          <w:p>
            <w:pPr>
              <w:widowControl/>
              <w:ind w:firstLine="3920" w:firstLineChars="14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部门机构设置情况</w:t>
            </w:r>
          </w:p>
        </w:tc>
      </w:tr>
      <w:tr>
        <w:tblPrEx>
          <w:tblCellMar>
            <w:top w:w="0" w:type="dxa"/>
            <w:left w:w="108" w:type="dxa"/>
            <w:bottom w:w="0" w:type="dxa"/>
            <w:right w:w="108" w:type="dxa"/>
          </w:tblCellMar>
        </w:tblPrEx>
        <w:trPr>
          <w:trHeight w:val="720" w:hRule="atLeast"/>
          <w:jc w:val="center"/>
        </w:trPr>
        <w:tc>
          <w:tcPr>
            <w:tcW w:w="108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序号</w:t>
            </w:r>
          </w:p>
        </w:tc>
        <w:tc>
          <w:tcPr>
            <w:tcW w:w="231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单位名称</w:t>
            </w:r>
          </w:p>
        </w:tc>
        <w:tc>
          <w:tcPr>
            <w:tcW w:w="211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单位性质</w:t>
            </w:r>
          </w:p>
        </w:tc>
        <w:tc>
          <w:tcPr>
            <w:tcW w:w="190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单位规格</w:t>
            </w:r>
          </w:p>
        </w:tc>
        <w:tc>
          <w:tcPr>
            <w:tcW w:w="237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经费保障形式</w:t>
            </w:r>
          </w:p>
        </w:tc>
      </w:tr>
      <w:tr>
        <w:tblPrEx>
          <w:tblCellMar>
            <w:top w:w="0" w:type="dxa"/>
            <w:left w:w="108" w:type="dxa"/>
            <w:bottom w:w="0" w:type="dxa"/>
            <w:right w:w="108" w:type="dxa"/>
          </w:tblCellMar>
        </w:tblPrEx>
        <w:trPr>
          <w:trHeight w:val="624" w:hRule="atLeast"/>
          <w:jc w:val="center"/>
        </w:trPr>
        <w:tc>
          <w:tcPr>
            <w:tcW w:w="108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31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11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9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23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720" w:hRule="atLeast"/>
          <w:jc w:val="center"/>
        </w:trPr>
        <w:tc>
          <w:tcPr>
            <w:tcW w:w="10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23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保定市满城区人民政府办公室</w:t>
            </w:r>
          </w:p>
        </w:tc>
        <w:tc>
          <w:tcPr>
            <w:tcW w:w="21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行政</w:t>
            </w:r>
          </w:p>
        </w:tc>
        <w:tc>
          <w:tcPr>
            <w:tcW w:w="1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正科级</w:t>
            </w:r>
          </w:p>
        </w:tc>
        <w:tc>
          <w:tcPr>
            <w:tcW w:w="23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财政拨款</w:t>
            </w:r>
          </w:p>
        </w:tc>
      </w:tr>
      <w:tr>
        <w:tblPrEx>
          <w:tblCellMar>
            <w:top w:w="0" w:type="dxa"/>
            <w:left w:w="108" w:type="dxa"/>
            <w:bottom w:w="0" w:type="dxa"/>
            <w:right w:w="108" w:type="dxa"/>
          </w:tblCellMar>
        </w:tblPrEx>
        <w:trPr>
          <w:trHeight w:val="720" w:hRule="atLeast"/>
          <w:jc w:val="center"/>
        </w:trPr>
        <w:tc>
          <w:tcPr>
            <w:tcW w:w="10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23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保定市满城区人民政府机关事务管理局</w:t>
            </w:r>
          </w:p>
        </w:tc>
        <w:tc>
          <w:tcPr>
            <w:tcW w:w="21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事业</w:t>
            </w:r>
          </w:p>
        </w:tc>
        <w:tc>
          <w:tcPr>
            <w:tcW w:w="1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股级</w:t>
            </w:r>
          </w:p>
        </w:tc>
        <w:tc>
          <w:tcPr>
            <w:tcW w:w="23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财政拨款</w:t>
            </w:r>
          </w:p>
        </w:tc>
      </w:tr>
      <w:tr>
        <w:tblPrEx>
          <w:tblCellMar>
            <w:top w:w="0" w:type="dxa"/>
            <w:left w:w="108" w:type="dxa"/>
            <w:bottom w:w="0" w:type="dxa"/>
            <w:right w:w="108" w:type="dxa"/>
          </w:tblCellMar>
        </w:tblPrEx>
        <w:trPr>
          <w:trHeight w:val="720" w:hRule="atLeast"/>
          <w:jc w:val="center"/>
        </w:trPr>
        <w:tc>
          <w:tcPr>
            <w:tcW w:w="108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23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保定市满城区人民政府网络中心</w:t>
            </w:r>
          </w:p>
        </w:tc>
        <w:tc>
          <w:tcPr>
            <w:tcW w:w="211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事业</w:t>
            </w:r>
          </w:p>
        </w:tc>
        <w:tc>
          <w:tcPr>
            <w:tcW w:w="19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股级</w:t>
            </w:r>
          </w:p>
        </w:tc>
        <w:tc>
          <w:tcPr>
            <w:tcW w:w="23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财政拨款</w:t>
            </w:r>
          </w:p>
        </w:tc>
      </w:tr>
    </w:tbl>
    <w:p>
      <w:pPr>
        <w:widowControl/>
        <w:spacing w:line="580" w:lineRule="exact"/>
        <w:ind w:firstLine="1280" w:firstLineChars="4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62" o:spid="_x0000_s1062" o:spt="202" type="#_x0000_t202" style="position:absolute;left:0pt;margin-left:-90.8pt;margin-top:4.35pt;height:263.1pt;width:613.65pt;z-index:251670528;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p>
    <w:p>
      <w:pPr>
        <w:keepNext/>
        <w:keepLines/>
        <w:snapToGrid w:val="0"/>
        <w:spacing w:line="580" w:lineRule="exact"/>
        <w:ind w:firstLine="640" w:firstLineChars="200"/>
        <w:outlineLvl w:val="1"/>
        <w:rPr>
          <w:rFonts w:ascii="黑体" w:hAnsi="Calibri" w:eastAsia="黑体"/>
          <w:sz w:val="32"/>
          <w:szCs w:val="32"/>
        </w:rPr>
      </w:pPr>
    </w:p>
    <w:p>
      <w:pPr>
        <w:keepNext/>
        <w:keepLines/>
        <w:snapToGrid w:val="0"/>
        <w:spacing w:line="580" w:lineRule="exact"/>
        <w:ind w:firstLine="640" w:firstLineChars="200"/>
        <w:outlineLvl w:val="1"/>
        <w:rPr>
          <w:rFonts w:ascii="黑体" w:hAnsi="Calibri" w:eastAsia="黑体"/>
          <w:sz w:val="32"/>
          <w:szCs w:val="32"/>
        </w:rPr>
      </w:pPr>
    </w:p>
    <w:p>
      <w:pPr>
        <w:keepNext/>
        <w:keepLines/>
        <w:snapToGrid w:val="0"/>
        <w:spacing w:line="580" w:lineRule="exact"/>
        <w:ind w:firstLine="640" w:firstLineChars="200"/>
        <w:outlineLvl w:val="1"/>
        <w:rPr>
          <w:rFonts w:ascii="黑体" w:hAnsi="Calibri" w:eastAsia="黑体"/>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年度收入总计（含结转和结余）4626万元。与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年度决算相比，收入减少2013.91万元，</w:t>
      </w:r>
      <w:r>
        <w:rPr>
          <w:rFonts w:hint="eastAsia" w:ascii="仿宋_GB2312" w:hAnsi="Times New Roman" w:eastAsia="仿宋_GB2312" w:cs="DengXian-Regular"/>
          <w:sz w:val="32"/>
          <w:szCs w:val="32"/>
          <w:lang w:val="en-US" w:eastAsia="zh-CN"/>
        </w:rPr>
        <w:t>降低</w:t>
      </w:r>
      <w:r>
        <w:rPr>
          <w:rFonts w:hint="eastAsia" w:ascii="仿宋_GB2312" w:hAnsi="Times New Roman" w:eastAsia="仿宋_GB2312" w:cs="DengXian-Regular"/>
          <w:sz w:val="32"/>
          <w:szCs w:val="32"/>
        </w:rPr>
        <w:t>43</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，主要原因是城乡社区支出减少。支出总计4626万元。与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年度决算相比，支出减少2013.91万元，</w:t>
      </w:r>
      <w:r>
        <w:rPr>
          <w:rFonts w:hint="eastAsia" w:ascii="仿宋_GB2312" w:hAnsi="Times New Roman" w:eastAsia="仿宋_GB2312" w:cs="DengXian-Regular"/>
          <w:sz w:val="32"/>
          <w:szCs w:val="32"/>
          <w:lang w:val="en-US" w:eastAsia="zh-CN"/>
        </w:rPr>
        <w:t>降低</w:t>
      </w:r>
      <w:r>
        <w:rPr>
          <w:rFonts w:hint="eastAsia" w:ascii="仿宋_GB2312" w:hAnsi="Times New Roman" w:eastAsia="仿宋_GB2312" w:cs="DengXian-Regular"/>
          <w:sz w:val="32"/>
          <w:szCs w:val="32"/>
        </w:rPr>
        <w:t>43</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，主要原因是城乡社区支出减少。</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hint="eastAsia" w:ascii="仿宋_GB2312" w:hAnsi="仿宋_GB2312" w:eastAsia="仿宋_GB2312" w:cs="仿宋_GB2312"/>
          <w:sz w:val="28"/>
          <w:szCs w:val="28"/>
        </w:rPr>
        <w:t>4626</w:t>
      </w:r>
      <w:r>
        <w:rPr>
          <w:rFonts w:hint="eastAsia" w:ascii="仿宋_GB2312" w:hAnsi="仿宋_GB2312" w:eastAsia="仿宋_GB2312" w:cs="仿宋_GB2312"/>
          <w:sz w:val="28"/>
          <w:szCs w:val="28"/>
          <w:lang w:val="en-US" w:eastAsia="zh-CN"/>
        </w:rPr>
        <w:t>.00</w:t>
      </w:r>
      <w:r>
        <w:rPr>
          <w:rFonts w:hint="eastAsia" w:ascii="仿宋_GB2312" w:hAnsi="Times New Roman" w:eastAsia="仿宋_GB2312" w:cs="DengXian-Regular"/>
          <w:sz w:val="32"/>
          <w:szCs w:val="32"/>
        </w:rPr>
        <w:t>万元，其中：</w:t>
      </w:r>
      <w:r>
        <w:rPr>
          <w:rFonts w:hint="eastAsia" w:ascii="仿宋_GB2312" w:hAnsi="仿宋_GB2312" w:eastAsia="仿宋_GB2312" w:cs="仿宋_GB2312"/>
          <w:sz w:val="28"/>
          <w:szCs w:val="28"/>
        </w:rPr>
        <w:t>财政拨款收入4626</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占100%；</w:t>
      </w:r>
      <w:r>
        <w:rPr>
          <w:rFonts w:hint="eastAsia" w:ascii="仿宋_GB2312" w:hAnsi="Times New Roman" w:eastAsia="仿宋_GB2312" w:cs="DengXian-Regular"/>
          <w:sz w:val="32"/>
          <w:szCs w:val="32"/>
        </w:rPr>
        <w:t>事业收入0万元，占0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default" w:ascii="仿宋_GB2312" w:hAnsi="Times New Roman" w:eastAsia="仿宋_GB2312" w:cs="DengXian-Regular"/>
          <w:sz w:val="32"/>
          <w:szCs w:val="32"/>
          <w:highlight w:val="yellow"/>
          <w:lang w:val="en-US" w:eastAsia="zh-CN"/>
        </w:rPr>
      </w:pPr>
    </w:p>
    <w:p>
      <w:pPr>
        <w:adjustRightInd w:val="0"/>
        <w:snapToGrid w:val="0"/>
        <w:spacing w:line="580" w:lineRule="exact"/>
        <w:ind w:firstLine="1260" w:firstLineChars="600"/>
        <w:rPr>
          <w:rFonts w:ascii="仿宋_GB2312" w:hAnsi="Times New Roman" w:eastAsia="仿宋_GB2312" w:cs="DengXian-Regular"/>
          <w:sz w:val="32"/>
          <w:szCs w:val="32"/>
        </w:rPr>
      </w:pPr>
      <w:r>
        <w:pict>
          <v:group id="_x0000_s1063" o:spid="_x0000_s1063" o:spt="203" style="position:absolute;left:0pt;margin-left:71.65pt;margin-top:19.55pt;height:217.5pt;width:308.75pt;z-index:251668480;mso-width-relative:page;mso-height-relative:page;" coordorigin="6817,180284" coordsize="5156,-2147483648">
            <o:lock v:ext="edit"/>
            <v:shape id="图片 1" o:spid="_x0000_s1064" o:spt="75" type="#_x0000_t75" style="position:absolute;left:6817;top:180284;height:2988;width:5156;" filled="f" o:preferrelative="t" stroked="f" coordsize="21600,21600">
              <v:path/>
              <v:fill on="f" focussize="0,0"/>
              <v:stroke on="f" joinstyle="miter"/>
              <v:imagedata r:id="rId14" cropleft="2131f" croptop="1490f" cropright="1218f" cropbottom="5217f" o:title=""/>
              <o:lock v:ext="edit" aspectratio="t"/>
            </v:shape>
            <v:shape id="文本框 32" o:spid="_x0000_s1065" o:spt="202" type="#_x0000_t202" style="position:absolute;left:7580;top:183134;height:615;width:3630;"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v:textbox>
            </v:shape>
          </v:group>
        </w:pic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keepNext/>
        <w:keepLines/>
        <w:snapToGrid w:val="0"/>
        <w:spacing w:line="580" w:lineRule="exact"/>
        <w:ind w:firstLine="640" w:firstLineChars="200"/>
        <w:outlineLvl w:val="1"/>
        <w:rPr>
          <w:rFonts w:hint="eastAsia" w:ascii="黑体" w:hAnsi="Calibri" w:eastAsia="仿宋_GB2312"/>
          <w:b/>
          <w:bCs/>
          <w:sz w:val="32"/>
          <w:szCs w:val="32"/>
          <w:lang w:eastAsia="zh-CN"/>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年度本年支出合计4626</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万元，其中：基本支出3174.37万元，占69</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；项目支出1451.63万元，占31</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年度收入总计（含结转和结余）4626</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年度决算相比，收入减少2013.91万元，下降43</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，主要原因是城乡社区支出减少。</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年度一般公共预算财政拨款收入4626</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万元，完成年初预算的100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比年初预算增加1771.65万元，决算数大于预算数主要原因是城乡社区支出增加；本年支出4626</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万元，完成年初预算的100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比年初预算增加1771.65万元，决算数大于预算数主要原因是主要是城乡社区支出增加。</w:t>
      </w:r>
    </w:p>
    <w:p>
      <w:pPr>
        <w:adjustRightInd w:val="0"/>
        <w:snapToGrid w:val="0"/>
        <w:spacing w:line="580" w:lineRule="exact"/>
        <w:ind w:firstLine="640" w:firstLineChars="200"/>
        <w:rPr>
          <w:rFonts w:ascii="仿宋_GB2312" w:hAnsi="Times New Roman" w:eastAsia="仿宋_GB2312" w:cs="DengXian-Regular"/>
          <w:sz w:val="32"/>
          <w:szCs w:val="32"/>
          <w:highlight w:val="red"/>
        </w:rPr>
      </w:pPr>
    </w:p>
    <w:p>
      <w:pPr>
        <w:adjustRightInd w:val="0"/>
        <w:snapToGrid w:val="0"/>
        <w:spacing w:line="580" w:lineRule="exact"/>
        <w:ind w:firstLine="640" w:firstLineChars="200"/>
        <w:rPr>
          <w:rFonts w:ascii="仿宋_GB2312" w:hAnsi="Times New Roman" w:eastAsia="仿宋_GB2312" w:cs="DengXian-Regular"/>
          <w:sz w:val="32"/>
          <w:szCs w:val="32"/>
          <w:highlight w:val="red"/>
        </w:rPr>
      </w:pP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年度财政拨款支出4626</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万元，主要用于以下方面：一般公共服务（类）支出2788.66万元，占60</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，；社会保障和就业支出243.05万元，占5</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；卫生健康支出58.93万元，占1</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；节能环保支出46.75万元，占</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1</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；城乡社区支出</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1404.88万元，占30</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；住房保障（类）支出83.73万元，占</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3</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p>
    <w:p>
      <w:pPr>
        <w:adjustRightInd w:val="0"/>
        <w:snapToGrid w:val="0"/>
        <w:spacing w:line="580" w:lineRule="exact"/>
        <w:rPr>
          <w:rFonts w:ascii="楷体_GB2312" w:hAnsi="Times New Roman" w:eastAsia="楷体_GB2312" w:cs="DengXian-Bold"/>
          <w:b/>
          <w:bCs/>
          <w:sz w:val="32"/>
          <w:szCs w:val="32"/>
        </w:rPr>
      </w:pPr>
      <w:r>
        <w:pict>
          <v:group id="_x0000_s1069" o:spid="_x0000_s1069" o:spt="203" style="position:absolute;left:0pt;margin-left:77.25pt;margin-top:16.6pt;height:173.95pt;width:281.6pt;z-index:-251646976;mso-width-relative:page;mso-height-relative:page;" coordorigin="6921,180284" coordsize="5065,-2147483648">
            <o:lock v:ext="edit"/>
            <v:shape id="图片 1" o:spid="_x0000_s1070" o:spt="75" type="#_x0000_t75" style="position:absolute;left:7157;top:180284;height:2988;width:4586;" filled="f" o:preferrelative="t" stroked="f" coordsize="21600,21600">
              <v:path/>
              <v:fill on="f" focussize="0,0"/>
              <v:stroke on="f" joinstyle="miter"/>
              <v:imagedata r:id="rId14" cropleft="2131f" croptop="1490f" cropright="1218f" cropbottom="5217f" o:title=""/>
              <o:lock v:ext="edit" aspectratio="t"/>
            </v:shape>
            <v:shape id="文本框 32" o:spid="_x0000_s1071" o:spt="202" type="#_x0000_t202" style="position:absolute;left:6921;top:183134;height:615;width:5065;"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w: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年度财政拨款基本支出3,174.37万元，其中：人员经费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1,914.68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公用经费总支出1259.69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3" w:firstLineChars="200"/>
        <w:rPr>
          <w:rFonts w:hint="eastAsia" w:ascii="仿宋_GB2312" w:hAnsi="Times New Roman" w:eastAsia="仿宋_GB2312" w:cs="DengXian-Regular"/>
          <w:b/>
          <w:bCs/>
          <w:sz w:val="32"/>
          <w:szCs w:val="32"/>
        </w:rPr>
      </w:pPr>
      <w:r>
        <w:rPr>
          <w:rFonts w:hint="eastAsia" w:ascii="仿宋_GB2312" w:hAnsi="Times New Roman" w:eastAsia="仿宋_GB2312" w:cs="DengXian-Regular"/>
          <w:b/>
          <w:bCs/>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   本部门2019年度“三公”经费支出共计</w:t>
      </w:r>
      <w:r>
        <w:rPr>
          <w:rFonts w:hint="eastAsia" w:ascii="仿宋_GB2312" w:hAnsi="Times New Roman" w:eastAsia="仿宋_GB2312" w:cs="DengXian-Regular"/>
          <w:sz w:val="32"/>
          <w:szCs w:val="32"/>
          <w:lang w:val="en-US" w:eastAsia="zh-CN"/>
        </w:rPr>
        <w:t>67.84</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96</w:t>
      </w:r>
      <w:r>
        <w:rPr>
          <w:rFonts w:hint="eastAsia" w:ascii="仿宋_GB2312" w:hAnsi="Times New Roman" w:eastAsia="仿宋_GB2312" w:cs="DengXian-Regular"/>
          <w:sz w:val="32"/>
          <w:szCs w:val="32"/>
        </w:rPr>
        <w:t>%,较预算</w:t>
      </w:r>
      <w:r>
        <w:rPr>
          <w:rFonts w:hint="eastAsia" w:ascii="仿宋_GB2312" w:hAnsi="Times New Roman" w:eastAsia="仿宋_GB2312" w:cs="DengXian-Regular"/>
          <w:sz w:val="32"/>
          <w:szCs w:val="32"/>
          <w:lang w:val="en-US" w:eastAsia="zh-CN"/>
        </w:rPr>
        <w:t>减少2.92</w:t>
      </w:r>
      <w:r>
        <w:rPr>
          <w:rFonts w:hint="eastAsia" w:ascii="仿宋_GB2312" w:hAnsi="Times New Roman" w:eastAsia="仿宋_GB2312" w:cs="DengXian-Regular"/>
          <w:sz w:val="32"/>
          <w:szCs w:val="32"/>
        </w:rPr>
        <w:t>万元，主要是认真贯彻落实中央</w:t>
      </w:r>
      <w:r>
        <w:rPr>
          <w:rFonts w:hint="eastAsia" w:ascii="仿宋_GB2312" w:hAnsi="Times New Roman" w:eastAsia="仿宋_GB2312" w:cs="DengXian-Regular"/>
          <w:sz w:val="32"/>
          <w:szCs w:val="32"/>
          <w:lang w:eastAsia="zh-CN"/>
        </w:rPr>
        <w:t>八项规定</w:t>
      </w:r>
      <w:r>
        <w:rPr>
          <w:rFonts w:hint="eastAsia" w:ascii="仿宋_GB2312" w:hAnsi="Times New Roman" w:eastAsia="仿宋_GB2312" w:cs="DengXian-Regular"/>
          <w:sz w:val="32"/>
          <w:szCs w:val="32"/>
        </w:rPr>
        <w:t>精神和厉行节约要求从严控制“三公”经费开支；较2018年度</w:t>
      </w:r>
      <w:r>
        <w:rPr>
          <w:rFonts w:hint="eastAsia" w:ascii="仿宋_GB2312" w:hAnsi="Times New Roman" w:eastAsia="仿宋_GB2312" w:cs="DengXian-Regular"/>
          <w:sz w:val="32"/>
          <w:szCs w:val="32"/>
          <w:lang w:val="en-US" w:eastAsia="zh-CN"/>
        </w:rPr>
        <w:t>减少1.54</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降低2.21%</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。具体情况如下：</w:t>
      </w:r>
    </w:p>
    <w:p>
      <w:pPr>
        <w:ind w:firstLine="560" w:firstLineChars="200"/>
        <w:rPr>
          <w:rFonts w:ascii="仿宋_GB2312" w:hAnsi="宋体" w:eastAsia="仿宋_GB2312" w:cs="宋体"/>
          <w:color w:val="000000"/>
          <w:sz w:val="28"/>
          <w:szCs w:val="28"/>
        </w:rPr>
      </w:pPr>
    </w:p>
    <w:p>
      <w:pPr>
        <w:ind w:firstLine="560" w:firstLineChars="200"/>
        <w:rPr>
          <w:rFonts w:ascii="仿宋_GB2312" w:hAnsi="宋体" w:eastAsia="仿宋_GB2312" w:cs="宋体"/>
          <w:color w:val="000000"/>
          <w:sz w:val="28"/>
          <w:szCs w:val="28"/>
        </w:rPr>
      </w:pPr>
    </w:p>
    <w:p>
      <w:pPr>
        <w:ind w:firstLine="643" w:firstLineChars="200"/>
        <w:rPr>
          <w:rFonts w:ascii="仿宋_GB2312" w:hAnsi="宋体" w:eastAsia="仿宋_GB2312" w:cs="宋体"/>
          <w:color w:val="000000"/>
          <w:sz w:val="28"/>
          <w:szCs w:val="28"/>
        </w:rPr>
      </w:pPr>
      <w:r>
        <w:rPr>
          <w:rFonts w:hint="eastAsia" w:ascii="楷体_GB2312" w:hAnsi="Times New Roman" w:eastAsia="楷体_GB2312" w:cs="DengXian-Bold"/>
          <w:b/>
          <w:bCs/>
          <w:sz w:val="32"/>
          <w:szCs w:val="32"/>
        </w:rPr>
        <w:t>（一）因公出国（境）费支出5.76万元。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人参加本单位组织的出国（境）团组。</w:t>
      </w:r>
      <w:r>
        <w:rPr>
          <w:rFonts w:hint="eastAsia" w:ascii="仿宋_GB2312" w:hAnsi="宋体" w:eastAsia="仿宋_GB2312" w:cs="宋体"/>
          <w:color w:val="000000"/>
          <w:sz w:val="28"/>
          <w:szCs w:val="28"/>
        </w:rPr>
        <w:t>2019年因公出国（境）费用比2018年减少了1.37万元。</w:t>
      </w:r>
    </w:p>
    <w:p>
      <w:pPr>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减少原因：领导因公务事务经批准出国考察次数减少。</w:t>
      </w:r>
    </w:p>
    <w:p>
      <w:pPr>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（二）公务用车购置及运行维护费支出62.08万元。</w:t>
      </w:r>
      <w:r>
        <w:rPr>
          <w:rFonts w:hint="eastAsia" w:ascii="仿宋_GB2312" w:hAnsi="宋体" w:eastAsia="仿宋_GB2312" w:cs="宋体"/>
          <w:color w:val="000000"/>
          <w:sz w:val="28"/>
          <w:szCs w:val="28"/>
        </w:rPr>
        <w:t>其中2019年公务用车运行维护费比2018年增加了0.35万元。</w:t>
      </w:r>
      <w:r>
        <w:rPr>
          <w:rFonts w:hint="eastAsia" w:ascii="仿宋_GB2312" w:hAnsi="宋体" w:eastAsia="仿宋_GB2312" w:cs="宋体"/>
          <w:color w:val="000000"/>
          <w:sz w:val="28"/>
          <w:szCs w:val="28"/>
          <w:lang w:val="en-US" w:eastAsia="zh-CN"/>
        </w:rPr>
        <w:t>增长0.56%。</w:t>
      </w:r>
      <w:r>
        <w:rPr>
          <w:rFonts w:hint="eastAsia" w:ascii="仿宋_GB2312" w:hAnsi="宋体" w:eastAsia="仿宋_GB2312" w:cs="宋体"/>
          <w:color w:val="000000"/>
          <w:sz w:val="28"/>
          <w:szCs w:val="28"/>
        </w:rPr>
        <w:t>增加原因：下乡等工作开展较频繁。</w:t>
      </w:r>
      <w:r>
        <w:rPr>
          <w:rFonts w:hint="eastAsia" w:ascii="仿宋_GB2312" w:hAnsi="宋体" w:eastAsia="仿宋_GB2312" w:cs="宋体"/>
          <w:color w:val="000000"/>
          <w:sz w:val="28"/>
          <w:szCs w:val="28"/>
          <w:lang w:val="en-US" w:eastAsia="zh-CN"/>
        </w:rPr>
        <w:t>较年初预算减少2.92万元，减少0.4%，</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Bold"/>
          <w:b/>
          <w:bCs/>
          <w:sz w:val="32"/>
          <w:szCs w:val="32"/>
        </w:rPr>
        <w:t>其中：</w:t>
      </w:r>
    </w:p>
    <w:p>
      <w:pPr>
        <w:ind w:firstLine="643"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宋体" w:eastAsia="仿宋_GB2312" w:cs="宋体"/>
          <w:color w:val="000000"/>
          <w:sz w:val="28"/>
          <w:szCs w:val="28"/>
        </w:rPr>
        <w:t>未发生“公务用车购置”经费支出；较上年增加</w:t>
      </w:r>
      <w:r>
        <w:rPr>
          <w:rFonts w:hint="eastAsia" w:ascii="仿宋_GB2312" w:hAnsi="宋体" w:eastAsia="仿宋_GB2312" w:cs="宋体"/>
          <w:color w:val="000000"/>
          <w:sz w:val="28"/>
          <w:szCs w:val="28"/>
          <w:lang w:val="en-US" w:eastAsia="zh-CN"/>
        </w:rPr>
        <w:t>0</w:t>
      </w:r>
      <w:r>
        <w:rPr>
          <w:rFonts w:hint="eastAsia" w:ascii="仿宋_GB2312" w:hAnsi="宋体" w:eastAsia="仿宋_GB2312" w:cs="宋体"/>
          <w:color w:val="000000"/>
          <w:sz w:val="28"/>
          <w:szCs w:val="28"/>
        </w:rPr>
        <w:t>万元，增长</w:t>
      </w:r>
      <w:r>
        <w:rPr>
          <w:rFonts w:hint="eastAsia" w:ascii="仿宋_GB2312" w:hAnsi="宋体" w:eastAsia="仿宋_GB2312" w:cs="宋体"/>
          <w:color w:val="000000"/>
          <w:sz w:val="28"/>
          <w:szCs w:val="28"/>
          <w:lang w:val="en-US" w:eastAsia="zh-CN"/>
        </w:rPr>
        <w:t>0</w:t>
      </w:r>
      <w:r>
        <w:rPr>
          <w:rFonts w:hint="eastAsia" w:ascii="仿宋_GB2312" w:hAnsi="宋体" w:eastAsia="仿宋_GB2312" w:cs="宋体"/>
          <w:color w:val="000000"/>
          <w:sz w:val="28"/>
          <w:szCs w:val="28"/>
        </w:rPr>
        <w:t>%,主要是未发生“公务用车购置”经费支出。</w:t>
      </w:r>
      <w:r>
        <w:rPr>
          <w:rFonts w:hint="eastAsia" w:ascii="仿宋_GB2312" w:hAnsi="宋体" w:eastAsia="仿宋_GB2312" w:cs="宋体"/>
          <w:color w:val="000000"/>
          <w:sz w:val="28"/>
          <w:szCs w:val="28"/>
          <w:lang w:val="en-US" w:eastAsia="zh-CN"/>
        </w:rPr>
        <w:t xml:space="preserve">       </w:t>
      </w:r>
      <w:r>
        <w:rPr>
          <w:rFonts w:hint="eastAsia" w:ascii="仿宋_GB2312" w:hAnsi="Times New Roman" w:eastAsia="仿宋_GB2312" w:cs="DengXian-Regular"/>
          <w:b/>
          <w:sz w:val="32"/>
          <w:szCs w:val="32"/>
        </w:rPr>
        <w:t>公务用车运行维护费</w:t>
      </w:r>
      <w:r>
        <w:rPr>
          <w:rFonts w:hint="eastAsia" w:ascii="仿宋_GB2312" w:hAnsi="宋体" w:eastAsia="仿宋_GB2312" w:cs="宋体"/>
          <w:color w:val="000000"/>
          <w:sz w:val="28"/>
          <w:szCs w:val="28"/>
        </w:rPr>
        <w:t>：</w:t>
      </w:r>
      <w:r>
        <w:rPr>
          <w:rFonts w:hint="eastAsia" w:ascii="仿宋_GB2312" w:hAnsi="Times New Roman" w:eastAsia="仿宋_GB2312" w:cs="DengXian-Regular"/>
          <w:sz w:val="32"/>
          <w:szCs w:val="32"/>
        </w:rPr>
        <w:t>公务用车购置及运行维护费支出62.08万元。其中2019年公务用车运行维护费比2018年增加了0.35万元。</w:t>
      </w:r>
      <w:r>
        <w:rPr>
          <w:rFonts w:hint="eastAsia" w:ascii="仿宋_GB2312" w:hAnsi="Times New Roman" w:eastAsia="仿宋_GB2312" w:cs="DengXian-Regular"/>
          <w:sz w:val="32"/>
          <w:szCs w:val="32"/>
          <w:lang w:val="en-US" w:eastAsia="zh-CN"/>
        </w:rPr>
        <w:t>增长0.56%。</w:t>
      </w:r>
      <w:r>
        <w:rPr>
          <w:rFonts w:hint="eastAsia" w:ascii="仿宋_GB2312" w:hAnsi="Times New Roman" w:eastAsia="仿宋_GB2312" w:cs="DengXian-Regular"/>
          <w:sz w:val="32"/>
          <w:szCs w:val="32"/>
        </w:rPr>
        <w:t>增加原因：下乡等工作开展较频繁。</w:t>
      </w:r>
      <w:r>
        <w:rPr>
          <w:rFonts w:hint="eastAsia" w:ascii="仿宋_GB2312" w:hAnsi="Times New Roman" w:eastAsia="仿宋_GB2312" w:cs="DengXian-Regular"/>
          <w:sz w:val="32"/>
          <w:szCs w:val="32"/>
          <w:lang w:val="en-US" w:eastAsia="zh-CN"/>
        </w:rPr>
        <w:t>较年初预算减少2.92万元，降低0.4%，</w:t>
      </w:r>
      <w:r>
        <w:rPr>
          <w:rFonts w:hint="eastAsia" w:ascii="仿宋_GB2312" w:hAnsi="Times New Roman" w:eastAsia="仿宋_GB2312" w:cs="DengXian-Regular"/>
          <w:sz w:val="32"/>
          <w:szCs w:val="32"/>
        </w:rPr>
        <w:t>主要是认真贯彻落实中央</w:t>
      </w:r>
      <w:r>
        <w:rPr>
          <w:rFonts w:hint="eastAsia" w:ascii="仿宋_GB2312" w:hAnsi="Times New Roman" w:eastAsia="仿宋_GB2312" w:cs="DengXian-Regular"/>
          <w:sz w:val="32"/>
          <w:szCs w:val="32"/>
          <w:lang w:eastAsia="zh-CN"/>
        </w:rPr>
        <w:t>八项规定</w:t>
      </w:r>
      <w:r>
        <w:rPr>
          <w:rFonts w:hint="eastAsia" w:ascii="仿宋_GB2312" w:hAnsi="Times New Roman" w:eastAsia="仿宋_GB2312" w:cs="DengXian-Regular"/>
          <w:sz w:val="32"/>
          <w:szCs w:val="32"/>
        </w:rPr>
        <w:t>精神和厉行节约要求从严控制“三公”经费开支</w:t>
      </w:r>
    </w:p>
    <w:p>
      <w:p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楷体_GB2312" w:hAnsi="Times New Roman" w:eastAsia="楷体_GB2312" w:cs="DengXian-Bold"/>
          <w:b/>
          <w:bCs/>
          <w:sz w:val="32"/>
          <w:szCs w:val="32"/>
        </w:rPr>
        <w:t>（三）公务接待费支出。</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0.51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eastAsia="仿宋_GB2312" w:cs="DengXian-Regular"/>
          <w:sz w:val="32"/>
          <w:szCs w:val="32"/>
          <w:lang w:eastAsia="zh-CN"/>
        </w:rPr>
        <w:t>。</w:t>
      </w:r>
    </w:p>
    <w:p>
      <w:pPr>
        <w:adjustRightInd w:val="0"/>
        <w:snapToGrid w:val="0"/>
        <w:spacing w:line="580" w:lineRule="exact"/>
        <w:ind w:firstLine="640" w:firstLineChars="200"/>
        <w:rPr>
          <w:rFonts w:hint="eastAsia"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hint="eastAsia" w:ascii="黑体" w:hAnsi="Times New Roman" w:eastAsia="黑体"/>
          <w:sz w:val="32"/>
          <w:szCs w:val="40"/>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rPr>
          <w:rFonts w:hint="eastAsia" w:ascii="仿宋_GB2312" w:eastAsia="仿宋_GB2312"/>
          <w:sz w:val="28"/>
          <w:szCs w:val="28"/>
        </w:rPr>
      </w:pPr>
      <w:r>
        <w:rPr>
          <w:rFonts w:hint="eastAsia" w:ascii="宋体" w:hAnsi="宋体" w:cs="宋体"/>
          <w:b/>
          <w:bCs/>
          <w:color w:val="000000"/>
          <w:kern w:val="0"/>
          <w:sz w:val="28"/>
          <w:szCs w:val="28"/>
        </w:rPr>
        <w:t xml:space="preserve"> </w:t>
      </w:r>
      <w:r>
        <w:rPr>
          <w:rFonts w:hint="eastAsia" w:ascii="仿宋_GB2312" w:eastAsia="仿宋_GB2312"/>
          <w:sz w:val="28"/>
          <w:szCs w:val="28"/>
        </w:rPr>
        <w:t>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adjustRightInd w:val="0"/>
        <w:snapToGrid w:val="0"/>
        <w:spacing w:line="580" w:lineRule="exact"/>
        <w:ind w:left="420" w:leftChars="200" w:firstLine="321" w:firstLineChars="100"/>
        <w:rPr>
          <w:rFonts w:hint="eastAsia" w:ascii="仿宋_GB2312" w:hAnsi="仿宋_GB2312" w:eastAsia="仿宋_GB2312" w:cs="仿宋_GB2312"/>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rPr>
          <w:rFonts w:hint="eastAsia" w:ascii="仿宋_GB2312" w:eastAsia="仿宋_GB2312"/>
          <w:sz w:val="28"/>
          <w:szCs w:val="28"/>
        </w:rPr>
      </w:pPr>
    </w:p>
    <w:tbl>
      <w:tblPr>
        <w:tblStyle w:val="6"/>
        <w:tblW w:w="938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3400"/>
        <w:gridCol w:w="28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040" w:type="dxa"/>
            <w:vMerge w:val="restart"/>
            <w:vAlign w:val="center"/>
          </w:tcPr>
          <w:p>
            <w:pPr>
              <w:widowControl/>
              <w:jc w:val="left"/>
              <w:rPr>
                <w:rFonts w:ascii="仿宋" w:hAnsi="仿宋" w:eastAsia="仿宋" w:cs="宋体"/>
                <w:b/>
                <w:bCs/>
                <w:color w:val="000000"/>
                <w:kern w:val="0"/>
                <w:sz w:val="24"/>
              </w:rPr>
            </w:pPr>
            <w:r>
              <w:rPr>
                <w:rFonts w:hint="eastAsia" w:ascii="仿宋" w:hAnsi="仿宋" w:eastAsia="仿宋" w:cs="宋体"/>
                <w:b/>
                <w:bCs/>
                <w:color w:val="000000"/>
                <w:kern w:val="0"/>
                <w:sz w:val="24"/>
              </w:rPr>
              <w:t>预算部门：</w:t>
            </w:r>
          </w:p>
        </w:tc>
        <w:tc>
          <w:tcPr>
            <w:tcW w:w="7340" w:type="dxa"/>
            <w:gridSpan w:val="3"/>
            <w:vMerge w:val="restart"/>
            <w:vAlign w:val="bottom"/>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保定市满城区人民政府办公室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040" w:type="dxa"/>
            <w:vMerge w:val="continue"/>
            <w:vAlign w:val="center"/>
          </w:tcPr>
          <w:p>
            <w:pPr>
              <w:widowControl/>
              <w:jc w:val="left"/>
              <w:rPr>
                <w:rFonts w:ascii="仿宋" w:hAnsi="仿宋" w:eastAsia="仿宋" w:cs="宋体"/>
                <w:b/>
                <w:bCs/>
                <w:color w:val="000000"/>
                <w:kern w:val="0"/>
                <w:sz w:val="24"/>
              </w:rPr>
            </w:pPr>
          </w:p>
        </w:tc>
        <w:tc>
          <w:tcPr>
            <w:tcW w:w="7340" w:type="dxa"/>
            <w:gridSpan w:val="3"/>
            <w:vMerge w:val="continue"/>
            <w:vAlign w:val="center"/>
          </w:tcPr>
          <w:p>
            <w:pPr>
              <w:widowControl/>
              <w:jc w:val="left"/>
              <w:rPr>
                <w:rFonts w:ascii="仿宋" w:hAnsi="仿宋" w:eastAsia="仿宋"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312" w:hRule="atLeast"/>
        </w:trPr>
        <w:tc>
          <w:tcPr>
            <w:tcW w:w="2040" w:type="dxa"/>
            <w:vMerge w:val="restart"/>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职责活动</w:t>
            </w:r>
          </w:p>
        </w:tc>
        <w:tc>
          <w:tcPr>
            <w:tcW w:w="3400" w:type="dxa"/>
            <w:vMerge w:val="restart"/>
            <w:shd w:val="clear" w:color="auto" w:fill="FFFFFF"/>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内容描述</w:t>
            </w:r>
          </w:p>
        </w:tc>
        <w:tc>
          <w:tcPr>
            <w:tcW w:w="2860" w:type="dxa"/>
            <w:vMerge w:val="restart"/>
            <w:shd w:val="clear" w:color="auto" w:fill="FFFFFF"/>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312" w:hRule="atLeast"/>
        </w:trPr>
        <w:tc>
          <w:tcPr>
            <w:tcW w:w="2040" w:type="dxa"/>
            <w:vMerge w:val="continue"/>
            <w:shd w:val="clear" w:color="auto" w:fill="auto"/>
            <w:vAlign w:val="center"/>
          </w:tcPr>
          <w:p>
            <w:pPr>
              <w:widowControl/>
              <w:jc w:val="left"/>
              <w:rPr>
                <w:rFonts w:ascii="仿宋" w:hAnsi="仿宋" w:eastAsia="仿宋" w:cs="宋体"/>
                <w:b/>
                <w:bCs/>
                <w:color w:val="000000"/>
                <w:kern w:val="0"/>
                <w:sz w:val="24"/>
              </w:rPr>
            </w:pPr>
          </w:p>
        </w:tc>
        <w:tc>
          <w:tcPr>
            <w:tcW w:w="3400" w:type="dxa"/>
            <w:vMerge w:val="continue"/>
            <w:shd w:val="clear" w:color="auto" w:fill="auto"/>
            <w:vAlign w:val="center"/>
          </w:tcPr>
          <w:p>
            <w:pPr>
              <w:widowControl/>
              <w:jc w:val="left"/>
              <w:rPr>
                <w:rFonts w:ascii="仿宋" w:hAnsi="仿宋" w:eastAsia="仿宋" w:cs="宋体"/>
                <w:b/>
                <w:bCs/>
                <w:color w:val="000000"/>
                <w:kern w:val="0"/>
                <w:sz w:val="24"/>
              </w:rPr>
            </w:pPr>
          </w:p>
        </w:tc>
        <w:tc>
          <w:tcPr>
            <w:tcW w:w="2860" w:type="dxa"/>
            <w:vMerge w:val="continue"/>
            <w:shd w:val="clear" w:color="auto" w:fill="auto"/>
            <w:vAlign w:val="center"/>
          </w:tcPr>
          <w:p>
            <w:pPr>
              <w:widowControl/>
              <w:jc w:val="left"/>
              <w:rPr>
                <w:rFonts w:ascii="仿宋" w:hAnsi="仿宋" w:eastAsia="仿宋"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1485" w:hRule="atLeast"/>
        </w:trPr>
        <w:tc>
          <w:tcPr>
            <w:tcW w:w="2040" w:type="dxa"/>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政务服务</w:t>
            </w:r>
          </w:p>
        </w:tc>
        <w:tc>
          <w:tcPr>
            <w:tcW w:w="340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政务公开、区政府会议管理、督察督办、政务联络等工作</w:t>
            </w:r>
          </w:p>
        </w:tc>
        <w:tc>
          <w:tcPr>
            <w:tcW w:w="286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突出政务、加强事务、提升服务，力求重点工作出精品，难点工作求突破、基础工作有创新、常规工作见特色。以机关干部作风量化指标为依据，增强了工作综合服务实力。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1185" w:hRule="atLeast"/>
        </w:trPr>
        <w:tc>
          <w:tcPr>
            <w:tcW w:w="2040" w:type="dxa"/>
            <w:vAlign w:val="center"/>
          </w:tcPr>
          <w:p>
            <w:pPr>
              <w:widowControl/>
              <w:jc w:val="center"/>
              <w:rPr>
                <w:rFonts w:hint="eastAsia" w:ascii="仿宋" w:hAnsi="仿宋" w:eastAsia="仿宋" w:cs="宋体"/>
                <w:b/>
                <w:bCs/>
                <w:kern w:val="0"/>
                <w:sz w:val="24"/>
              </w:rPr>
            </w:pPr>
            <w:r>
              <w:rPr>
                <w:rFonts w:hint="eastAsia" w:ascii="仿宋" w:hAnsi="仿宋" w:eastAsia="仿宋" w:cs="宋体"/>
                <w:b/>
                <w:bCs/>
                <w:kern w:val="0"/>
                <w:sz w:val="24"/>
              </w:rPr>
              <w:t>会议管理</w:t>
            </w:r>
          </w:p>
        </w:tc>
        <w:tc>
          <w:tcPr>
            <w:tcW w:w="340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区政府会议的准备和服务工作，协助区政府领导组织会议决定事项的落实</w:t>
            </w:r>
          </w:p>
        </w:tc>
        <w:tc>
          <w:tcPr>
            <w:tcW w:w="286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做好区政府会议保障；严格区直各部门以区政府名义召开的会议审批，控制会议费开支规模。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1185" w:hRule="atLeast"/>
        </w:trPr>
        <w:tc>
          <w:tcPr>
            <w:tcW w:w="2040" w:type="dxa"/>
            <w:vAlign w:val="center"/>
          </w:tcPr>
          <w:p>
            <w:pPr>
              <w:widowControl/>
              <w:jc w:val="center"/>
              <w:rPr>
                <w:rFonts w:hint="eastAsia" w:ascii="仿宋" w:hAnsi="仿宋" w:eastAsia="仿宋" w:cs="宋体"/>
                <w:b/>
                <w:bCs/>
                <w:kern w:val="0"/>
                <w:sz w:val="24"/>
              </w:rPr>
            </w:pPr>
            <w:r>
              <w:rPr>
                <w:rFonts w:hint="eastAsia" w:ascii="仿宋" w:hAnsi="仿宋" w:eastAsia="仿宋" w:cs="宋体"/>
                <w:b/>
                <w:bCs/>
                <w:kern w:val="0"/>
                <w:sz w:val="24"/>
              </w:rPr>
              <w:t>督察督办</w:t>
            </w:r>
          </w:p>
        </w:tc>
        <w:tc>
          <w:tcPr>
            <w:tcW w:w="340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督促检查区政府各部门对市政府和区政府决定事项及市政府、区政府领导重要指示的执行落实情况并跟踪调研，及时向区政府领导报告。组织承办人大代表和政协提案工作。</w:t>
            </w:r>
          </w:p>
        </w:tc>
        <w:tc>
          <w:tcPr>
            <w:tcW w:w="286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确保市政府和区政府决定事项及市政府、区政府领导重要指示得到贯彻落实。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795" w:hRule="atLeast"/>
        </w:trPr>
        <w:tc>
          <w:tcPr>
            <w:tcW w:w="2040" w:type="dxa"/>
            <w:vAlign w:val="center"/>
          </w:tcPr>
          <w:p>
            <w:pPr>
              <w:widowControl/>
              <w:jc w:val="center"/>
              <w:rPr>
                <w:rFonts w:hint="eastAsia" w:ascii="仿宋" w:hAnsi="仿宋" w:eastAsia="仿宋" w:cs="宋体"/>
                <w:b/>
                <w:bCs/>
                <w:kern w:val="0"/>
                <w:sz w:val="24"/>
              </w:rPr>
            </w:pPr>
            <w:r>
              <w:rPr>
                <w:rFonts w:hint="eastAsia" w:ascii="仿宋" w:hAnsi="仿宋" w:eastAsia="仿宋" w:cs="宋体"/>
                <w:b/>
                <w:bCs/>
                <w:kern w:val="0"/>
                <w:sz w:val="24"/>
              </w:rPr>
              <w:t>政务联络</w:t>
            </w:r>
          </w:p>
        </w:tc>
        <w:tc>
          <w:tcPr>
            <w:tcW w:w="340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负责管理区政府驻外办事处工作。负责区领导、区有关部门公务活动的接待安排；</w:t>
            </w:r>
          </w:p>
        </w:tc>
        <w:tc>
          <w:tcPr>
            <w:tcW w:w="286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做好区际间与我区政务往来服务保障工作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3600" w:hRule="atLeast"/>
        </w:trPr>
        <w:tc>
          <w:tcPr>
            <w:tcW w:w="2040" w:type="dxa"/>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应急管理</w:t>
            </w:r>
          </w:p>
        </w:tc>
        <w:tc>
          <w:tcPr>
            <w:tcW w:w="340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区政府值班工作，及时报告重要情况，传达和督促落实区政府领导指示。协助区政府领导做好需由区政府组织处理的突发事件应急处置工作。</w:t>
            </w:r>
          </w:p>
        </w:tc>
        <w:tc>
          <w:tcPr>
            <w:tcW w:w="286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建设运行维护好区政府应急平台，实现各种实用功能，有效保证区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乡镇、各部门应急工作，确保信息报送及时畅通，不出差错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312" w:hRule="atLeast"/>
        </w:trPr>
        <w:tc>
          <w:tcPr>
            <w:tcW w:w="2040" w:type="dxa"/>
            <w:vMerge w:val="restart"/>
            <w:vAlign w:val="center"/>
          </w:tcPr>
          <w:p>
            <w:pPr>
              <w:widowControl/>
              <w:jc w:val="center"/>
              <w:rPr>
                <w:rFonts w:ascii="仿宋" w:hAnsi="仿宋" w:eastAsia="仿宋" w:cs="宋体"/>
                <w:color w:val="000000"/>
                <w:kern w:val="0"/>
                <w:sz w:val="24"/>
              </w:rPr>
            </w:pPr>
            <w:r>
              <w:rPr>
                <w:rFonts w:hint="eastAsia" w:ascii="仿宋" w:hAnsi="仿宋" w:eastAsia="仿宋" w:cs="宋体"/>
                <w:b/>
                <w:bCs/>
                <w:color w:val="000000"/>
                <w:kern w:val="0"/>
                <w:sz w:val="24"/>
              </w:rPr>
              <w:t>应急管理</w:t>
            </w:r>
          </w:p>
        </w:tc>
        <w:tc>
          <w:tcPr>
            <w:tcW w:w="3400" w:type="dxa"/>
            <w:vMerge w:val="restart"/>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区政府值班工作，及时报告重要情况，传达和督促落实区政府领导指示。协助区政府领导做好需由区政府组织处理的突发事件应急处置工作</w:t>
            </w:r>
          </w:p>
        </w:tc>
        <w:tc>
          <w:tcPr>
            <w:tcW w:w="2860" w:type="dxa"/>
            <w:vMerge w:val="restart"/>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维护好区政府应急平台，确保全区应急工作顺利完成；各类突发事件得到及时妥善处置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312" w:hRule="atLeast"/>
        </w:trPr>
        <w:tc>
          <w:tcPr>
            <w:tcW w:w="2040" w:type="dxa"/>
            <w:vMerge w:val="continue"/>
            <w:vAlign w:val="center"/>
          </w:tcPr>
          <w:p>
            <w:pPr>
              <w:widowControl/>
              <w:jc w:val="left"/>
              <w:rPr>
                <w:rFonts w:ascii="仿宋" w:hAnsi="仿宋" w:eastAsia="仿宋" w:cs="宋体"/>
                <w:color w:val="000000"/>
                <w:kern w:val="0"/>
                <w:sz w:val="24"/>
              </w:rPr>
            </w:pPr>
          </w:p>
        </w:tc>
        <w:tc>
          <w:tcPr>
            <w:tcW w:w="3400" w:type="dxa"/>
            <w:vMerge w:val="continue"/>
            <w:vAlign w:val="center"/>
          </w:tcPr>
          <w:p>
            <w:pPr>
              <w:widowControl/>
              <w:jc w:val="left"/>
              <w:rPr>
                <w:rFonts w:ascii="仿宋" w:hAnsi="仿宋" w:eastAsia="仿宋" w:cs="宋体"/>
                <w:color w:val="000000"/>
                <w:kern w:val="0"/>
                <w:sz w:val="24"/>
              </w:rPr>
            </w:pPr>
          </w:p>
        </w:tc>
        <w:tc>
          <w:tcPr>
            <w:tcW w:w="2860" w:type="dxa"/>
            <w:vMerge w:val="continue"/>
            <w:vAlign w:val="center"/>
          </w:tcPr>
          <w:p>
            <w:pPr>
              <w:widowControl/>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465" w:hRule="atLeast"/>
        </w:trPr>
        <w:tc>
          <w:tcPr>
            <w:tcW w:w="2040" w:type="dxa"/>
            <w:vMerge w:val="continue"/>
            <w:vAlign w:val="center"/>
          </w:tcPr>
          <w:p>
            <w:pPr>
              <w:widowControl/>
              <w:jc w:val="left"/>
              <w:rPr>
                <w:rFonts w:ascii="仿宋" w:hAnsi="仿宋" w:eastAsia="仿宋" w:cs="宋体"/>
                <w:color w:val="000000"/>
                <w:kern w:val="0"/>
                <w:sz w:val="24"/>
              </w:rPr>
            </w:pPr>
          </w:p>
        </w:tc>
        <w:tc>
          <w:tcPr>
            <w:tcW w:w="3400" w:type="dxa"/>
            <w:vMerge w:val="continue"/>
            <w:vAlign w:val="center"/>
          </w:tcPr>
          <w:p>
            <w:pPr>
              <w:widowControl/>
              <w:jc w:val="left"/>
              <w:rPr>
                <w:rFonts w:ascii="仿宋" w:hAnsi="仿宋" w:eastAsia="仿宋" w:cs="宋体"/>
                <w:color w:val="000000"/>
                <w:kern w:val="0"/>
                <w:sz w:val="24"/>
              </w:rPr>
            </w:pPr>
          </w:p>
        </w:tc>
        <w:tc>
          <w:tcPr>
            <w:tcW w:w="2860" w:type="dxa"/>
            <w:vMerge w:val="continue"/>
            <w:vAlign w:val="center"/>
          </w:tcPr>
          <w:p>
            <w:pPr>
              <w:widowControl/>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420" w:hRule="atLeast"/>
        </w:trPr>
        <w:tc>
          <w:tcPr>
            <w:tcW w:w="2040" w:type="dxa"/>
            <w:vMerge w:val="restart"/>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电子政务管理</w:t>
            </w:r>
          </w:p>
        </w:tc>
        <w:tc>
          <w:tcPr>
            <w:tcW w:w="3400" w:type="dxa"/>
            <w:vMerge w:val="restart"/>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政务信息服务工作和全区政府系统机关电子政务工作。</w:t>
            </w:r>
          </w:p>
        </w:tc>
        <w:tc>
          <w:tcPr>
            <w:tcW w:w="2860" w:type="dxa"/>
            <w:vMerge w:val="restart"/>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确保各类会议顺利进行；保障区政府网络系统安全、稳定运行，技术设备安全可用。严格执行会议技术保障服务流程和电视电话会议室管理制度。切实提高技术保障和服务能力，力争领导满意、群众满意、部门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312" w:hRule="atLeast"/>
        </w:trPr>
        <w:tc>
          <w:tcPr>
            <w:tcW w:w="2040" w:type="dxa"/>
            <w:vMerge w:val="continue"/>
            <w:vAlign w:val="center"/>
          </w:tcPr>
          <w:p>
            <w:pPr>
              <w:widowControl/>
              <w:jc w:val="left"/>
              <w:rPr>
                <w:rFonts w:ascii="仿宋" w:hAnsi="仿宋" w:eastAsia="仿宋" w:cs="宋体"/>
                <w:b/>
                <w:bCs/>
                <w:color w:val="000000"/>
                <w:kern w:val="0"/>
                <w:sz w:val="24"/>
              </w:rPr>
            </w:pPr>
          </w:p>
        </w:tc>
        <w:tc>
          <w:tcPr>
            <w:tcW w:w="3400" w:type="dxa"/>
            <w:vMerge w:val="continue"/>
            <w:vAlign w:val="center"/>
          </w:tcPr>
          <w:p>
            <w:pPr>
              <w:widowControl/>
              <w:jc w:val="left"/>
              <w:rPr>
                <w:rFonts w:ascii="仿宋" w:hAnsi="仿宋" w:eastAsia="仿宋" w:cs="宋体"/>
                <w:color w:val="000000"/>
                <w:kern w:val="0"/>
                <w:sz w:val="24"/>
              </w:rPr>
            </w:pPr>
          </w:p>
        </w:tc>
        <w:tc>
          <w:tcPr>
            <w:tcW w:w="2860" w:type="dxa"/>
            <w:vMerge w:val="continue"/>
            <w:vAlign w:val="center"/>
          </w:tcPr>
          <w:p>
            <w:pPr>
              <w:widowControl/>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870" w:hRule="atLeast"/>
        </w:trPr>
        <w:tc>
          <w:tcPr>
            <w:tcW w:w="2040" w:type="dxa"/>
            <w:vMerge w:val="continue"/>
            <w:vAlign w:val="center"/>
          </w:tcPr>
          <w:p>
            <w:pPr>
              <w:widowControl/>
              <w:jc w:val="left"/>
              <w:rPr>
                <w:rFonts w:ascii="仿宋" w:hAnsi="仿宋" w:eastAsia="仿宋" w:cs="宋体"/>
                <w:b/>
                <w:bCs/>
                <w:color w:val="000000"/>
                <w:kern w:val="0"/>
                <w:sz w:val="24"/>
              </w:rPr>
            </w:pPr>
          </w:p>
        </w:tc>
        <w:tc>
          <w:tcPr>
            <w:tcW w:w="3400" w:type="dxa"/>
            <w:vMerge w:val="continue"/>
            <w:vAlign w:val="center"/>
          </w:tcPr>
          <w:p>
            <w:pPr>
              <w:widowControl/>
              <w:jc w:val="left"/>
              <w:rPr>
                <w:rFonts w:ascii="仿宋" w:hAnsi="仿宋" w:eastAsia="仿宋" w:cs="宋体"/>
                <w:color w:val="000000"/>
                <w:kern w:val="0"/>
                <w:sz w:val="24"/>
              </w:rPr>
            </w:pPr>
          </w:p>
        </w:tc>
        <w:tc>
          <w:tcPr>
            <w:tcW w:w="2860" w:type="dxa"/>
            <w:vMerge w:val="continue"/>
            <w:vAlign w:val="center"/>
          </w:tcPr>
          <w:p>
            <w:pPr>
              <w:widowControl/>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624" w:hRule="atLeast"/>
        </w:trPr>
        <w:tc>
          <w:tcPr>
            <w:tcW w:w="2040" w:type="dxa"/>
            <w:vMerge w:val="restart"/>
            <w:vAlign w:val="center"/>
          </w:tcPr>
          <w:p>
            <w:pPr>
              <w:widowControl/>
              <w:jc w:val="center"/>
              <w:rPr>
                <w:rFonts w:ascii="仿宋" w:hAnsi="仿宋" w:eastAsia="仿宋" w:cs="宋体"/>
                <w:color w:val="000000"/>
                <w:kern w:val="0"/>
                <w:sz w:val="24"/>
              </w:rPr>
            </w:pPr>
            <w:r>
              <w:rPr>
                <w:rFonts w:hint="eastAsia" w:ascii="仿宋" w:hAnsi="仿宋" w:eastAsia="仿宋" w:cs="宋体"/>
                <w:b/>
                <w:bCs/>
                <w:color w:val="000000"/>
                <w:kern w:val="0"/>
                <w:sz w:val="24"/>
              </w:rPr>
              <w:t>政府电子政务管理与服务</w:t>
            </w:r>
          </w:p>
        </w:tc>
        <w:tc>
          <w:tcPr>
            <w:tcW w:w="3400" w:type="dxa"/>
            <w:vMerge w:val="restart"/>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政务信息服务工作和全区政府系统机关电子政务工作。</w:t>
            </w:r>
          </w:p>
        </w:tc>
        <w:tc>
          <w:tcPr>
            <w:tcW w:w="2860" w:type="dxa"/>
            <w:vMerge w:val="restart"/>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确保各类会议顺利进行；保障区政府网络系统安全、稳定运行，技术设备安全可用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624" w:hRule="atLeast"/>
        </w:trPr>
        <w:tc>
          <w:tcPr>
            <w:tcW w:w="2040" w:type="dxa"/>
            <w:vMerge w:val="continue"/>
            <w:vAlign w:val="center"/>
          </w:tcPr>
          <w:p>
            <w:pPr>
              <w:widowControl/>
              <w:jc w:val="left"/>
              <w:rPr>
                <w:rFonts w:ascii="仿宋" w:hAnsi="仿宋" w:eastAsia="仿宋" w:cs="宋体"/>
                <w:color w:val="000000"/>
                <w:kern w:val="0"/>
                <w:sz w:val="24"/>
              </w:rPr>
            </w:pPr>
          </w:p>
        </w:tc>
        <w:tc>
          <w:tcPr>
            <w:tcW w:w="3400" w:type="dxa"/>
            <w:vMerge w:val="continue"/>
            <w:vAlign w:val="center"/>
          </w:tcPr>
          <w:p>
            <w:pPr>
              <w:widowControl/>
              <w:jc w:val="left"/>
              <w:rPr>
                <w:rFonts w:ascii="仿宋" w:hAnsi="仿宋" w:eastAsia="仿宋" w:cs="宋体"/>
                <w:color w:val="000000"/>
                <w:kern w:val="0"/>
                <w:sz w:val="24"/>
              </w:rPr>
            </w:pPr>
          </w:p>
        </w:tc>
        <w:tc>
          <w:tcPr>
            <w:tcW w:w="2860" w:type="dxa"/>
            <w:vMerge w:val="continue"/>
            <w:vAlign w:val="center"/>
          </w:tcPr>
          <w:p>
            <w:pPr>
              <w:widowControl/>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624" w:hRule="atLeast"/>
        </w:trPr>
        <w:tc>
          <w:tcPr>
            <w:tcW w:w="2040" w:type="dxa"/>
            <w:vMerge w:val="continue"/>
            <w:vAlign w:val="center"/>
          </w:tcPr>
          <w:p>
            <w:pPr>
              <w:widowControl/>
              <w:jc w:val="left"/>
              <w:rPr>
                <w:rFonts w:ascii="仿宋" w:hAnsi="仿宋" w:eastAsia="仿宋" w:cs="宋体"/>
                <w:color w:val="000000"/>
                <w:kern w:val="0"/>
                <w:sz w:val="24"/>
              </w:rPr>
            </w:pPr>
          </w:p>
        </w:tc>
        <w:tc>
          <w:tcPr>
            <w:tcW w:w="3400" w:type="dxa"/>
            <w:vMerge w:val="continue"/>
            <w:vAlign w:val="center"/>
          </w:tcPr>
          <w:p>
            <w:pPr>
              <w:widowControl/>
              <w:jc w:val="left"/>
              <w:rPr>
                <w:rFonts w:ascii="仿宋" w:hAnsi="仿宋" w:eastAsia="仿宋" w:cs="宋体"/>
                <w:color w:val="000000"/>
                <w:kern w:val="0"/>
                <w:sz w:val="24"/>
              </w:rPr>
            </w:pPr>
          </w:p>
        </w:tc>
        <w:tc>
          <w:tcPr>
            <w:tcW w:w="2860" w:type="dxa"/>
            <w:vMerge w:val="continue"/>
            <w:vAlign w:val="center"/>
          </w:tcPr>
          <w:p>
            <w:pPr>
              <w:widowControl/>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1260" w:hRule="atLeast"/>
        </w:trPr>
        <w:tc>
          <w:tcPr>
            <w:tcW w:w="2040" w:type="dxa"/>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地方志事务</w:t>
            </w:r>
          </w:p>
        </w:tc>
        <w:tc>
          <w:tcPr>
            <w:tcW w:w="340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全区地方志事务管理</w:t>
            </w:r>
          </w:p>
        </w:tc>
        <w:tc>
          <w:tcPr>
            <w:tcW w:w="2860"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弘扬和传承优秀文化传统，充分发挥志书“资政、存史、教化”的综合功能，为社会各界方便快捷提供区情，为本区经济社会建设服务，为地方志工作者提供资料和工具。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405" w:hRule="atLeast"/>
        </w:trPr>
        <w:tc>
          <w:tcPr>
            <w:tcW w:w="2040" w:type="dxa"/>
            <w:vMerge w:val="restart"/>
            <w:vAlign w:val="center"/>
          </w:tcPr>
          <w:p>
            <w:pPr>
              <w:widowControl/>
              <w:jc w:val="center"/>
              <w:rPr>
                <w:rFonts w:ascii="仿宋" w:hAnsi="仿宋" w:eastAsia="仿宋" w:cs="宋体"/>
                <w:color w:val="000000"/>
                <w:kern w:val="0"/>
                <w:sz w:val="24"/>
              </w:rPr>
            </w:pPr>
            <w:r>
              <w:rPr>
                <w:rFonts w:hint="eastAsia" w:ascii="仿宋" w:hAnsi="仿宋" w:eastAsia="仿宋" w:cs="宋体"/>
                <w:b/>
                <w:bCs/>
                <w:color w:val="000000"/>
                <w:kern w:val="0"/>
                <w:sz w:val="24"/>
              </w:rPr>
              <w:t>地方志事务管理</w:t>
            </w:r>
          </w:p>
        </w:tc>
        <w:tc>
          <w:tcPr>
            <w:tcW w:w="3400" w:type="dxa"/>
            <w:vMerge w:val="restart"/>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拟订全区地方志工作规划并组织实施；搜集、保存、管理地方文献和资料；组织开发利用地方志资源；建设和维护区地方志区情网络。</w:t>
            </w:r>
          </w:p>
        </w:tc>
        <w:tc>
          <w:tcPr>
            <w:tcW w:w="2860" w:type="dxa"/>
            <w:vMerge w:val="restart"/>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为社会各界方便快捷提供区情，为经济社会建设服务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420" w:hRule="atLeast"/>
        </w:trPr>
        <w:tc>
          <w:tcPr>
            <w:tcW w:w="2040" w:type="dxa"/>
            <w:vMerge w:val="continue"/>
            <w:vAlign w:val="center"/>
          </w:tcPr>
          <w:p>
            <w:pPr>
              <w:widowControl/>
              <w:jc w:val="left"/>
              <w:rPr>
                <w:rFonts w:ascii="仿宋" w:hAnsi="仿宋" w:eastAsia="仿宋" w:cs="宋体"/>
                <w:color w:val="000000"/>
                <w:kern w:val="0"/>
                <w:sz w:val="24"/>
              </w:rPr>
            </w:pPr>
          </w:p>
        </w:tc>
        <w:tc>
          <w:tcPr>
            <w:tcW w:w="3400" w:type="dxa"/>
            <w:vMerge w:val="continue"/>
            <w:vAlign w:val="center"/>
          </w:tcPr>
          <w:p>
            <w:pPr>
              <w:widowControl/>
              <w:jc w:val="left"/>
              <w:rPr>
                <w:rFonts w:ascii="仿宋" w:hAnsi="仿宋" w:eastAsia="仿宋" w:cs="宋体"/>
                <w:color w:val="000000"/>
                <w:kern w:val="0"/>
                <w:sz w:val="24"/>
              </w:rPr>
            </w:pPr>
          </w:p>
        </w:tc>
        <w:tc>
          <w:tcPr>
            <w:tcW w:w="2860" w:type="dxa"/>
            <w:vMerge w:val="continue"/>
            <w:vAlign w:val="center"/>
          </w:tcPr>
          <w:p>
            <w:pPr>
              <w:widowControl/>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312" w:hRule="atLeast"/>
        </w:trPr>
        <w:tc>
          <w:tcPr>
            <w:tcW w:w="2040" w:type="dxa"/>
            <w:vMerge w:val="continue"/>
            <w:vAlign w:val="center"/>
          </w:tcPr>
          <w:p>
            <w:pPr>
              <w:widowControl/>
              <w:jc w:val="left"/>
              <w:rPr>
                <w:rFonts w:ascii="仿宋" w:hAnsi="仿宋" w:eastAsia="仿宋" w:cs="宋体"/>
                <w:color w:val="000000"/>
                <w:kern w:val="0"/>
                <w:sz w:val="24"/>
              </w:rPr>
            </w:pPr>
          </w:p>
        </w:tc>
        <w:tc>
          <w:tcPr>
            <w:tcW w:w="3400" w:type="dxa"/>
            <w:vMerge w:val="continue"/>
            <w:vAlign w:val="center"/>
          </w:tcPr>
          <w:p>
            <w:pPr>
              <w:widowControl/>
              <w:jc w:val="left"/>
              <w:rPr>
                <w:rFonts w:ascii="仿宋" w:hAnsi="仿宋" w:eastAsia="仿宋" w:cs="宋体"/>
                <w:color w:val="000000"/>
                <w:kern w:val="0"/>
                <w:sz w:val="24"/>
              </w:rPr>
            </w:pPr>
          </w:p>
        </w:tc>
        <w:tc>
          <w:tcPr>
            <w:tcW w:w="2860" w:type="dxa"/>
            <w:vMerge w:val="continue"/>
            <w:vAlign w:val="center"/>
          </w:tcPr>
          <w:p>
            <w:pPr>
              <w:widowControl/>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3165" w:hRule="atLeast"/>
        </w:trPr>
        <w:tc>
          <w:tcPr>
            <w:tcW w:w="2040" w:type="dxa"/>
            <w:vAlign w:val="center"/>
          </w:tcPr>
          <w:p>
            <w:pPr>
              <w:widowControl/>
              <w:jc w:val="left"/>
              <w:rPr>
                <w:rFonts w:ascii="仿宋" w:hAnsi="仿宋" w:eastAsia="仿宋" w:cs="宋体"/>
                <w:b/>
                <w:bCs/>
                <w:color w:val="000000"/>
                <w:kern w:val="0"/>
                <w:sz w:val="24"/>
              </w:rPr>
            </w:pPr>
            <w:r>
              <w:rPr>
                <w:rFonts w:hint="eastAsia" w:ascii="仿宋" w:hAnsi="仿宋" w:eastAsia="仿宋" w:cs="宋体"/>
                <w:b/>
                <w:bCs/>
                <w:color w:val="000000"/>
                <w:kern w:val="0"/>
                <w:sz w:val="24"/>
              </w:rPr>
              <w:t>政府办公室政务管理</w:t>
            </w:r>
          </w:p>
        </w:tc>
        <w:tc>
          <w:tcPr>
            <w:tcW w:w="340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按照有关要求，做好机关办公区房屋与附属设施的维修、维护工作；做好机关办公区绿化、美化工作；做好后勤保障和老干部管理服务工作。</w:t>
            </w:r>
          </w:p>
        </w:tc>
        <w:tc>
          <w:tcPr>
            <w:tcW w:w="286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以服务领导和机关保障有力为目标，增强了优质后勤管理水平，通过加强公车管理，降低运行成本，为创建节约型机关打下了良好的基础。采取保障区政府领导和机关工作办公环境的措施，提升了服务管理水平，保障了区领导和机关工作的正常运转。及时了解国内外形势、党和国家的方针政策以及区委、区政府办公室的重要部署和要求，及时为老干部提供优质高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375" w:hRule="atLeast"/>
        </w:trPr>
        <w:tc>
          <w:tcPr>
            <w:tcW w:w="2040" w:type="dxa"/>
            <w:vAlign w:val="center"/>
          </w:tcPr>
          <w:p>
            <w:pPr>
              <w:widowControl/>
              <w:jc w:val="center"/>
              <w:rPr>
                <w:rFonts w:ascii="仿宋" w:hAnsi="仿宋" w:eastAsia="仿宋" w:cs="宋体"/>
                <w:color w:val="000000"/>
                <w:kern w:val="0"/>
                <w:sz w:val="24"/>
              </w:rPr>
            </w:pPr>
            <w:r>
              <w:rPr>
                <w:rFonts w:hint="eastAsia" w:ascii="仿宋" w:hAnsi="仿宋" w:eastAsia="仿宋" w:cs="宋体"/>
                <w:b/>
                <w:bCs/>
                <w:color w:val="000000"/>
                <w:kern w:val="0"/>
                <w:sz w:val="24"/>
              </w:rPr>
              <w:t>综合业务管理</w:t>
            </w:r>
          </w:p>
        </w:tc>
        <w:tc>
          <w:tcPr>
            <w:tcW w:w="340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协助区政府领导组织起草或审核上报市政府以及以市政府、区政府办公室名义发布的公文；办理区政府各部门和下级政府报送的文电；对区政府部门间出现的争议问题提出处理意见；组织起草区政府领导重要讲话及其他重要文稿；组织专题调研；承办区政府领导交办的其他事项。</w:t>
            </w:r>
          </w:p>
        </w:tc>
        <w:tc>
          <w:tcPr>
            <w:tcW w:w="2860"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高质量审核公文，让区领导满意；及时办理各类文电，确保事项在第一时间得到区领导批示意见；高质量起草的区领导重要讲话及重要文稿。</w:t>
            </w:r>
          </w:p>
        </w:tc>
      </w:tr>
    </w:tbl>
    <w:p>
      <w:pPr>
        <w:keepNext/>
        <w:keepLines/>
        <w:numPr>
          <w:ilvl w:val="0"/>
          <w:numId w:val="0"/>
        </w:numPr>
        <w:snapToGrid w:val="0"/>
        <w:spacing w:line="580" w:lineRule="exact"/>
        <w:ind w:leftChars="200" w:firstLine="321" w:firstLineChars="100"/>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财政评价项目绩效评价结果</w:t>
      </w:r>
    </w:p>
    <w:p>
      <w:pPr>
        <w:keepNext/>
        <w:keepLines/>
        <w:numPr>
          <w:ilvl w:val="0"/>
          <w:numId w:val="0"/>
        </w:numPr>
        <w:snapToGrid w:val="0"/>
        <w:spacing w:line="580" w:lineRule="exact"/>
        <w:ind w:leftChars="200"/>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我单位无财政评价项目绩效</w:t>
      </w:r>
    </w:p>
    <w:p>
      <w:pPr>
        <w:keepNext/>
        <w:keepLines/>
        <w:snapToGrid w:val="0"/>
        <w:spacing w:line="580" w:lineRule="exact"/>
        <w:ind w:firstLine="640" w:firstLineChars="200"/>
        <w:outlineLvl w:val="1"/>
        <w:rPr>
          <w:rFonts w:hint="eastAsia" w:ascii="黑体" w:hAnsi="Calibri" w:eastAsia="黑体"/>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keepNext/>
        <w:keepLines/>
        <w:snapToGrid w:val="0"/>
        <w:spacing w:line="580" w:lineRule="exact"/>
        <w:ind w:firstLine="640" w:firstLineChars="200"/>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部门2019年度机关运行经费支出1259.69万元，比2018年度决算减少了1265.00万元，减少40.95%。原因是本年度单位节俭了开支。本部门2019年度机关运行经费支出1259.69万元，比年初预算数增加946.50万元，增长75%。主要原因是增加环境整治等经费支出。</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keepNext/>
        <w:keepLines/>
        <w:snapToGrid w:val="0"/>
        <w:spacing w:line="580" w:lineRule="exact"/>
        <w:ind w:firstLine="640" w:firstLineChars="200"/>
        <w:outlineLvl w:val="2"/>
        <w:rPr>
          <w:rFonts w:hint="eastAsia" w:ascii="仿宋_GB2312" w:hAnsi="仿宋_GB2312" w:eastAsia="仿宋_GB2312" w:cs="仿宋_GB2312"/>
          <w:color w:val="000000"/>
          <w:kern w:val="0"/>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日，本部门共有车辆20辆，与上年保持一致。单位价值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万元以上通用设备0台（套），比上年增加0套，主要是</w:t>
      </w:r>
      <w:r>
        <w:rPr>
          <w:rFonts w:hint="eastAsia" w:ascii="仿宋_GB2312" w:eastAsia="仿宋_GB2312" w:cs="DengXian-Regular"/>
          <w:sz w:val="32"/>
          <w:szCs w:val="32"/>
        </w:rPr>
        <w:t>厉行节约，压减开支</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万元以上专用设备0台（套），比上年增加,0套，主要是</w:t>
      </w:r>
      <w:r>
        <w:rPr>
          <w:rFonts w:hint="eastAsia" w:ascii="仿宋_GB2312" w:eastAsia="仿宋_GB2312" w:cs="DengXian-Regular"/>
          <w:sz w:val="32"/>
          <w:szCs w:val="32"/>
        </w:rPr>
        <w:t>厉行节约，压减开支</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p>
    <w:p>
      <w:pPr>
        <w:ind w:firstLine="561"/>
        <w:jc w:val="left"/>
        <w:rPr>
          <w:rFonts w:ascii="仿宋_GB2312" w:hAnsi="宋体" w:eastAsia="仿宋_GB2312" w:cs="宋体"/>
          <w:b/>
          <w:bCs/>
          <w:color w:val="000000"/>
          <w:kern w:val="0"/>
          <w:sz w:val="28"/>
          <w:szCs w:val="28"/>
        </w:rPr>
      </w:pPr>
      <w:r>
        <w:rPr>
          <w:rFonts w:hint="eastAsia" w:ascii="仿宋_GB2312" w:hAnsi="宋体" w:eastAsia="仿宋_GB2312" w:cs="宋体"/>
          <w:sz w:val="28"/>
          <w:szCs w:val="28"/>
        </w:rPr>
        <w:t>我单位2019年末固定资产总额为1081.73万元，土地、房屋及构筑物713.64万元；通用设备348.86万元；家具、用具等19.23万元。</w:t>
      </w:r>
      <w:r>
        <w:rPr>
          <w:rFonts w:hint="eastAsia" w:ascii="仿宋_GB2312" w:hAnsi="宋体" w:eastAsia="仿宋_GB2312" w:cs="宋体"/>
          <w:b/>
          <w:bCs/>
          <w:color w:val="000000"/>
          <w:kern w:val="0"/>
          <w:sz w:val="28"/>
          <w:szCs w:val="28"/>
        </w:rPr>
        <w:t xml:space="preserve"> </w:t>
      </w:r>
    </w:p>
    <w:p>
      <w:pPr>
        <w:adjustRightInd w:val="0"/>
        <w:snapToGrid w:val="0"/>
        <w:spacing w:line="580" w:lineRule="exact"/>
        <w:ind w:firstLine="643" w:firstLineChars="200"/>
        <w:rPr>
          <w:rFonts w:ascii="楷体_GB2312" w:hAnsi="Times New Roman" w:eastAsia="楷体_GB2312" w:cs="DengXian-Bold"/>
          <w:b/>
          <w:bCs/>
          <w:sz w:val="32"/>
          <w:szCs w:val="32"/>
        </w:rPr>
      </w:pP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560" w:firstLineChars="200"/>
        <w:rPr>
          <w:rFonts w:ascii="仿宋_GB2312" w:hAnsi="Times New Roman" w:eastAsia="仿宋_GB2312" w:cs="DengXian-Regular"/>
          <w:sz w:val="32"/>
          <w:szCs w:val="32"/>
        </w:rPr>
      </w:pPr>
      <w:r>
        <w:rPr>
          <w:rFonts w:hint="eastAsia" w:ascii="仿宋_GB2312" w:hAnsi="黑体" w:eastAsia="仿宋_GB2312" w:cs="黑体"/>
          <w:sz w:val="28"/>
          <w:szCs w:val="28"/>
        </w:rPr>
        <w:t xml:space="preserve"> </w:t>
      </w:r>
      <w:r>
        <w:rPr>
          <w:rFonts w:hint="eastAsia" w:ascii="仿宋_GB2312" w:hAnsi="黑体" w:eastAsia="仿宋_GB2312" w:cs="黑体"/>
          <w:sz w:val="28"/>
          <w:szCs w:val="28"/>
          <w:lang w:val="en-US" w:eastAsia="zh-CN"/>
        </w:rPr>
        <w:t>1、</w:t>
      </w:r>
      <w:r>
        <w:rPr>
          <w:rFonts w:hint="eastAsia" w:ascii="仿宋_GB2312" w:hAnsi="仿宋" w:eastAsia="仿宋_GB2312" w:cs="仿宋"/>
          <w:sz w:val="28"/>
          <w:szCs w:val="28"/>
        </w:rPr>
        <w:t>我单位无政府性基金预算及国有资本经营预算，空表列示。</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88" o:spid="_x0000_s1088" o:spt="202" type="#_x0000_t202" style="position:absolute;left:0pt;margin-left:-80.45pt;margin-top:34.8pt;height:263.1pt;width:613.65pt;z-index:25167155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Pr>
        <w:tabs>
          <w:tab w:val="left" w:pos="886"/>
        </w:tabs>
        <w:jc w:val="left"/>
        <w:sectPr>
          <w:headerReference r:id="rId11"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2"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89" o:spid="_x0000_s1089" o:spt="202" type="#_x0000_t202" style="position:absolute;left:0pt;margin-left:-82.05pt;margin-top:135.85pt;height:263.1pt;width:613.65pt;z-index:-25165619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6"/>
        <w:tblW w:w="10130" w:type="dxa"/>
        <w:tblInd w:w="93" w:type="dxa"/>
        <w:tblLayout w:type="autofit"/>
        <w:tblCellMar>
          <w:top w:w="0" w:type="dxa"/>
          <w:left w:w="108" w:type="dxa"/>
          <w:bottom w:w="0" w:type="dxa"/>
          <w:right w:w="108" w:type="dxa"/>
        </w:tblCellMar>
      </w:tblPr>
      <w:tblGrid>
        <w:gridCol w:w="3330"/>
        <w:gridCol w:w="580"/>
        <w:gridCol w:w="939"/>
        <w:gridCol w:w="3330"/>
        <w:gridCol w:w="580"/>
        <w:gridCol w:w="1430"/>
      </w:tblGrid>
      <w:tr>
        <w:tblPrEx>
          <w:tblCellMar>
            <w:top w:w="0" w:type="dxa"/>
            <w:left w:w="108" w:type="dxa"/>
            <w:bottom w:w="0" w:type="dxa"/>
            <w:right w:w="108" w:type="dxa"/>
          </w:tblCellMar>
        </w:tblPrEx>
        <w:trPr>
          <w:trHeight w:val="390" w:hRule="atLeast"/>
        </w:trPr>
        <w:tc>
          <w:tcPr>
            <w:tcW w:w="3330"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580"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880" w:type="dxa"/>
            <w:tcBorders>
              <w:top w:val="nil"/>
              <w:left w:val="nil"/>
              <w:bottom w:val="nil"/>
              <w:right w:val="nil"/>
            </w:tcBorders>
            <w:shd w:val="clear" w:color="auto" w:fill="auto"/>
            <w:noWrap/>
            <w:vAlign w:val="bottom"/>
          </w:tcPr>
          <w:p>
            <w:pPr>
              <w:jc w:val="center"/>
              <w:rPr>
                <w:rFonts w:ascii="宋体" w:hAnsi="宋体" w:eastAsia="宋体" w:cs="Arial"/>
                <w:color w:val="000000"/>
                <w:sz w:val="30"/>
                <w:szCs w:val="30"/>
              </w:rPr>
            </w:pPr>
            <w:r>
              <w:rPr>
                <w:rFonts w:hint="eastAsia" w:cs="Arial"/>
                <w:color w:val="000000"/>
                <w:sz w:val="30"/>
                <w:szCs w:val="30"/>
              </w:rPr>
              <w:t>收入支出决算总表</w:t>
            </w:r>
          </w:p>
        </w:tc>
        <w:tc>
          <w:tcPr>
            <w:tcW w:w="3330"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580"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430"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r>
      <w:tr>
        <w:tblPrEx>
          <w:tblCellMar>
            <w:top w:w="0" w:type="dxa"/>
            <w:left w:w="108" w:type="dxa"/>
            <w:bottom w:w="0" w:type="dxa"/>
            <w:right w:w="108" w:type="dxa"/>
          </w:tblCellMar>
        </w:tblPrEx>
        <w:trPr>
          <w:trHeight w:val="255" w:hRule="atLeast"/>
        </w:trPr>
        <w:tc>
          <w:tcPr>
            <w:tcW w:w="3330"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580"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880"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3330"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580"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430" w:type="dxa"/>
            <w:tcBorders>
              <w:top w:val="nil"/>
              <w:left w:val="nil"/>
              <w:bottom w:val="nil"/>
              <w:right w:val="nil"/>
            </w:tcBorders>
            <w:shd w:val="clear" w:color="auto" w:fill="auto"/>
            <w:noWrap/>
            <w:vAlign w:val="bottom"/>
          </w:tcPr>
          <w:p>
            <w:pPr>
              <w:jc w:val="right"/>
              <w:rPr>
                <w:rFonts w:ascii="宋体" w:hAnsi="宋体" w:eastAsia="宋体" w:cs="Arial"/>
                <w:color w:val="000000"/>
                <w:sz w:val="20"/>
                <w:szCs w:val="20"/>
              </w:rPr>
            </w:pPr>
            <w:r>
              <w:rPr>
                <w:rFonts w:hint="eastAsia" w:cs="Arial"/>
                <w:color w:val="000000"/>
                <w:sz w:val="20"/>
                <w:szCs w:val="20"/>
              </w:rPr>
              <w:t>公开01表</w:t>
            </w:r>
          </w:p>
        </w:tc>
      </w:tr>
      <w:tr>
        <w:tblPrEx>
          <w:tblCellMar>
            <w:top w:w="0" w:type="dxa"/>
            <w:left w:w="108" w:type="dxa"/>
            <w:bottom w:w="0" w:type="dxa"/>
            <w:right w:w="108" w:type="dxa"/>
          </w:tblCellMar>
        </w:tblPrEx>
        <w:trPr>
          <w:trHeight w:val="255" w:hRule="atLeast"/>
        </w:trPr>
        <w:tc>
          <w:tcPr>
            <w:tcW w:w="3910" w:type="dxa"/>
            <w:gridSpan w:val="2"/>
            <w:tcBorders>
              <w:top w:val="nil"/>
              <w:left w:val="nil"/>
              <w:bottom w:val="nil"/>
              <w:right w:val="nil"/>
            </w:tcBorders>
            <w:shd w:val="clear" w:color="auto" w:fill="auto"/>
            <w:noWrap/>
            <w:vAlign w:val="bottom"/>
          </w:tcPr>
          <w:p>
            <w:pPr>
              <w:rPr>
                <w:rFonts w:ascii="宋体" w:hAnsi="宋体" w:eastAsia="宋体" w:cs="Arial"/>
                <w:color w:val="000000"/>
                <w:sz w:val="20"/>
                <w:szCs w:val="20"/>
              </w:rPr>
            </w:pPr>
            <w:r>
              <w:rPr>
                <w:rFonts w:hint="eastAsia" w:cs="Arial"/>
                <w:color w:val="000000"/>
                <w:sz w:val="20"/>
                <w:szCs w:val="20"/>
              </w:rPr>
              <w:t>部门：保定市满城区人民政府总务</w:t>
            </w:r>
          </w:p>
        </w:tc>
        <w:tc>
          <w:tcPr>
            <w:tcW w:w="880"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3330"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580"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430" w:type="dxa"/>
            <w:tcBorders>
              <w:top w:val="nil"/>
              <w:left w:val="nil"/>
              <w:bottom w:val="nil"/>
              <w:right w:val="nil"/>
            </w:tcBorders>
            <w:shd w:val="clear" w:color="auto" w:fill="auto"/>
            <w:noWrap/>
            <w:vAlign w:val="bottom"/>
          </w:tcPr>
          <w:p>
            <w:pPr>
              <w:jc w:val="right"/>
              <w:rPr>
                <w:rFonts w:ascii="宋体" w:hAnsi="宋体" w:eastAsia="宋体" w:cs="Arial"/>
                <w:color w:val="000000"/>
                <w:sz w:val="20"/>
                <w:szCs w:val="20"/>
              </w:rPr>
            </w:pPr>
            <w:r>
              <w:rPr>
                <w:rFonts w:hint="eastAsia" w:cs="Arial"/>
                <w:color w:val="000000"/>
                <w:sz w:val="20"/>
                <w:szCs w:val="20"/>
              </w:rPr>
              <w:t>金额单位：万元</w:t>
            </w:r>
          </w:p>
        </w:tc>
      </w:tr>
      <w:tr>
        <w:tblPrEx>
          <w:tblCellMar>
            <w:top w:w="0" w:type="dxa"/>
            <w:left w:w="108" w:type="dxa"/>
            <w:bottom w:w="0" w:type="dxa"/>
            <w:right w:w="108" w:type="dxa"/>
          </w:tblCellMar>
        </w:tblPrEx>
        <w:trPr>
          <w:trHeight w:val="308" w:hRule="atLeast"/>
        </w:trPr>
        <w:tc>
          <w:tcPr>
            <w:tcW w:w="4790" w:type="dxa"/>
            <w:gridSpan w:val="3"/>
            <w:tcBorders>
              <w:top w:val="single" w:color="000000" w:sz="4" w:space="0"/>
              <w:left w:val="single" w:color="000000" w:sz="4" w:space="0"/>
              <w:bottom w:val="single" w:color="000000" w:sz="4" w:space="0"/>
              <w:right w:val="single" w:color="000000" w:sz="4" w:space="0"/>
            </w:tcBorders>
            <w:shd w:val="clear" w:color="FFFFFF" w:fill="auto"/>
            <w:noWrap/>
            <w:vAlign w:val="center"/>
          </w:tcPr>
          <w:p>
            <w:pPr>
              <w:jc w:val="center"/>
              <w:rPr>
                <w:rFonts w:ascii="宋体" w:hAnsi="宋体" w:eastAsia="宋体" w:cs="Arial"/>
                <w:color w:val="000000"/>
                <w:sz w:val="22"/>
              </w:rPr>
            </w:pPr>
            <w:r>
              <w:rPr>
                <w:rFonts w:hint="eastAsia" w:cs="Arial"/>
                <w:color w:val="000000"/>
                <w:sz w:val="22"/>
              </w:rPr>
              <w:t>收入</w:t>
            </w:r>
          </w:p>
        </w:tc>
        <w:tc>
          <w:tcPr>
            <w:tcW w:w="5340" w:type="dxa"/>
            <w:gridSpan w:val="3"/>
            <w:tcBorders>
              <w:top w:val="single" w:color="000000" w:sz="4" w:space="0"/>
              <w:left w:val="nil"/>
              <w:bottom w:val="single" w:color="000000" w:sz="4" w:space="0"/>
              <w:right w:val="single" w:color="000000" w:sz="4" w:space="0"/>
            </w:tcBorders>
            <w:shd w:val="clear" w:color="FFFFFF" w:fill="auto"/>
            <w:noWrap/>
            <w:vAlign w:val="center"/>
          </w:tcPr>
          <w:p>
            <w:pPr>
              <w:jc w:val="center"/>
              <w:rPr>
                <w:rFonts w:ascii="宋体" w:hAnsi="宋体" w:eastAsia="宋体" w:cs="Arial"/>
                <w:color w:val="000000"/>
                <w:sz w:val="22"/>
              </w:rPr>
            </w:pPr>
            <w:r>
              <w:rPr>
                <w:rFonts w:hint="eastAsia" w:cs="Arial"/>
                <w:color w:val="000000"/>
                <w:sz w:val="22"/>
              </w:rPr>
              <w:t>支出</w:t>
            </w: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FFFFFF" w:fill="auto"/>
            <w:noWrap/>
            <w:vAlign w:val="center"/>
          </w:tcPr>
          <w:p>
            <w:pPr>
              <w:jc w:val="center"/>
              <w:rPr>
                <w:rFonts w:ascii="宋体" w:hAnsi="宋体" w:eastAsia="宋体" w:cs="Arial"/>
                <w:color w:val="000000"/>
                <w:sz w:val="22"/>
              </w:rPr>
            </w:pPr>
            <w:r>
              <w:rPr>
                <w:rFonts w:hint="eastAsia" w:cs="Arial"/>
                <w:color w:val="000000"/>
                <w:sz w:val="22"/>
              </w:rPr>
              <w:t>项目</w:t>
            </w:r>
          </w:p>
        </w:tc>
        <w:tc>
          <w:tcPr>
            <w:tcW w:w="580" w:type="dxa"/>
            <w:tcBorders>
              <w:top w:val="nil"/>
              <w:left w:val="nil"/>
              <w:bottom w:val="single" w:color="000000" w:sz="4" w:space="0"/>
              <w:right w:val="single" w:color="000000" w:sz="4" w:space="0"/>
            </w:tcBorders>
            <w:shd w:val="clear" w:color="FFFFFF" w:fill="auto"/>
            <w:noWrap/>
            <w:vAlign w:val="center"/>
          </w:tcPr>
          <w:p>
            <w:pPr>
              <w:jc w:val="center"/>
              <w:rPr>
                <w:rFonts w:ascii="宋体" w:hAnsi="宋体" w:eastAsia="宋体" w:cs="Arial"/>
                <w:color w:val="000000"/>
                <w:sz w:val="22"/>
              </w:rPr>
            </w:pPr>
            <w:r>
              <w:rPr>
                <w:rFonts w:hint="eastAsia" w:cs="Arial"/>
                <w:color w:val="000000"/>
                <w:sz w:val="22"/>
              </w:rPr>
              <w:t>行次</w:t>
            </w:r>
          </w:p>
        </w:tc>
        <w:tc>
          <w:tcPr>
            <w:tcW w:w="880" w:type="dxa"/>
            <w:tcBorders>
              <w:top w:val="nil"/>
              <w:left w:val="nil"/>
              <w:bottom w:val="single" w:color="000000" w:sz="4" w:space="0"/>
              <w:right w:val="single" w:color="000000" w:sz="4" w:space="0"/>
            </w:tcBorders>
            <w:shd w:val="clear" w:color="FFFFFF" w:fill="auto"/>
            <w:noWrap/>
            <w:vAlign w:val="center"/>
          </w:tcPr>
          <w:p>
            <w:pPr>
              <w:jc w:val="center"/>
              <w:rPr>
                <w:rFonts w:ascii="宋体" w:hAnsi="宋体" w:eastAsia="宋体" w:cs="Arial"/>
                <w:color w:val="000000"/>
                <w:sz w:val="22"/>
              </w:rPr>
            </w:pPr>
            <w:r>
              <w:rPr>
                <w:rFonts w:hint="eastAsia" w:cs="Arial"/>
                <w:color w:val="000000"/>
                <w:sz w:val="22"/>
              </w:rPr>
              <w:t>金额</w:t>
            </w:r>
          </w:p>
        </w:tc>
        <w:tc>
          <w:tcPr>
            <w:tcW w:w="3330" w:type="dxa"/>
            <w:tcBorders>
              <w:top w:val="nil"/>
              <w:left w:val="nil"/>
              <w:bottom w:val="single" w:color="000000" w:sz="4" w:space="0"/>
              <w:right w:val="single" w:color="000000" w:sz="4" w:space="0"/>
            </w:tcBorders>
            <w:shd w:val="clear" w:color="FFFFFF" w:fill="auto"/>
            <w:noWrap/>
            <w:vAlign w:val="center"/>
          </w:tcPr>
          <w:p>
            <w:pPr>
              <w:jc w:val="center"/>
              <w:rPr>
                <w:rFonts w:ascii="宋体" w:hAnsi="宋体" w:eastAsia="宋体" w:cs="Arial"/>
                <w:color w:val="000000"/>
                <w:sz w:val="22"/>
              </w:rPr>
            </w:pPr>
            <w:r>
              <w:rPr>
                <w:rFonts w:hint="eastAsia" w:cs="Arial"/>
                <w:color w:val="000000"/>
                <w:sz w:val="22"/>
              </w:rPr>
              <w:t>项目</w:t>
            </w:r>
          </w:p>
        </w:tc>
        <w:tc>
          <w:tcPr>
            <w:tcW w:w="580" w:type="dxa"/>
            <w:tcBorders>
              <w:top w:val="nil"/>
              <w:left w:val="nil"/>
              <w:bottom w:val="single" w:color="000000" w:sz="4" w:space="0"/>
              <w:right w:val="single" w:color="000000" w:sz="4" w:space="0"/>
            </w:tcBorders>
            <w:shd w:val="clear" w:color="FFFFFF" w:fill="auto"/>
            <w:noWrap/>
            <w:vAlign w:val="center"/>
          </w:tcPr>
          <w:p>
            <w:pPr>
              <w:jc w:val="center"/>
              <w:rPr>
                <w:rFonts w:ascii="宋体" w:hAnsi="宋体" w:eastAsia="宋体" w:cs="Arial"/>
                <w:color w:val="000000"/>
                <w:sz w:val="22"/>
              </w:rPr>
            </w:pPr>
            <w:r>
              <w:rPr>
                <w:rFonts w:hint="eastAsia" w:cs="Arial"/>
                <w:color w:val="000000"/>
                <w:sz w:val="22"/>
              </w:rPr>
              <w:t>行次</w:t>
            </w:r>
          </w:p>
        </w:tc>
        <w:tc>
          <w:tcPr>
            <w:tcW w:w="1430" w:type="dxa"/>
            <w:tcBorders>
              <w:top w:val="nil"/>
              <w:left w:val="nil"/>
              <w:bottom w:val="single" w:color="000000" w:sz="4" w:space="0"/>
              <w:right w:val="single" w:color="000000" w:sz="4" w:space="0"/>
            </w:tcBorders>
            <w:shd w:val="clear" w:color="FFFFFF" w:fill="auto"/>
            <w:noWrap/>
            <w:vAlign w:val="center"/>
          </w:tcPr>
          <w:p>
            <w:pPr>
              <w:jc w:val="center"/>
              <w:rPr>
                <w:rFonts w:ascii="宋体" w:hAnsi="宋体" w:eastAsia="宋体" w:cs="Arial"/>
                <w:color w:val="000000"/>
                <w:sz w:val="22"/>
              </w:rPr>
            </w:pPr>
            <w:r>
              <w:rPr>
                <w:rFonts w:hint="eastAsia" w:cs="Arial"/>
                <w:color w:val="000000"/>
                <w:sz w:val="22"/>
              </w:rPr>
              <w:t>金额</w:t>
            </w: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栏次</w:t>
            </w:r>
          </w:p>
        </w:tc>
        <w:tc>
          <w:tcPr>
            <w:tcW w:w="58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　</w:t>
            </w:r>
          </w:p>
        </w:tc>
        <w:tc>
          <w:tcPr>
            <w:tcW w:w="880" w:type="dxa"/>
            <w:tcBorders>
              <w:top w:val="nil"/>
              <w:left w:val="nil"/>
              <w:bottom w:val="nil"/>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w:t>
            </w:r>
          </w:p>
        </w:tc>
        <w:tc>
          <w:tcPr>
            <w:tcW w:w="333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栏次</w:t>
            </w:r>
          </w:p>
        </w:tc>
        <w:tc>
          <w:tcPr>
            <w:tcW w:w="58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　</w:t>
            </w:r>
          </w:p>
        </w:tc>
        <w:tc>
          <w:tcPr>
            <w:tcW w:w="1430" w:type="dxa"/>
            <w:tcBorders>
              <w:top w:val="nil"/>
              <w:left w:val="nil"/>
              <w:bottom w:val="nil"/>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w:t>
            </w: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一、一般公共预算财政拨款收入</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w:t>
            </w:r>
          </w:p>
        </w:tc>
        <w:tc>
          <w:tcPr>
            <w:tcW w:w="880"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r>
              <w:rPr>
                <w:rFonts w:ascii="Arial" w:hAnsi="Arial" w:cs="Arial"/>
                <w:color w:val="000000"/>
                <w:sz w:val="20"/>
                <w:szCs w:val="20"/>
              </w:rPr>
              <w:t xml:space="preserve">3221.12 </w:t>
            </w: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一、一般公共服务支出</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29</w:t>
            </w:r>
          </w:p>
        </w:tc>
        <w:tc>
          <w:tcPr>
            <w:tcW w:w="1430"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r>
              <w:rPr>
                <w:rFonts w:ascii="Arial" w:hAnsi="Arial" w:cs="Arial"/>
                <w:color w:val="000000"/>
                <w:sz w:val="20"/>
                <w:szCs w:val="20"/>
              </w:rPr>
              <w:t xml:space="preserve">2788.66 </w:t>
            </w: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二、政府性基金预算财政拨款收入</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r>
              <w:rPr>
                <w:rFonts w:ascii="Arial" w:hAnsi="Arial" w:cs="Arial"/>
                <w:color w:val="000000"/>
                <w:sz w:val="20"/>
                <w:szCs w:val="20"/>
              </w:rPr>
              <w:t xml:space="preserve">1404.88 </w:t>
            </w: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二、外交支出</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30</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三、上级补助收入</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三、国防支出</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31</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四、事业收入</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四、公共安全支出</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32</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五、经营收入</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五、教育支出</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33</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六、附属单位上缴收入</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6</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六、科学技术支出</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34</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七、其他收入</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7</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七、文化旅游体育与传媒支出</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35</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8</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eastAsia="宋体" w:cs="Arial"/>
                <w:color w:val="000000"/>
                <w:sz w:val="20"/>
                <w:szCs w:val="20"/>
              </w:rPr>
            </w:pPr>
            <w:r>
              <w:rPr>
                <w:rFonts w:ascii="Arial" w:hAnsi="Arial" w:cs="Arial"/>
                <w:color w:val="000000"/>
                <w:sz w:val="20"/>
                <w:szCs w:val="20"/>
              </w:rPr>
              <w:t>　</w:t>
            </w: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八、社会保障和就业支出</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36</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r>
              <w:rPr>
                <w:rFonts w:ascii="Arial" w:hAnsi="Arial" w:cs="Arial"/>
                <w:color w:val="000000"/>
                <w:sz w:val="20"/>
                <w:szCs w:val="20"/>
              </w:rPr>
              <w:t xml:space="preserve">243.05 </w:t>
            </w: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9</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eastAsia="宋体" w:cs="Arial"/>
                <w:color w:val="000000"/>
                <w:sz w:val="20"/>
                <w:szCs w:val="20"/>
              </w:rPr>
            </w:pPr>
            <w:r>
              <w:rPr>
                <w:rFonts w:ascii="Arial" w:hAnsi="Arial" w:cs="Arial"/>
                <w:color w:val="000000"/>
                <w:sz w:val="20"/>
                <w:szCs w:val="20"/>
              </w:rPr>
              <w:t>　</w:t>
            </w: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九、卫生健康支出</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37</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r>
              <w:rPr>
                <w:rFonts w:ascii="Arial" w:hAnsi="Arial" w:cs="Arial"/>
                <w:color w:val="000000"/>
                <w:sz w:val="20"/>
                <w:szCs w:val="20"/>
              </w:rPr>
              <w:t xml:space="preserve">58.93 </w:t>
            </w: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10</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eastAsia="宋体" w:cs="Arial"/>
                <w:color w:val="000000"/>
                <w:sz w:val="20"/>
                <w:szCs w:val="20"/>
              </w:rPr>
            </w:pPr>
            <w:r>
              <w:rPr>
                <w:rFonts w:ascii="Arial" w:hAnsi="Arial" w:cs="Arial"/>
                <w:color w:val="000000"/>
                <w:sz w:val="20"/>
                <w:szCs w:val="20"/>
              </w:rPr>
              <w:t>　</w:t>
            </w: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十、节能环保支出</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38</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r>
              <w:rPr>
                <w:rFonts w:ascii="Arial" w:hAnsi="Arial" w:cs="Arial"/>
                <w:color w:val="000000"/>
                <w:sz w:val="20"/>
                <w:szCs w:val="20"/>
              </w:rPr>
              <w:t xml:space="preserve">46.75 </w:t>
            </w: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11</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eastAsia="宋体" w:cs="Arial"/>
                <w:color w:val="000000"/>
                <w:sz w:val="20"/>
                <w:szCs w:val="20"/>
              </w:rPr>
            </w:pPr>
            <w:r>
              <w:rPr>
                <w:rFonts w:ascii="Arial" w:hAnsi="Arial" w:cs="Arial"/>
                <w:color w:val="000000"/>
                <w:sz w:val="20"/>
                <w:szCs w:val="20"/>
              </w:rPr>
              <w:t>　</w:t>
            </w: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十一、城乡社区支出</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39</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r>
              <w:rPr>
                <w:rFonts w:ascii="Arial" w:hAnsi="Arial" w:cs="Arial"/>
                <w:color w:val="000000"/>
                <w:sz w:val="20"/>
                <w:szCs w:val="20"/>
              </w:rPr>
              <w:t xml:space="preserve">1404.88 </w:t>
            </w: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12</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eastAsia="宋体" w:cs="Arial"/>
                <w:color w:val="000000"/>
                <w:sz w:val="20"/>
                <w:szCs w:val="20"/>
              </w:rPr>
            </w:pPr>
            <w:r>
              <w:rPr>
                <w:rFonts w:ascii="Arial" w:hAnsi="Arial" w:cs="Arial"/>
                <w:color w:val="000000"/>
                <w:sz w:val="20"/>
                <w:szCs w:val="20"/>
              </w:rPr>
              <w:t>　</w:t>
            </w: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十二、农林水支出</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40</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13</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eastAsia="宋体" w:cs="Arial"/>
                <w:color w:val="000000"/>
                <w:sz w:val="20"/>
                <w:szCs w:val="20"/>
              </w:rPr>
            </w:pPr>
            <w:r>
              <w:rPr>
                <w:rFonts w:ascii="Arial" w:hAnsi="Arial" w:cs="Arial"/>
                <w:color w:val="000000"/>
                <w:sz w:val="20"/>
                <w:szCs w:val="20"/>
              </w:rPr>
              <w:t>　</w:t>
            </w: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十三、交通运输支出</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41</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14</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eastAsia="宋体" w:cs="Arial"/>
                <w:color w:val="000000"/>
                <w:sz w:val="20"/>
                <w:szCs w:val="20"/>
              </w:rPr>
            </w:pPr>
            <w:r>
              <w:rPr>
                <w:rFonts w:ascii="Arial" w:hAnsi="Arial" w:cs="Arial"/>
                <w:color w:val="000000"/>
                <w:sz w:val="20"/>
                <w:szCs w:val="20"/>
              </w:rPr>
              <w:t>　</w:t>
            </w: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十四、资源勘探信息等支出</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42</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15</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eastAsia="宋体" w:cs="Arial"/>
                <w:color w:val="000000"/>
                <w:sz w:val="20"/>
                <w:szCs w:val="20"/>
              </w:rPr>
            </w:pPr>
            <w:r>
              <w:rPr>
                <w:rFonts w:ascii="Arial" w:hAnsi="Arial" w:cs="Arial"/>
                <w:color w:val="000000"/>
                <w:sz w:val="20"/>
                <w:szCs w:val="20"/>
              </w:rPr>
              <w:t>　</w:t>
            </w: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十五、商业服务业等支出</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43</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16</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eastAsia="宋体" w:cs="Arial"/>
                <w:color w:val="000000"/>
                <w:sz w:val="20"/>
                <w:szCs w:val="20"/>
              </w:rPr>
            </w:pPr>
            <w:r>
              <w:rPr>
                <w:rFonts w:ascii="Arial" w:hAnsi="Arial" w:cs="Arial"/>
                <w:color w:val="000000"/>
                <w:sz w:val="20"/>
                <w:szCs w:val="20"/>
              </w:rPr>
              <w:t>　</w:t>
            </w: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十六、金融支出</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44</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17</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eastAsia="宋体" w:cs="Arial"/>
                <w:color w:val="000000"/>
                <w:sz w:val="20"/>
                <w:szCs w:val="20"/>
              </w:rPr>
            </w:pPr>
            <w:r>
              <w:rPr>
                <w:rFonts w:ascii="Arial" w:hAnsi="Arial" w:cs="Arial"/>
                <w:color w:val="000000"/>
                <w:sz w:val="20"/>
                <w:szCs w:val="20"/>
              </w:rPr>
              <w:t>　</w:t>
            </w: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十七、援助其他地区支出</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45</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18</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eastAsia="宋体" w:cs="Arial"/>
                <w:color w:val="000000"/>
                <w:sz w:val="20"/>
                <w:szCs w:val="20"/>
              </w:rPr>
            </w:pPr>
            <w:r>
              <w:rPr>
                <w:rFonts w:ascii="Arial" w:hAnsi="Arial" w:cs="Arial"/>
                <w:color w:val="000000"/>
                <w:sz w:val="20"/>
                <w:szCs w:val="20"/>
              </w:rPr>
              <w:t>　</w:t>
            </w: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十八、自然资源海洋气象等支出</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46</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19</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eastAsia="宋体" w:cs="Arial"/>
                <w:color w:val="000000"/>
                <w:sz w:val="20"/>
                <w:szCs w:val="20"/>
              </w:rPr>
            </w:pPr>
            <w:r>
              <w:rPr>
                <w:rFonts w:ascii="Arial" w:hAnsi="Arial" w:cs="Arial"/>
                <w:color w:val="000000"/>
                <w:sz w:val="20"/>
                <w:szCs w:val="20"/>
              </w:rPr>
              <w:t>　</w:t>
            </w: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十九、住房保障支出</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47</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r>
              <w:rPr>
                <w:rFonts w:ascii="Arial" w:hAnsi="Arial" w:cs="Arial"/>
                <w:color w:val="000000"/>
                <w:sz w:val="20"/>
                <w:szCs w:val="20"/>
              </w:rPr>
              <w:t xml:space="preserve">83.73 </w:t>
            </w: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20</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eastAsia="宋体" w:cs="Arial"/>
                <w:color w:val="000000"/>
                <w:sz w:val="20"/>
                <w:szCs w:val="20"/>
              </w:rPr>
            </w:pPr>
            <w:r>
              <w:rPr>
                <w:rFonts w:ascii="Arial" w:hAnsi="Arial" w:cs="Arial"/>
                <w:color w:val="000000"/>
                <w:sz w:val="20"/>
                <w:szCs w:val="20"/>
              </w:rPr>
              <w:t>　</w:t>
            </w: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二十、粮油物资储备支出</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48</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r>
              <w:rPr>
                <w:rFonts w:ascii="Arial" w:hAnsi="Arial" w:cs="Arial"/>
                <w:color w:val="000000"/>
                <w:sz w:val="20"/>
                <w:szCs w:val="20"/>
              </w:rPr>
              <w:t xml:space="preserve"> </w:t>
            </w:r>
          </w:p>
        </w:tc>
      </w:tr>
      <w:tr>
        <w:tblPrEx>
          <w:tblCellMar>
            <w:top w:w="0" w:type="dxa"/>
            <w:left w:w="108" w:type="dxa"/>
            <w:bottom w:w="0" w:type="dxa"/>
            <w:right w:w="108" w:type="dxa"/>
          </w:tblCellMar>
        </w:tblPrEx>
        <w:trPr>
          <w:trHeight w:val="835"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21</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eastAsia="宋体" w:cs="Arial"/>
                <w:color w:val="000000"/>
                <w:sz w:val="20"/>
                <w:szCs w:val="20"/>
              </w:rPr>
            </w:pPr>
            <w:r>
              <w:rPr>
                <w:rFonts w:ascii="Arial" w:hAnsi="Arial" w:cs="Arial"/>
                <w:color w:val="000000"/>
                <w:sz w:val="20"/>
                <w:szCs w:val="20"/>
              </w:rPr>
              <w:t>　</w:t>
            </w: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二十一、灾害防治及应急管理支出</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49</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r>
              <w:rPr>
                <w:rFonts w:ascii="Arial" w:hAnsi="Arial" w:cs="Arial"/>
                <w:color w:val="000000"/>
                <w:sz w:val="20"/>
                <w:szCs w:val="20"/>
              </w:rPr>
              <w:t xml:space="preserve"> </w:t>
            </w: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22</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eastAsia="宋体" w:cs="Arial"/>
                <w:color w:val="000000"/>
                <w:sz w:val="20"/>
                <w:szCs w:val="20"/>
              </w:rPr>
            </w:pPr>
            <w:r>
              <w:rPr>
                <w:rFonts w:ascii="Arial" w:hAnsi="Arial" w:cs="Arial"/>
                <w:color w:val="000000"/>
                <w:sz w:val="20"/>
                <w:szCs w:val="20"/>
              </w:rPr>
              <w:t>　</w:t>
            </w: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二十二、其他支出</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50</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23</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eastAsia="宋体" w:cs="Arial"/>
                <w:color w:val="000000"/>
                <w:sz w:val="20"/>
                <w:szCs w:val="20"/>
              </w:rPr>
            </w:pPr>
            <w:r>
              <w:rPr>
                <w:rFonts w:ascii="Arial" w:hAnsi="Arial" w:cs="Arial"/>
                <w:color w:val="000000"/>
                <w:sz w:val="20"/>
                <w:szCs w:val="20"/>
              </w:rPr>
              <w:t>　</w:t>
            </w: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二十四、债务付息支出</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51</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Arial"/>
                <w:b/>
                <w:bCs/>
                <w:color w:val="000000"/>
                <w:sz w:val="22"/>
              </w:rPr>
            </w:pPr>
            <w:r>
              <w:rPr>
                <w:rFonts w:hint="eastAsia" w:cs="Arial"/>
                <w:b/>
                <w:bCs/>
                <w:color w:val="000000"/>
                <w:sz w:val="22"/>
              </w:rPr>
              <w:t>本年收入合计</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24</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r>
              <w:rPr>
                <w:rFonts w:ascii="Arial" w:hAnsi="Arial" w:cs="Arial"/>
                <w:color w:val="000000"/>
                <w:sz w:val="20"/>
                <w:szCs w:val="20"/>
              </w:rPr>
              <w:t xml:space="preserve">4626.00 </w:t>
            </w:r>
          </w:p>
        </w:tc>
        <w:tc>
          <w:tcPr>
            <w:tcW w:w="333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b/>
                <w:bCs/>
                <w:color w:val="000000"/>
                <w:sz w:val="22"/>
              </w:rPr>
            </w:pPr>
            <w:r>
              <w:rPr>
                <w:rFonts w:hint="eastAsia" w:cs="Arial"/>
                <w:b/>
                <w:bCs/>
                <w:color w:val="000000"/>
                <w:sz w:val="22"/>
              </w:rPr>
              <w:t>本年支出合计</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52</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r>
              <w:rPr>
                <w:rFonts w:ascii="Arial" w:hAnsi="Arial" w:cs="Arial"/>
                <w:color w:val="000000"/>
                <w:sz w:val="20"/>
                <w:szCs w:val="20"/>
              </w:rPr>
              <w:t xml:space="preserve">4626.00 </w:t>
            </w: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用事业基金弥补收支差额</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25</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结余分配</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53</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年初结转和结余</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26</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年末结转和结余</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54</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27</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eastAsia="宋体" w:cs="Arial"/>
                <w:color w:val="000000"/>
                <w:sz w:val="20"/>
                <w:szCs w:val="20"/>
              </w:rPr>
            </w:pPr>
            <w:r>
              <w:rPr>
                <w:rFonts w:ascii="Arial" w:hAnsi="Arial" w:cs="Arial"/>
                <w:color w:val="000000"/>
                <w:sz w:val="20"/>
                <w:szCs w:val="20"/>
              </w:rPr>
              <w:t>　</w:t>
            </w:r>
          </w:p>
        </w:tc>
        <w:tc>
          <w:tcPr>
            <w:tcW w:w="333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55</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rPr>
                <w:rFonts w:ascii="Arial" w:hAnsi="Arial" w:eastAsia="宋体" w:cs="Arial"/>
                <w:color w:val="000000"/>
                <w:sz w:val="20"/>
                <w:szCs w:val="20"/>
              </w:rPr>
            </w:pPr>
            <w:r>
              <w:rPr>
                <w:rFonts w:ascii="Arial" w:hAnsi="Arial" w:cs="Arial"/>
                <w:color w:val="000000"/>
                <w:sz w:val="20"/>
                <w:szCs w:val="20"/>
              </w:rPr>
              <w:t>　</w:t>
            </w:r>
          </w:p>
        </w:tc>
      </w:tr>
      <w:tr>
        <w:tblPrEx>
          <w:tblCellMar>
            <w:top w:w="0" w:type="dxa"/>
            <w:left w:w="108" w:type="dxa"/>
            <w:bottom w:w="0" w:type="dxa"/>
            <w:right w:w="108" w:type="dxa"/>
          </w:tblCellMar>
        </w:tblPrEx>
        <w:trPr>
          <w:trHeight w:val="308" w:hRule="atLeast"/>
        </w:trPr>
        <w:tc>
          <w:tcPr>
            <w:tcW w:w="3330"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Arial"/>
                <w:b/>
                <w:bCs/>
                <w:color w:val="000000"/>
                <w:sz w:val="22"/>
              </w:rPr>
            </w:pPr>
            <w:r>
              <w:rPr>
                <w:rFonts w:hint="eastAsia" w:cs="Arial"/>
                <w:b/>
                <w:bCs/>
                <w:color w:val="000000"/>
                <w:sz w:val="22"/>
              </w:rPr>
              <w:t>总计</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28</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r>
              <w:rPr>
                <w:rFonts w:ascii="Arial" w:hAnsi="Arial" w:cs="Arial"/>
                <w:color w:val="000000"/>
                <w:sz w:val="20"/>
                <w:szCs w:val="20"/>
              </w:rPr>
              <w:t xml:space="preserve">4626.00 </w:t>
            </w:r>
          </w:p>
        </w:tc>
        <w:tc>
          <w:tcPr>
            <w:tcW w:w="333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b/>
                <w:bCs/>
                <w:color w:val="000000"/>
                <w:sz w:val="22"/>
              </w:rPr>
            </w:pPr>
            <w:r>
              <w:rPr>
                <w:rFonts w:hint="eastAsia" w:cs="Arial"/>
                <w:b/>
                <w:bCs/>
                <w:color w:val="000000"/>
                <w:sz w:val="22"/>
              </w:rPr>
              <w:t>总计</w:t>
            </w:r>
          </w:p>
        </w:tc>
        <w:tc>
          <w:tcPr>
            <w:tcW w:w="580" w:type="dxa"/>
            <w:tcBorders>
              <w:top w:val="nil"/>
              <w:left w:val="nil"/>
              <w:bottom w:val="single" w:color="000000" w:sz="4" w:space="0"/>
              <w:right w:val="nil"/>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56</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jc w:val="right"/>
              <w:rPr>
                <w:rFonts w:ascii="Arial" w:hAnsi="Arial" w:eastAsia="宋体" w:cs="Arial"/>
                <w:color w:val="000000"/>
                <w:sz w:val="20"/>
                <w:szCs w:val="20"/>
              </w:rPr>
            </w:pPr>
            <w:r>
              <w:rPr>
                <w:rFonts w:ascii="Arial" w:hAnsi="Arial" w:cs="Arial"/>
                <w:color w:val="000000"/>
                <w:sz w:val="20"/>
                <w:szCs w:val="20"/>
              </w:rPr>
              <w:t xml:space="preserve">4626.00 </w:t>
            </w:r>
          </w:p>
        </w:tc>
      </w:tr>
      <w:tr>
        <w:tblPrEx>
          <w:tblCellMar>
            <w:top w:w="0" w:type="dxa"/>
            <w:left w:w="108" w:type="dxa"/>
            <w:bottom w:w="0" w:type="dxa"/>
            <w:right w:w="108" w:type="dxa"/>
          </w:tblCellMar>
        </w:tblPrEx>
        <w:trPr>
          <w:trHeight w:val="308" w:hRule="atLeast"/>
        </w:trPr>
        <w:tc>
          <w:tcPr>
            <w:tcW w:w="10130" w:type="dxa"/>
            <w:gridSpan w:val="6"/>
            <w:tcBorders>
              <w:top w:val="nil"/>
              <w:left w:val="nil"/>
              <w:bottom w:val="nil"/>
              <w:right w:val="nil"/>
            </w:tcBorders>
            <w:shd w:val="clear" w:color="auto" w:fill="auto"/>
            <w:noWrap/>
            <w:vAlign w:val="center"/>
          </w:tcPr>
          <w:p>
            <w:pPr>
              <w:rPr>
                <w:rFonts w:ascii="宋体" w:hAnsi="宋体" w:eastAsia="宋体" w:cs="Arial"/>
                <w:color w:val="000000"/>
                <w:sz w:val="22"/>
              </w:rPr>
            </w:pPr>
            <w:r>
              <w:rPr>
                <w:rFonts w:hint="eastAsia" w:cs="Arial"/>
                <w:color w:val="000000"/>
                <w:sz w:val="22"/>
              </w:rPr>
              <w:t>注：本表反映部门本年度的总收支和年末结转结余情况。</w:t>
            </w:r>
          </w:p>
        </w:tc>
      </w:tr>
    </w:tbl>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4859"/>
      </w:tblGrid>
      <w:tr>
        <w:tblPrEx>
          <w:tblCellMar>
            <w:top w:w="0" w:type="dxa"/>
            <w:left w:w="0" w:type="dxa"/>
            <w:bottom w:w="0" w:type="dxa"/>
            <w:right w:w="0" w:type="dxa"/>
          </w:tblCellMar>
        </w:tblPrEx>
        <w:trPr>
          <w:trHeight w:val="489" w:hRule="atLeast"/>
          <w:jc w:val="center"/>
        </w:trPr>
        <w:tc>
          <w:tcPr>
            <w:tcW w:w="9517" w:type="dxa"/>
            <w:gridSpan w:val="4"/>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bl>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tbl>
      <w:tblPr>
        <w:tblStyle w:val="6"/>
        <w:tblW w:w="8336" w:type="dxa"/>
        <w:tblInd w:w="93" w:type="dxa"/>
        <w:tblLayout w:type="autofit"/>
        <w:tblCellMar>
          <w:top w:w="0" w:type="dxa"/>
          <w:left w:w="108" w:type="dxa"/>
          <w:bottom w:w="0" w:type="dxa"/>
          <w:right w:w="108" w:type="dxa"/>
        </w:tblCellMar>
      </w:tblPr>
      <w:tblGrid>
        <w:gridCol w:w="329"/>
        <w:gridCol w:w="328"/>
        <w:gridCol w:w="329"/>
        <w:gridCol w:w="1748"/>
        <w:gridCol w:w="939"/>
        <w:gridCol w:w="939"/>
        <w:gridCol w:w="745"/>
        <w:gridCol w:w="559"/>
        <w:gridCol w:w="578"/>
        <w:gridCol w:w="764"/>
        <w:gridCol w:w="1330"/>
      </w:tblGrid>
      <w:tr>
        <w:tblPrEx>
          <w:tblCellMar>
            <w:top w:w="0" w:type="dxa"/>
            <w:left w:w="108" w:type="dxa"/>
            <w:bottom w:w="0" w:type="dxa"/>
            <w:right w:w="108" w:type="dxa"/>
          </w:tblCellMar>
        </w:tblPrEx>
        <w:trPr>
          <w:trHeight w:val="390" w:hRule="atLeast"/>
        </w:trPr>
        <w:tc>
          <w:tcPr>
            <w:tcW w:w="31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18"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18"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748"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38"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1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45"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收入决算表</w:t>
            </w:r>
          </w:p>
        </w:tc>
        <w:tc>
          <w:tcPr>
            <w:tcW w:w="55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578"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6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3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255" w:hRule="atLeast"/>
        </w:trPr>
        <w:tc>
          <w:tcPr>
            <w:tcW w:w="31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18"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18"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748"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38"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1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4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55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578"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6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3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公开02表</w:t>
            </w:r>
          </w:p>
        </w:tc>
      </w:tr>
      <w:tr>
        <w:tblPrEx>
          <w:tblCellMar>
            <w:top w:w="0" w:type="dxa"/>
            <w:left w:w="108" w:type="dxa"/>
            <w:bottom w:w="0" w:type="dxa"/>
            <w:right w:w="108" w:type="dxa"/>
          </w:tblCellMar>
        </w:tblPrEx>
        <w:trPr>
          <w:trHeight w:val="255" w:hRule="atLeast"/>
        </w:trPr>
        <w:tc>
          <w:tcPr>
            <w:tcW w:w="3541" w:type="dxa"/>
            <w:gridSpan w:val="5"/>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部门：保定市满城区人民政府总务</w:t>
            </w:r>
          </w:p>
        </w:tc>
        <w:tc>
          <w:tcPr>
            <w:tcW w:w="81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4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55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578"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6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3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270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83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819"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财政拨款收入</w:t>
            </w:r>
          </w:p>
        </w:tc>
        <w:tc>
          <w:tcPr>
            <w:tcW w:w="745"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上级补助收入</w:t>
            </w:r>
          </w:p>
        </w:tc>
        <w:tc>
          <w:tcPr>
            <w:tcW w:w="559"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事业收入</w:t>
            </w:r>
          </w:p>
        </w:tc>
        <w:tc>
          <w:tcPr>
            <w:tcW w:w="57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经营收入</w:t>
            </w:r>
          </w:p>
        </w:tc>
        <w:tc>
          <w:tcPr>
            <w:tcW w:w="764"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附属单位上缴收入</w:t>
            </w:r>
          </w:p>
        </w:tc>
        <w:tc>
          <w:tcPr>
            <w:tcW w:w="133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其他收入</w:t>
            </w:r>
          </w:p>
        </w:tc>
      </w:tr>
      <w:tr>
        <w:tblPrEx>
          <w:tblCellMar>
            <w:top w:w="0" w:type="dxa"/>
            <w:left w:w="108" w:type="dxa"/>
            <w:bottom w:w="0" w:type="dxa"/>
            <w:right w:w="108" w:type="dxa"/>
          </w:tblCellMar>
        </w:tblPrEx>
        <w:trPr>
          <w:trHeight w:val="312" w:hRule="atLeast"/>
        </w:trPr>
        <w:tc>
          <w:tcPr>
            <w:tcW w:w="955"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1748"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83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819"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45"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559"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57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64"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33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955"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74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83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819"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45"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559"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57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64"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33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955"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74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83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819"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45"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559"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57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64"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33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2703"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838" w:type="dxa"/>
            <w:tcBorders>
              <w:top w:val="nil"/>
              <w:left w:val="nil"/>
              <w:bottom w:val="nil"/>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819" w:type="dxa"/>
            <w:tcBorders>
              <w:top w:val="nil"/>
              <w:left w:val="nil"/>
              <w:bottom w:val="nil"/>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7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133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r>
      <w:tr>
        <w:tblPrEx>
          <w:tblCellMar>
            <w:top w:w="0" w:type="dxa"/>
            <w:left w:w="108" w:type="dxa"/>
            <w:bottom w:w="0" w:type="dxa"/>
            <w:right w:w="108" w:type="dxa"/>
          </w:tblCellMar>
        </w:tblPrEx>
        <w:trPr>
          <w:trHeight w:val="308" w:hRule="atLeast"/>
        </w:trPr>
        <w:tc>
          <w:tcPr>
            <w:tcW w:w="2703"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83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4626.00 </w:t>
            </w:r>
          </w:p>
        </w:tc>
        <w:tc>
          <w:tcPr>
            <w:tcW w:w="819"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4626.00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一般公共服务支出</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2788.66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2788.66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政府办公厅（室）及相关机构事务</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2707.66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2707.66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2010301</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1880.81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1880.81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2010302</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一般行政管理事务</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497.07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497.07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2010308</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信访事务</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5.00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5.00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2010399</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其他政府办公厅（室）及相关机构事务支出</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324.77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324.77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20126</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档案事务</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5.00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5.00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2012604</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档案馆</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5.00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5.00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20199</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其他一般公共服务支出</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76.00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76.00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2019999</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其他一般公共服务支出</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76.00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76.00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243.05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243.05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行政事业单位离退休</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243.05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243.05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2080501</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归口管理的行政单位离退休</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33.66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33.66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2080502</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事业单位离退休</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0.02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0.02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184.59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184.59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2080506</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机关事业单位职业年金缴费支出</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24.78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24.78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58.93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58.93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58.93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58.93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2101101</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行政单位医疗</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45.62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45.62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2101102</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事业单位医疗</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13.31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13.31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节能环保支出</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46.75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46.75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21103</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污染防治</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46.75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46.75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2110301</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大气</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46.75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46.75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212</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城乡社区支出</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1404.88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1404.88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81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21208</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国有土地使用权出让收入及对应专项债务收入安排的支出</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1404.88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1404.88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2120802</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土地开发支出</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164.12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164.12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2120804</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农村基础设施建设支出</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1240.76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1240.76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83.73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83.73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83.73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83.73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1748"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838"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83.73 </w:t>
            </w: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83.73 </w:t>
            </w:r>
          </w:p>
        </w:tc>
        <w:tc>
          <w:tcPr>
            <w:tcW w:w="74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336" w:type="dxa"/>
            <w:gridSpan w:val="11"/>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注：本表反映部门本年度取得的各项收入情况。</w:t>
            </w:r>
          </w:p>
        </w:tc>
      </w:tr>
    </w:tbl>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tbl>
      <w:tblPr>
        <w:tblStyle w:val="6"/>
        <w:tblW w:w="8336" w:type="dxa"/>
        <w:tblInd w:w="93" w:type="dxa"/>
        <w:tblLayout w:type="autofit"/>
        <w:tblCellMar>
          <w:top w:w="0" w:type="dxa"/>
          <w:left w:w="108" w:type="dxa"/>
          <w:bottom w:w="0" w:type="dxa"/>
          <w:right w:w="108" w:type="dxa"/>
        </w:tblCellMar>
      </w:tblPr>
      <w:tblGrid>
        <w:gridCol w:w="329"/>
        <w:gridCol w:w="328"/>
        <w:gridCol w:w="329"/>
        <w:gridCol w:w="2032"/>
        <w:gridCol w:w="1026"/>
        <w:gridCol w:w="939"/>
        <w:gridCol w:w="939"/>
        <w:gridCol w:w="685"/>
        <w:gridCol w:w="571"/>
        <w:gridCol w:w="1358"/>
      </w:tblGrid>
      <w:tr>
        <w:tblPrEx>
          <w:tblCellMar>
            <w:top w:w="0" w:type="dxa"/>
            <w:left w:w="108" w:type="dxa"/>
            <w:bottom w:w="0" w:type="dxa"/>
            <w:right w:w="108" w:type="dxa"/>
          </w:tblCellMar>
        </w:tblPrEx>
        <w:trPr>
          <w:trHeight w:val="390" w:hRule="atLeast"/>
        </w:trPr>
        <w:tc>
          <w:tcPr>
            <w:tcW w:w="32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2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2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03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2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36"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支出决算表</w:t>
            </w:r>
          </w:p>
        </w:tc>
        <w:tc>
          <w:tcPr>
            <w:tcW w:w="85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8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571"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58"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255" w:hRule="atLeast"/>
        </w:trPr>
        <w:tc>
          <w:tcPr>
            <w:tcW w:w="32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2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2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03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2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5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8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571"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58"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公开03表</w:t>
            </w:r>
          </w:p>
        </w:tc>
      </w:tr>
      <w:tr>
        <w:tblPrEx>
          <w:tblCellMar>
            <w:top w:w="0" w:type="dxa"/>
            <w:left w:w="108" w:type="dxa"/>
            <w:bottom w:w="0" w:type="dxa"/>
            <w:right w:w="108" w:type="dxa"/>
          </w:tblCellMar>
        </w:tblPrEx>
        <w:trPr>
          <w:trHeight w:val="255" w:hRule="atLeast"/>
        </w:trPr>
        <w:tc>
          <w:tcPr>
            <w:tcW w:w="3005" w:type="dxa"/>
            <w:gridSpan w:val="4"/>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部门：保定市满城区人民政府总务</w:t>
            </w:r>
          </w:p>
        </w:tc>
        <w:tc>
          <w:tcPr>
            <w:tcW w:w="102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5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8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571"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58"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026"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836"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855"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685"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上缴上级支出</w:t>
            </w:r>
          </w:p>
        </w:tc>
        <w:tc>
          <w:tcPr>
            <w:tcW w:w="571"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经营支出</w:t>
            </w:r>
          </w:p>
        </w:tc>
        <w:tc>
          <w:tcPr>
            <w:tcW w:w="135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对附属单位补助支出</w:t>
            </w:r>
          </w:p>
        </w:tc>
      </w:tr>
      <w:tr>
        <w:tblPrEx>
          <w:tblCellMar>
            <w:top w:w="0" w:type="dxa"/>
            <w:left w:w="108" w:type="dxa"/>
            <w:bottom w:w="0" w:type="dxa"/>
            <w:right w:w="108" w:type="dxa"/>
          </w:tblCellMar>
        </w:tblPrEx>
        <w:trPr>
          <w:trHeight w:val="312" w:hRule="atLeast"/>
        </w:trPr>
        <w:tc>
          <w:tcPr>
            <w:tcW w:w="973"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2032"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026"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836"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855"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85"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57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35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973"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2032"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026"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836"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855"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85"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57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35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973"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2032"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026"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836"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855"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85"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57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35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3005"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026" w:type="dxa"/>
            <w:tcBorders>
              <w:top w:val="nil"/>
              <w:left w:val="nil"/>
              <w:bottom w:val="nil"/>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836" w:type="dxa"/>
            <w:tcBorders>
              <w:top w:val="nil"/>
              <w:left w:val="nil"/>
              <w:bottom w:val="nil"/>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855" w:type="dxa"/>
            <w:tcBorders>
              <w:top w:val="nil"/>
              <w:left w:val="nil"/>
              <w:bottom w:val="nil"/>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6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5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3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r>
      <w:tr>
        <w:tblPrEx>
          <w:tblCellMar>
            <w:top w:w="0" w:type="dxa"/>
            <w:left w:w="108" w:type="dxa"/>
            <w:bottom w:w="0" w:type="dxa"/>
            <w:right w:w="108" w:type="dxa"/>
          </w:tblCellMar>
        </w:tblPrEx>
        <w:trPr>
          <w:trHeight w:val="308" w:hRule="atLeast"/>
        </w:trPr>
        <w:tc>
          <w:tcPr>
            <w:tcW w:w="3005"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02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4626.00 </w:t>
            </w:r>
          </w:p>
        </w:tc>
        <w:tc>
          <w:tcPr>
            <w:tcW w:w="836"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3174.37 </w:t>
            </w:r>
          </w:p>
        </w:tc>
        <w:tc>
          <w:tcPr>
            <w:tcW w:w="855"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1451.63 </w:t>
            </w: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一般公共服务支出</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2788.66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2788.66 </w:t>
            </w: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政府办公厅（室）及相关机构事务</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2707.66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2707.66 </w:t>
            </w: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2010301</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1880.81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1880.81 </w:t>
            </w: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2010302</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一般行政管理事务</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497.07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497.07 </w:t>
            </w: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2010308</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信访事务</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5.00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5.00 </w:t>
            </w: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2010399</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其他政府办公厅（室）及相关机构事务支出</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324.77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324.77 </w:t>
            </w: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20126</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档案事务</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5.00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5.00 </w:t>
            </w: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2012604</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档案馆</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5.00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5.00 </w:t>
            </w: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20199</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其他一般公共服务支出</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76.00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76.00 </w:t>
            </w: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2019999</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其他一般公共服务支出</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76.00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76.00 </w:t>
            </w: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243.05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243.05 </w:t>
            </w: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行政事业单位离退休</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243.05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243.05 </w:t>
            </w: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2080501</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归口管理的行政单位离退休</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33.66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33.66 </w:t>
            </w: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2080502</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事业单位离退休</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0.02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0.02 </w:t>
            </w: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184.59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184.59 </w:t>
            </w: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2080506</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机关事业单位职业年金缴费支出</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24.78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24.78 </w:t>
            </w: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58.93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58.93 </w:t>
            </w: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58.93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58.93 </w:t>
            </w: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2101101</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行政单位医疗</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45.62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45.62 </w:t>
            </w: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2101102</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事业单位医疗</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13.31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13.31 </w:t>
            </w: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节能环保支出</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46.75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46.75 </w:t>
            </w: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21103</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污染防治</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46.75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46.75 </w:t>
            </w: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2110301</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大气</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46.75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46.75 </w:t>
            </w: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212</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城乡社区支出</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1404.88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1404.88 </w:t>
            </w: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21208</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国有土地使用权出让收入及对应专项债务收入安排的支出</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1404.88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1404.88 </w:t>
            </w: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2120802</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土地开发支出</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164.12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164.12 </w:t>
            </w: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2120804</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农村基础设施建设支出</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1240.76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1240.76 </w:t>
            </w: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83.73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83.73 </w:t>
            </w: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83.73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83.73 </w:t>
            </w: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97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2032"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026"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83.73 </w:t>
            </w:r>
          </w:p>
        </w:tc>
        <w:tc>
          <w:tcPr>
            <w:tcW w:w="836"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83.73 </w:t>
            </w:r>
          </w:p>
        </w:tc>
        <w:tc>
          <w:tcPr>
            <w:tcW w:w="85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68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5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5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336" w:type="dxa"/>
            <w:gridSpan w:val="10"/>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注：本表反映部门本年度各项支出情况。</w:t>
            </w:r>
          </w:p>
        </w:tc>
      </w:tr>
    </w:tbl>
    <w:p>
      <w:pPr>
        <w:jc w:val="left"/>
      </w:pPr>
    </w:p>
    <w:p>
      <w:r>
        <w:br w:type="page"/>
      </w:r>
    </w:p>
    <w:tbl>
      <w:tblPr>
        <w:tblStyle w:val="6"/>
        <w:tblW w:w="10540" w:type="dxa"/>
        <w:tblInd w:w="93" w:type="dxa"/>
        <w:tblLayout w:type="autofit"/>
        <w:tblCellMar>
          <w:top w:w="0" w:type="dxa"/>
          <w:left w:w="108" w:type="dxa"/>
          <w:bottom w:w="0" w:type="dxa"/>
          <w:right w:w="108" w:type="dxa"/>
        </w:tblCellMar>
      </w:tblPr>
      <w:tblGrid>
        <w:gridCol w:w="2890"/>
        <w:gridCol w:w="580"/>
        <w:gridCol w:w="1000"/>
        <w:gridCol w:w="2260"/>
        <w:gridCol w:w="580"/>
        <w:gridCol w:w="939"/>
        <w:gridCol w:w="939"/>
        <w:gridCol w:w="1430"/>
      </w:tblGrid>
      <w:tr>
        <w:tblPrEx>
          <w:tblCellMar>
            <w:top w:w="0" w:type="dxa"/>
            <w:left w:w="108" w:type="dxa"/>
            <w:bottom w:w="0" w:type="dxa"/>
            <w:right w:w="108" w:type="dxa"/>
          </w:tblCellMar>
        </w:tblPrEx>
        <w:trPr>
          <w:trHeight w:val="390" w:hRule="atLeast"/>
        </w:trPr>
        <w:tc>
          <w:tcPr>
            <w:tcW w:w="289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5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6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财政拨款收入支出决算总表</w:t>
            </w:r>
          </w:p>
        </w:tc>
        <w:tc>
          <w:tcPr>
            <w:tcW w:w="5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255" w:hRule="atLeast"/>
        </w:trPr>
        <w:tc>
          <w:tcPr>
            <w:tcW w:w="289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5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5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公开04表</w:t>
            </w:r>
          </w:p>
        </w:tc>
      </w:tr>
      <w:tr>
        <w:tblPrEx>
          <w:tblCellMar>
            <w:top w:w="0" w:type="dxa"/>
            <w:left w:w="108" w:type="dxa"/>
            <w:bottom w:w="0" w:type="dxa"/>
            <w:right w:w="108" w:type="dxa"/>
          </w:tblCellMar>
        </w:tblPrEx>
        <w:trPr>
          <w:trHeight w:val="255" w:hRule="atLeast"/>
        </w:trPr>
        <w:tc>
          <w:tcPr>
            <w:tcW w:w="3470" w:type="dxa"/>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部门：保定市满城区人民政府总务</w:t>
            </w: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5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470" w:type="dxa"/>
            <w:gridSpan w:val="3"/>
            <w:tcBorders>
              <w:top w:val="single" w:color="000000" w:sz="4" w:space="0"/>
              <w:left w:val="single" w:color="000000" w:sz="4" w:space="0"/>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     入</w:t>
            </w:r>
          </w:p>
        </w:tc>
        <w:tc>
          <w:tcPr>
            <w:tcW w:w="6070" w:type="dxa"/>
            <w:gridSpan w:val="5"/>
            <w:tcBorders>
              <w:top w:val="single" w:color="000000" w:sz="4" w:space="0"/>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     出</w:t>
            </w:r>
          </w:p>
        </w:tc>
      </w:tr>
      <w:tr>
        <w:tblPrEx>
          <w:tblCellMar>
            <w:top w:w="0" w:type="dxa"/>
            <w:left w:w="108" w:type="dxa"/>
            <w:bottom w:w="0" w:type="dxa"/>
            <w:right w:w="108" w:type="dxa"/>
          </w:tblCellMar>
        </w:tblPrEx>
        <w:trPr>
          <w:trHeight w:val="312" w:hRule="atLeast"/>
        </w:trPr>
        <w:tc>
          <w:tcPr>
            <w:tcW w:w="2890" w:type="dxa"/>
            <w:vMerge w:val="restart"/>
            <w:tcBorders>
              <w:top w:val="nil"/>
              <w:left w:val="single" w:color="000000" w:sz="4" w:space="0"/>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58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100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c>
          <w:tcPr>
            <w:tcW w:w="226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58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880" w:type="dxa"/>
            <w:vMerge w:val="restart"/>
            <w:tcBorders>
              <w:top w:val="nil"/>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92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一般公共预算财政拨款</w:t>
            </w:r>
          </w:p>
        </w:tc>
        <w:tc>
          <w:tcPr>
            <w:tcW w:w="143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政府性基金预算财政拨款</w:t>
            </w:r>
          </w:p>
        </w:tc>
      </w:tr>
      <w:tr>
        <w:tblPrEx>
          <w:tblCellMar>
            <w:top w:w="0" w:type="dxa"/>
            <w:left w:w="108" w:type="dxa"/>
            <w:bottom w:w="0" w:type="dxa"/>
            <w:right w:w="108" w:type="dxa"/>
          </w:tblCellMar>
        </w:tblPrEx>
        <w:trPr>
          <w:trHeight w:val="945" w:hRule="atLeast"/>
        </w:trPr>
        <w:tc>
          <w:tcPr>
            <w:tcW w:w="2890" w:type="dxa"/>
            <w:vMerge w:val="continue"/>
            <w:tcBorders>
              <w:top w:val="nil"/>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58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00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226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58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88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92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43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2890" w:type="dxa"/>
            <w:tcBorders>
              <w:top w:val="nil"/>
              <w:left w:val="single" w:color="000000" w:sz="4" w:space="0"/>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580" w:type="dxa"/>
            <w:tcBorders>
              <w:top w:val="nil"/>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1000" w:type="dxa"/>
            <w:tcBorders>
              <w:top w:val="nil"/>
              <w:left w:val="nil"/>
              <w:bottom w:val="nil"/>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2260" w:type="dxa"/>
            <w:tcBorders>
              <w:top w:val="nil"/>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580" w:type="dxa"/>
            <w:tcBorders>
              <w:top w:val="nil"/>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880" w:type="dxa"/>
            <w:tcBorders>
              <w:top w:val="nil"/>
              <w:left w:val="nil"/>
              <w:bottom w:val="nil"/>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920" w:type="dxa"/>
            <w:tcBorders>
              <w:top w:val="nil"/>
              <w:left w:val="nil"/>
              <w:bottom w:val="nil"/>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430" w:type="dxa"/>
            <w:tcBorders>
              <w:top w:val="nil"/>
              <w:left w:val="nil"/>
              <w:bottom w:val="nil"/>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一、一般公共预算财政拨款</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000" w:type="dxa"/>
            <w:tcBorders>
              <w:top w:val="single" w:color="auto" w:sz="4" w:space="0"/>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3221.12 </w:t>
            </w:r>
          </w:p>
        </w:tc>
        <w:tc>
          <w:tcPr>
            <w:tcW w:w="2260" w:type="dxa"/>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一、一般公共服务支出</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30</w:t>
            </w:r>
          </w:p>
        </w:tc>
        <w:tc>
          <w:tcPr>
            <w:tcW w:w="880" w:type="dxa"/>
            <w:tcBorders>
              <w:top w:val="single" w:color="auto" w:sz="4" w:space="0"/>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2788.66 </w:t>
            </w:r>
          </w:p>
        </w:tc>
        <w:tc>
          <w:tcPr>
            <w:tcW w:w="920" w:type="dxa"/>
            <w:tcBorders>
              <w:top w:val="single" w:color="auto" w:sz="4" w:space="0"/>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2788.66 </w:t>
            </w:r>
          </w:p>
        </w:tc>
        <w:tc>
          <w:tcPr>
            <w:tcW w:w="1430" w:type="dxa"/>
            <w:tcBorders>
              <w:top w:val="single" w:color="auto" w:sz="4" w:space="0"/>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二、政府性基金预算财政拨款</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00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1404.88 </w:t>
            </w:r>
          </w:p>
        </w:tc>
        <w:tc>
          <w:tcPr>
            <w:tcW w:w="2260" w:type="dxa"/>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二、外交支出</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31</w:t>
            </w:r>
          </w:p>
        </w:tc>
        <w:tc>
          <w:tcPr>
            <w:tcW w:w="88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92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143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000" w:type="dxa"/>
            <w:tcBorders>
              <w:top w:val="nil"/>
              <w:left w:val="single" w:color="auto" w:sz="4" w:space="0"/>
              <w:bottom w:val="single" w:color="auto" w:sz="4" w:space="0"/>
              <w:right w:val="single" w:color="auto" w:sz="4" w:space="0"/>
            </w:tcBorders>
            <w:shd w:val="clear" w:color="FFFFFF"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60" w:type="dxa"/>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三、国防支出</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32</w:t>
            </w:r>
          </w:p>
        </w:tc>
        <w:tc>
          <w:tcPr>
            <w:tcW w:w="88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92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143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000" w:type="dxa"/>
            <w:tcBorders>
              <w:top w:val="nil"/>
              <w:left w:val="single" w:color="auto" w:sz="4" w:space="0"/>
              <w:bottom w:val="single" w:color="auto" w:sz="4" w:space="0"/>
              <w:right w:val="single" w:color="auto" w:sz="4" w:space="0"/>
            </w:tcBorders>
            <w:shd w:val="clear" w:color="FFFFFF"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60" w:type="dxa"/>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四、公共安全支出</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33</w:t>
            </w:r>
          </w:p>
        </w:tc>
        <w:tc>
          <w:tcPr>
            <w:tcW w:w="88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92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143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000" w:type="dxa"/>
            <w:tcBorders>
              <w:top w:val="nil"/>
              <w:left w:val="single" w:color="auto" w:sz="4" w:space="0"/>
              <w:bottom w:val="single" w:color="auto" w:sz="4" w:space="0"/>
              <w:right w:val="single" w:color="auto" w:sz="4" w:space="0"/>
            </w:tcBorders>
            <w:shd w:val="clear" w:color="FFFFFF"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60" w:type="dxa"/>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五、教育支出</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34</w:t>
            </w:r>
          </w:p>
        </w:tc>
        <w:tc>
          <w:tcPr>
            <w:tcW w:w="88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92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143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1000" w:type="dxa"/>
            <w:tcBorders>
              <w:top w:val="nil"/>
              <w:left w:val="single" w:color="auto" w:sz="4" w:space="0"/>
              <w:bottom w:val="single" w:color="auto" w:sz="4" w:space="0"/>
              <w:right w:val="single" w:color="auto" w:sz="4" w:space="0"/>
            </w:tcBorders>
            <w:shd w:val="clear" w:color="FFFFFF"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60" w:type="dxa"/>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六、科学技术支出</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35</w:t>
            </w:r>
          </w:p>
        </w:tc>
        <w:tc>
          <w:tcPr>
            <w:tcW w:w="88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92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143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1000" w:type="dxa"/>
            <w:tcBorders>
              <w:top w:val="nil"/>
              <w:left w:val="single" w:color="auto" w:sz="4" w:space="0"/>
              <w:bottom w:val="single" w:color="auto" w:sz="4" w:space="0"/>
              <w:right w:val="single" w:color="auto" w:sz="4" w:space="0"/>
            </w:tcBorders>
            <w:shd w:val="clear" w:color="FFFFFF"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60" w:type="dxa"/>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七、文化旅游体育与传媒支出</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36</w:t>
            </w:r>
          </w:p>
        </w:tc>
        <w:tc>
          <w:tcPr>
            <w:tcW w:w="88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92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143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1000" w:type="dxa"/>
            <w:tcBorders>
              <w:top w:val="nil"/>
              <w:left w:val="single" w:color="auto" w:sz="4" w:space="0"/>
              <w:bottom w:val="single" w:color="auto" w:sz="4" w:space="0"/>
              <w:right w:val="single" w:color="auto" w:sz="4" w:space="0"/>
            </w:tcBorders>
            <w:shd w:val="clear" w:color="FFFFFF"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60" w:type="dxa"/>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八、社会保障和就业支出</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37</w:t>
            </w:r>
          </w:p>
        </w:tc>
        <w:tc>
          <w:tcPr>
            <w:tcW w:w="88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243.05 </w:t>
            </w:r>
          </w:p>
        </w:tc>
        <w:tc>
          <w:tcPr>
            <w:tcW w:w="92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243.05 </w:t>
            </w:r>
          </w:p>
        </w:tc>
        <w:tc>
          <w:tcPr>
            <w:tcW w:w="143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c>
          <w:tcPr>
            <w:tcW w:w="1000" w:type="dxa"/>
            <w:tcBorders>
              <w:top w:val="nil"/>
              <w:left w:val="single" w:color="auto" w:sz="4" w:space="0"/>
              <w:bottom w:val="single" w:color="auto" w:sz="4" w:space="0"/>
              <w:right w:val="single" w:color="auto" w:sz="4" w:space="0"/>
            </w:tcBorders>
            <w:shd w:val="clear" w:color="FFFFFF"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60" w:type="dxa"/>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九、卫生健康支出</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38</w:t>
            </w:r>
          </w:p>
        </w:tc>
        <w:tc>
          <w:tcPr>
            <w:tcW w:w="88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58.93 </w:t>
            </w:r>
          </w:p>
        </w:tc>
        <w:tc>
          <w:tcPr>
            <w:tcW w:w="92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58.93 </w:t>
            </w:r>
          </w:p>
        </w:tc>
        <w:tc>
          <w:tcPr>
            <w:tcW w:w="143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10</w:t>
            </w:r>
          </w:p>
        </w:tc>
        <w:tc>
          <w:tcPr>
            <w:tcW w:w="1000" w:type="dxa"/>
            <w:tcBorders>
              <w:top w:val="nil"/>
              <w:left w:val="single" w:color="auto" w:sz="4" w:space="0"/>
              <w:bottom w:val="single" w:color="auto" w:sz="4" w:space="0"/>
              <w:right w:val="single" w:color="auto" w:sz="4" w:space="0"/>
            </w:tcBorders>
            <w:shd w:val="clear" w:color="FFFFFF"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60" w:type="dxa"/>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十、节能环保支出</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39</w:t>
            </w:r>
          </w:p>
        </w:tc>
        <w:tc>
          <w:tcPr>
            <w:tcW w:w="88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46.75 </w:t>
            </w:r>
          </w:p>
        </w:tc>
        <w:tc>
          <w:tcPr>
            <w:tcW w:w="92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46.75 </w:t>
            </w:r>
          </w:p>
        </w:tc>
        <w:tc>
          <w:tcPr>
            <w:tcW w:w="143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1000" w:type="dxa"/>
            <w:tcBorders>
              <w:top w:val="nil"/>
              <w:left w:val="single" w:color="auto" w:sz="4" w:space="0"/>
              <w:bottom w:val="single" w:color="auto" w:sz="4" w:space="0"/>
              <w:right w:val="single" w:color="auto" w:sz="4" w:space="0"/>
            </w:tcBorders>
            <w:shd w:val="clear" w:color="FFFFFF"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60" w:type="dxa"/>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十一、城乡社区支出</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40</w:t>
            </w:r>
          </w:p>
        </w:tc>
        <w:tc>
          <w:tcPr>
            <w:tcW w:w="88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1404.88 </w:t>
            </w:r>
          </w:p>
        </w:tc>
        <w:tc>
          <w:tcPr>
            <w:tcW w:w="92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143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1404.88 </w:t>
            </w: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c>
          <w:tcPr>
            <w:tcW w:w="1000" w:type="dxa"/>
            <w:tcBorders>
              <w:top w:val="nil"/>
              <w:left w:val="single" w:color="auto" w:sz="4" w:space="0"/>
              <w:bottom w:val="single" w:color="auto" w:sz="4" w:space="0"/>
              <w:right w:val="single" w:color="auto" w:sz="4" w:space="0"/>
            </w:tcBorders>
            <w:shd w:val="clear" w:color="FFFFFF"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60" w:type="dxa"/>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十二、农林水支出</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41</w:t>
            </w:r>
          </w:p>
        </w:tc>
        <w:tc>
          <w:tcPr>
            <w:tcW w:w="88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92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143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13</w:t>
            </w:r>
          </w:p>
        </w:tc>
        <w:tc>
          <w:tcPr>
            <w:tcW w:w="1000" w:type="dxa"/>
            <w:tcBorders>
              <w:top w:val="nil"/>
              <w:left w:val="single" w:color="auto" w:sz="4" w:space="0"/>
              <w:bottom w:val="single" w:color="auto" w:sz="4" w:space="0"/>
              <w:right w:val="single" w:color="auto" w:sz="4" w:space="0"/>
            </w:tcBorders>
            <w:shd w:val="clear" w:color="FFFFFF"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60" w:type="dxa"/>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十三、交通运输支出</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42</w:t>
            </w:r>
          </w:p>
        </w:tc>
        <w:tc>
          <w:tcPr>
            <w:tcW w:w="88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92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143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14</w:t>
            </w:r>
          </w:p>
        </w:tc>
        <w:tc>
          <w:tcPr>
            <w:tcW w:w="1000" w:type="dxa"/>
            <w:tcBorders>
              <w:top w:val="nil"/>
              <w:left w:val="single" w:color="auto" w:sz="4" w:space="0"/>
              <w:bottom w:val="single" w:color="auto" w:sz="4" w:space="0"/>
              <w:right w:val="single" w:color="auto" w:sz="4" w:space="0"/>
            </w:tcBorders>
            <w:shd w:val="clear" w:color="FFFFFF"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60" w:type="dxa"/>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十四、资源勘探信息等支出</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43</w:t>
            </w:r>
          </w:p>
        </w:tc>
        <w:tc>
          <w:tcPr>
            <w:tcW w:w="88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92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143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15</w:t>
            </w:r>
          </w:p>
        </w:tc>
        <w:tc>
          <w:tcPr>
            <w:tcW w:w="1000" w:type="dxa"/>
            <w:tcBorders>
              <w:top w:val="nil"/>
              <w:left w:val="single" w:color="auto" w:sz="4" w:space="0"/>
              <w:bottom w:val="single" w:color="auto" w:sz="4" w:space="0"/>
              <w:right w:val="single" w:color="auto" w:sz="4" w:space="0"/>
            </w:tcBorders>
            <w:shd w:val="clear" w:color="FFFFFF"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60" w:type="dxa"/>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十五、商业服务业等支出</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44</w:t>
            </w:r>
          </w:p>
        </w:tc>
        <w:tc>
          <w:tcPr>
            <w:tcW w:w="88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92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143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16</w:t>
            </w:r>
          </w:p>
        </w:tc>
        <w:tc>
          <w:tcPr>
            <w:tcW w:w="1000" w:type="dxa"/>
            <w:tcBorders>
              <w:top w:val="nil"/>
              <w:left w:val="single" w:color="auto" w:sz="4" w:space="0"/>
              <w:bottom w:val="single" w:color="auto" w:sz="4" w:space="0"/>
              <w:right w:val="single" w:color="auto" w:sz="4" w:space="0"/>
            </w:tcBorders>
            <w:shd w:val="clear" w:color="FFFFFF"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60" w:type="dxa"/>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十六、金融支出</w:t>
            </w:r>
          </w:p>
        </w:tc>
        <w:tc>
          <w:tcPr>
            <w:tcW w:w="580" w:type="dxa"/>
            <w:tcBorders>
              <w:top w:val="nil"/>
              <w:left w:val="nil"/>
              <w:bottom w:val="single" w:color="000000" w:sz="4" w:space="0"/>
              <w:right w:val="nil"/>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45</w:t>
            </w:r>
          </w:p>
        </w:tc>
        <w:tc>
          <w:tcPr>
            <w:tcW w:w="88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92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1430" w:type="dxa"/>
            <w:tcBorders>
              <w:top w:val="nil"/>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17</w:t>
            </w:r>
          </w:p>
        </w:tc>
        <w:tc>
          <w:tcPr>
            <w:tcW w:w="100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十七、援助其他地区支出</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46</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92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18</w:t>
            </w:r>
          </w:p>
        </w:tc>
        <w:tc>
          <w:tcPr>
            <w:tcW w:w="100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十八、自然资源海洋气象等支出</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47</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92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19</w:t>
            </w:r>
          </w:p>
        </w:tc>
        <w:tc>
          <w:tcPr>
            <w:tcW w:w="100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十九、住房保障支出</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48</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83.73 </w:t>
            </w:r>
          </w:p>
        </w:tc>
        <w:tc>
          <w:tcPr>
            <w:tcW w:w="92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83.73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 </w:t>
            </w: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20</w:t>
            </w:r>
          </w:p>
        </w:tc>
        <w:tc>
          <w:tcPr>
            <w:tcW w:w="100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二十、粮油物资储备支出</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49</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92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21</w:t>
            </w:r>
          </w:p>
        </w:tc>
        <w:tc>
          <w:tcPr>
            <w:tcW w:w="100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二十一、灾害防治及应急管理支出</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50</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92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22</w:t>
            </w:r>
          </w:p>
        </w:tc>
        <w:tc>
          <w:tcPr>
            <w:tcW w:w="100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二十二、其他支出</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51</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92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23</w:t>
            </w:r>
          </w:p>
        </w:tc>
        <w:tc>
          <w:tcPr>
            <w:tcW w:w="100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二十四、债务付息支出</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52</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92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本年收入合计</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24</w:t>
            </w:r>
          </w:p>
        </w:tc>
        <w:tc>
          <w:tcPr>
            <w:tcW w:w="10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4626.00 </w:t>
            </w:r>
          </w:p>
        </w:tc>
        <w:tc>
          <w:tcPr>
            <w:tcW w:w="2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本年支出合计</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53</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4626.00 </w:t>
            </w:r>
          </w:p>
        </w:tc>
        <w:tc>
          <w:tcPr>
            <w:tcW w:w="92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3221.12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1404.88 </w:t>
            </w: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年初财政拨款结转和结余</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25</w:t>
            </w:r>
          </w:p>
        </w:tc>
        <w:tc>
          <w:tcPr>
            <w:tcW w:w="10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22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年末财政拨款结转和结余</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54</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92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一、一般公共预算财政拨款</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26</w:t>
            </w:r>
          </w:p>
        </w:tc>
        <w:tc>
          <w:tcPr>
            <w:tcW w:w="10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2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55</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二、政府性基金预算财政拨款</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27</w:t>
            </w:r>
          </w:p>
        </w:tc>
        <w:tc>
          <w:tcPr>
            <w:tcW w:w="10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2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56</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28</w:t>
            </w:r>
          </w:p>
        </w:tc>
        <w:tc>
          <w:tcPr>
            <w:tcW w:w="100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57</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92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3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r>
      <w:tr>
        <w:tblPrEx>
          <w:tblCellMar>
            <w:top w:w="0" w:type="dxa"/>
            <w:left w:w="108" w:type="dxa"/>
            <w:bottom w:w="0" w:type="dxa"/>
            <w:right w:w="108" w:type="dxa"/>
          </w:tblCellMar>
        </w:tblPrEx>
        <w:trPr>
          <w:trHeight w:val="499" w:hRule="atLeast"/>
        </w:trPr>
        <w:tc>
          <w:tcPr>
            <w:tcW w:w="289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29</w:t>
            </w:r>
          </w:p>
        </w:tc>
        <w:tc>
          <w:tcPr>
            <w:tcW w:w="10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4626.00 </w:t>
            </w:r>
          </w:p>
        </w:tc>
        <w:tc>
          <w:tcPr>
            <w:tcW w:w="226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580"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58</w:t>
            </w:r>
          </w:p>
        </w:tc>
        <w:tc>
          <w:tcPr>
            <w:tcW w:w="88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4626.00 </w:t>
            </w:r>
          </w:p>
        </w:tc>
        <w:tc>
          <w:tcPr>
            <w:tcW w:w="92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3221.12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1404.88 </w:t>
            </w:r>
          </w:p>
        </w:tc>
      </w:tr>
      <w:tr>
        <w:tblPrEx>
          <w:tblCellMar>
            <w:top w:w="0" w:type="dxa"/>
            <w:left w:w="108" w:type="dxa"/>
            <w:bottom w:w="0" w:type="dxa"/>
            <w:right w:w="108" w:type="dxa"/>
          </w:tblCellMar>
        </w:tblPrEx>
        <w:trPr>
          <w:trHeight w:val="308" w:hRule="atLeast"/>
        </w:trPr>
        <w:tc>
          <w:tcPr>
            <w:tcW w:w="10540" w:type="dxa"/>
            <w:gridSpan w:val="8"/>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注：本表反映部门本年度一般公共预算财政拨款和政府性基金预算财政拨款的总收支和年末结转结余情况。</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6"/>
        <w:tblW w:w="8170" w:type="dxa"/>
        <w:tblInd w:w="93" w:type="dxa"/>
        <w:tblLayout w:type="autofit"/>
        <w:tblCellMar>
          <w:top w:w="0" w:type="dxa"/>
          <w:left w:w="108" w:type="dxa"/>
          <w:bottom w:w="0" w:type="dxa"/>
          <w:right w:w="108" w:type="dxa"/>
        </w:tblCellMar>
      </w:tblPr>
      <w:tblGrid>
        <w:gridCol w:w="340"/>
        <w:gridCol w:w="340"/>
        <w:gridCol w:w="340"/>
        <w:gridCol w:w="3220"/>
        <w:gridCol w:w="1120"/>
        <w:gridCol w:w="1380"/>
        <w:gridCol w:w="1430"/>
      </w:tblGrid>
      <w:tr>
        <w:tblPrEx>
          <w:tblCellMar>
            <w:top w:w="0" w:type="dxa"/>
            <w:left w:w="108" w:type="dxa"/>
            <w:bottom w:w="0" w:type="dxa"/>
            <w:right w:w="108" w:type="dxa"/>
          </w:tblCellMar>
        </w:tblPrEx>
        <w:trPr>
          <w:trHeight w:val="390" w:hRule="atLeast"/>
        </w:trPr>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2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12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一般公共预算财政拨款支出决算表</w:t>
            </w:r>
          </w:p>
        </w:tc>
        <w:tc>
          <w:tcPr>
            <w:tcW w:w="13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255" w:hRule="atLeast"/>
        </w:trPr>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2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1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公开05表</w:t>
            </w:r>
          </w:p>
        </w:tc>
      </w:tr>
      <w:tr>
        <w:tblPrEx>
          <w:tblCellMar>
            <w:top w:w="0" w:type="dxa"/>
            <w:left w:w="108" w:type="dxa"/>
            <w:bottom w:w="0" w:type="dxa"/>
            <w:right w:w="108" w:type="dxa"/>
          </w:tblCellMar>
        </w:tblPrEx>
        <w:trPr>
          <w:trHeight w:val="255" w:hRule="atLeast"/>
        </w:trPr>
        <w:tc>
          <w:tcPr>
            <w:tcW w:w="4240" w:type="dxa"/>
            <w:gridSpan w:val="4"/>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部门：保定市满城区人民政府总务</w:t>
            </w:r>
          </w:p>
        </w:tc>
        <w:tc>
          <w:tcPr>
            <w:tcW w:w="11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240" w:type="dxa"/>
            <w:gridSpan w:val="4"/>
            <w:tcBorders>
              <w:top w:val="single" w:color="000000" w:sz="4" w:space="0"/>
              <w:left w:val="single" w:color="000000" w:sz="4" w:space="0"/>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3930" w:type="dxa"/>
            <w:gridSpan w:val="3"/>
            <w:tcBorders>
              <w:top w:val="single" w:color="000000" w:sz="4" w:space="0"/>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w:t>
            </w:r>
          </w:p>
        </w:tc>
      </w:tr>
      <w:tr>
        <w:tblPrEx>
          <w:tblCellMar>
            <w:top w:w="0" w:type="dxa"/>
            <w:left w:w="108" w:type="dxa"/>
            <w:bottom w:w="0" w:type="dxa"/>
            <w:right w:w="108" w:type="dxa"/>
          </w:tblCellMar>
        </w:tblPrEx>
        <w:trPr>
          <w:trHeight w:val="312" w:hRule="atLeast"/>
        </w:trPr>
        <w:tc>
          <w:tcPr>
            <w:tcW w:w="1020" w:type="dxa"/>
            <w:gridSpan w:val="3"/>
            <w:vMerge w:val="restart"/>
            <w:tcBorders>
              <w:top w:val="nil"/>
              <w:left w:val="single" w:color="000000" w:sz="4" w:space="0"/>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3220" w:type="dxa"/>
            <w:vMerge w:val="restart"/>
            <w:tcBorders>
              <w:top w:val="nil"/>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12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138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43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r>
      <w:tr>
        <w:tblPrEx>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322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12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38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43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322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12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38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43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4240" w:type="dxa"/>
            <w:gridSpan w:val="4"/>
            <w:tcBorders>
              <w:top w:val="nil"/>
              <w:left w:val="single" w:color="000000" w:sz="4" w:space="0"/>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120" w:type="dxa"/>
            <w:tcBorders>
              <w:top w:val="nil"/>
              <w:left w:val="nil"/>
              <w:bottom w:val="nil"/>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380" w:type="dxa"/>
            <w:tcBorders>
              <w:top w:val="nil"/>
              <w:left w:val="nil"/>
              <w:bottom w:val="nil"/>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430" w:type="dxa"/>
            <w:tcBorders>
              <w:top w:val="nil"/>
              <w:left w:val="nil"/>
              <w:bottom w:val="nil"/>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r>
      <w:tr>
        <w:tblPrEx>
          <w:tblCellMar>
            <w:top w:w="0" w:type="dxa"/>
            <w:left w:w="108" w:type="dxa"/>
            <w:bottom w:w="0" w:type="dxa"/>
            <w:right w:w="108" w:type="dxa"/>
          </w:tblCellMar>
        </w:tblPrEx>
        <w:trPr>
          <w:trHeight w:val="308" w:hRule="atLeast"/>
        </w:trPr>
        <w:tc>
          <w:tcPr>
            <w:tcW w:w="4240" w:type="dxa"/>
            <w:gridSpan w:val="4"/>
            <w:tcBorders>
              <w:top w:val="nil"/>
              <w:left w:val="single" w:color="000000" w:sz="4" w:space="0"/>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120" w:type="dxa"/>
            <w:tcBorders>
              <w:top w:val="single" w:color="auto" w:sz="4" w:space="0"/>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3221.12 </w:t>
            </w:r>
          </w:p>
        </w:tc>
        <w:tc>
          <w:tcPr>
            <w:tcW w:w="1380" w:type="dxa"/>
            <w:tcBorders>
              <w:top w:val="single" w:color="auto" w:sz="4" w:space="0"/>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3174.37 </w:t>
            </w:r>
          </w:p>
        </w:tc>
        <w:tc>
          <w:tcPr>
            <w:tcW w:w="1430" w:type="dxa"/>
            <w:tcBorders>
              <w:top w:val="single" w:color="auto" w:sz="4" w:space="0"/>
              <w:left w:val="nil"/>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46.75 </w:t>
            </w: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一般公共服务支出</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2788.66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2788.66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政府办公厅（室）及相关机构事务</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2707.66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2707.66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2010301</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1880.81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1880.81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2010302</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一般行政管理事务</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497.07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497.07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2010308</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信访事务</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5.00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5.00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540"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2010399</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其他政府办公厅（室）及相关机构事务支出</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324.77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324.77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20126</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档案事务</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5.00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5.00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2012604</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档案馆</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5.00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5.00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20199</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其他一般公共服务支出</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76.00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76.00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2019999</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其他一般公共服务支出</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76.00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76.00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243.05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243.05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行政事业单位离退休</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243.05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243.05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2080501</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归口管理的行政单位离退休</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33.66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33.66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2080502</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事业单位离退休</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0.02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0.02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540"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184.59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184.59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2080506</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机关事业单位职业年金缴费支出</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24.78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24.78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58.93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58.93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58.93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58.93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2101101</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行政单位医疗</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45.62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45.62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2101102</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事业单位医疗</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13.31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13.31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节能环保支出</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46.75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46.75 </w:t>
            </w: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21103</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污染防治</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46.75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46.75 </w:t>
            </w: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2110301</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大气</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46.75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46.75 </w:t>
            </w: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83.73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83.73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83.73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83.73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499"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32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83.73 </w:t>
            </w:r>
          </w:p>
        </w:tc>
        <w:tc>
          <w:tcPr>
            <w:tcW w:w="138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83.73 </w:t>
            </w:r>
          </w:p>
        </w:tc>
        <w:tc>
          <w:tcPr>
            <w:tcW w:w="143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308" w:hRule="atLeast"/>
        </w:trPr>
        <w:tc>
          <w:tcPr>
            <w:tcW w:w="8170" w:type="dxa"/>
            <w:gridSpan w:val="7"/>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注：本表反映部门本年度一般公共预算财政拨款支出情况。</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6"/>
        <w:tblW w:w="9890" w:type="dxa"/>
        <w:tblInd w:w="93" w:type="dxa"/>
        <w:tblLayout w:type="autofit"/>
        <w:tblCellMar>
          <w:top w:w="0" w:type="dxa"/>
          <w:left w:w="108" w:type="dxa"/>
          <w:bottom w:w="0" w:type="dxa"/>
          <w:right w:w="108" w:type="dxa"/>
        </w:tblCellMar>
      </w:tblPr>
      <w:tblGrid>
        <w:gridCol w:w="766"/>
        <w:gridCol w:w="1480"/>
        <w:gridCol w:w="1100"/>
        <w:gridCol w:w="766"/>
        <w:gridCol w:w="1040"/>
        <w:gridCol w:w="1200"/>
        <w:gridCol w:w="766"/>
        <w:gridCol w:w="1420"/>
        <w:gridCol w:w="1430"/>
      </w:tblGrid>
      <w:tr>
        <w:tblPrEx>
          <w:tblCellMar>
            <w:top w:w="0" w:type="dxa"/>
            <w:left w:w="108" w:type="dxa"/>
            <w:bottom w:w="0" w:type="dxa"/>
            <w:right w:w="108" w:type="dxa"/>
          </w:tblCellMar>
        </w:tblPrEx>
        <w:trPr>
          <w:trHeight w:val="390" w:hRule="atLeast"/>
        </w:trPr>
        <w:tc>
          <w:tcPr>
            <w:tcW w:w="7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1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4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一般公共预算财政拨款基本支出决算表</w:t>
            </w:r>
          </w:p>
        </w:tc>
        <w:tc>
          <w:tcPr>
            <w:tcW w:w="12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255" w:hRule="atLeast"/>
        </w:trPr>
        <w:tc>
          <w:tcPr>
            <w:tcW w:w="7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1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公开06表</w:t>
            </w:r>
          </w:p>
        </w:tc>
      </w:tr>
      <w:tr>
        <w:tblPrEx>
          <w:tblCellMar>
            <w:top w:w="0" w:type="dxa"/>
            <w:left w:w="108" w:type="dxa"/>
            <w:bottom w:w="0" w:type="dxa"/>
            <w:right w:w="108" w:type="dxa"/>
          </w:tblCellMar>
        </w:tblPrEx>
        <w:trPr>
          <w:trHeight w:val="255" w:hRule="atLeast"/>
        </w:trPr>
        <w:tc>
          <w:tcPr>
            <w:tcW w:w="3320" w:type="dxa"/>
            <w:gridSpan w:val="3"/>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部门：保定市满城区人民政府总务</w:t>
            </w:r>
          </w:p>
        </w:tc>
        <w:tc>
          <w:tcPr>
            <w:tcW w:w="7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3320" w:type="dxa"/>
            <w:gridSpan w:val="3"/>
            <w:tcBorders>
              <w:top w:val="single" w:color="000000" w:sz="4" w:space="0"/>
              <w:left w:val="single" w:color="000000" w:sz="4" w:space="0"/>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人员经费</w:t>
            </w:r>
          </w:p>
        </w:tc>
        <w:tc>
          <w:tcPr>
            <w:tcW w:w="6570" w:type="dxa"/>
            <w:gridSpan w:val="6"/>
            <w:tcBorders>
              <w:top w:val="single" w:color="000000" w:sz="4" w:space="0"/>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公用经费</w:t>
            </w:r>
          </w:p>
        </w:tc>
      </w:tr>
      <w:tr>
        <w:tblPrEx>
          <w:tblCellMar>
            <w:top w:w="0" w:type="dxa"/>
            <w:left w:w="108" w:type="dxa"/>
            <w:bottom w:w="0" w:type="dxa"/>
            <w:right w:w="108" w:type="dxa"/>
          </w:tblCellMar>
        </w:tblPrEx>
        <w:trPr>
          <w:trHeight w:val="312" w:hRule="atLeast"/>
        </w:trPr>
        <w:tc>
          <w:tcPr>
            <w:tcW w:w="740" w:type="dxa"/>
            <w:vMerge w:val="restart"/>
            <w:tcBorders>
              <w:top w:val="nil"/>
              <w:left w:val="single" w:color="000000" w:sz="4" w:space="0"/>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科目编码</w:t>
            </w:r>
          </w:p>
        </w:tc>
        <w:tc>
          <w:tcPr>
            <w:tcW w:w="148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10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c>
          <w:tcPr>
            <w:tcW w:w="74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科目编码</w:t>
            </w:r>
          </w:p>
        </w:tc>
        <w:tc>
          <w:tcPr>
            <w:tcW w:w="104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20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c>
          <w:tcPr>
            <w:tcW w:w="74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科目编码</w:t>
            </w:r>
          </w:p>
        </w:tc>
        <w:tc>
          <w:tcPr>
            <w:tcW w:w="142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43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r>
      <w:tr>
        <w:tblPrEx>
          <w:tblCellMar>
            <w:top w:w="0" w:type="dxa"/>
            <w:left w:w="108" w:type="dxa"/>
            <w:bottom w:w="0" w:type="dxa"/>
            <w:right w:w="108" w:type="dxa"/>
          </w:tblCellMar>
        </w:tblPrEx>
        <w:trPr>
          <w:trHeight w:val="312" w:hRule="atLeast"/>
        </w:trPr>
        <w:tc>
          <w:tcPr>
            <w:tcW w:w="740" w:type="dxa"/>
            <w:vMerge w:val="continue"/>
            <w:tcBorders>
              <w:top w:val="nil"/>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48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10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74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04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20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74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42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43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w:t>
            </w:r>
          </w:p>
        </w:tc>
        <w:tc>
          <w:tcPr>
            <w:tcW w:w="148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工资福利支出</w:t>
            </w:r>
          </w:p>
        </w:tc>
        <w:tc>
          <w:tcPr>
            <w:tcW w:w="1100" w:type="dxa"/>
            <w:tcBorders>
              <w:top w:val="single" w:color="auto" w:sz="4" w:space="0"/>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1771.87 </w:t>
            </w:r>
          </w:p>
        </w:tc>
        <w:tc>
          <w:tcPr>
            <w:tcW w:w="740" w:type="dxa"/>
            <w:tcBorders>
              <w:top w:val="nil"/>
              <w:left w:val="nil"/>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w:t>
            </w:r>
          </w:p>
        </w:tc>
        <w:tc>
          <w:tcPr>
            <w:tcW w:w="104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商品和服务支出</w:t>
            </w:r>
          </w:p>
        </w:tc>
        <w:tc>
          <w:tcPr>
            <w:tcW w:w="1200" w:type="dxa"/>
            <w:tcBorders>
              <w:top w:val="single" w:color="auto" w:sz="4" w:space="0"/>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1081.23 </w:t>
            </w:r>
          </w:p>
        </w:tc>
        <w:tc>
          <w:tcPr>
            <w:tcW w:w="740" w:type="dxa"/>
            <w:tcBorders>
              <w:top w:val="nil"/>
              <w:left w:val="nil"/>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307</w:t>
            </w:r>
          </w:p>
        </w:tc>
        <w:tc>
          <w:tcPr>
            <w:tcW w:w="142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债务利息及费用支出</w:t>
            </w:r>
          </w:p>
        </w:tc>
        <w:tc>
          <w:tcPr>
            <w:tcW w:w="1430" w:type="dxa"/>
            <w:tcBorders>
              <w:top w:val="single" w:color="auto" w:sz="4" w:space="0"/>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30101</w:t>
            </w:r>
          </w:p>
        </w:tc>
        <w:tc>
          <w:tcPr>
            <w:tcW w:w="148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基本工资</w:t>
            </w:r>
          </w:p>
        </w:tc>
        <w:tc>
          <w:tcPr>
            <w:tcW w:w="110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457.32 </w:t>
            </w:r>
          </w:p>
        </w:tc>
        <w:tc>
          <w:tcPr>
            <w:tcW w:w="740" w:type="dxa"/>
            <w:tcBorders>
              <w:top w:val="nil"/>
              <w:left w:val="nil"/>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30201</w:t>
            </w:r>
          </w:p>
        </w:tc>
        <w:tc>
          <w:tcPr>
            <w:tcW w:w="104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办公费</w:t>
            </w:r>
          </w:p>
        </w:tc>
        <w:tc>
          <w:tcPr>
            <w:tcW w:w="120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150.13 </w:t>
            </w:r>
          </w:p>
        </w:tc>
        <w:tc>
          <w:tcPr>
            <w:tcW w:w="740" w:type="dxa"/>
            <w:tcBorders>
              <w:top w:val="nil"/>
              <w:left w:val="nil"/>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30701</w:t>
            </w:r>
          </w:p>
        </w:tc>
        <w:tc>
          <w:tcPr>
            <w:tcW w:w="142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国内债务付息</w:t>
            </w:r>
          </w:p>
        </w:tc>
        <w:tc>
          <w:tcPr>
            <w:tcW w:w="143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30102</w:t>
            </w:r>
          </w:p>
        </w:tc>
        <w:tc>
          <w:tcPr>
            <w:tcW w:w="148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津贴补贴</w:t>
            </w:r>
          </w:p>
        </w:tc>
        <w:tc>
          <w:tcPr>
            <w:tcW w:w="110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523.10 </w:t>
            </w:r>
          </w:p>
        </w:tc>
        <w:tc>
          <w:tcPr>
            <w:tcW w:w="740" w:type="dxa"/>
            <w:tcBorders>
              <w:top w:val="nil"/>
              <w:left w:val="nil"/>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30202</w:t>
            </w:r>
          </w:p>
        </w:tc>
        <w:tc>
          <w:tcPr>
            <w:tcW w:w="104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印刷费</w:t>
            </w:r>
          </w:p>
        </w:tc>
        <w:tc>
          <w:tcPr>
            <w:tcW w:w="120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32.02 </w:t>
            </w:r>
          </w:p>
        </w:tc>
        <w:tc>
          <w:tcPr>
            <w:tcW w:w="740" w:type="dxa"/>
            <w:tcBorders>
              <w:top w:val="nil"/>
              <w:left w:val="nil"/>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30702</w:t>
            </w:r>
          </w:p>
        </w:tc>
        <w:tc>
          <w:tcPr>
            <w:tcW w:w="142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国外债务付息</w:t>
            </w:r>
          </w:p>
        </w:tc>
        <w:tc>
          <w:tcPr>
            <w:tcW w:w="143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30103</w:t>
            </w:r>
          </w:p>
        </w:tc>
        <w:tc>
          <w:tcPr>
            <w:tcW w:w="148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奖金</w:t>
            </w:r>
          </w:p>
        </w:tc>
        <w:tc>
          <w:tcPr>
            <w:tcW w:w="110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740" w:type="dxa"/>
            <w:tcBorders>
              <w:top w:val="nil"/>
              <w:left w:val="nil"/>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30203</w:t>
            </w:r>
          </w:p>
        </w:tc>
        <w:tc>
          <w:tcPr>
            <w:tcW w:w="104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咨询费</w:t>
            </w:r>
          </w:p>
        </w:tc>
        <w:tc>
          <w:tcPr>
            <w:tcW w:w="120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 </w:t>
            </w:r>
          </w:p>
        </w:tc>
        <w:tc>
          <w:tcPr>
            <w:tcW w:w="740" w:type="dxa"/>
            <w:tcBorders>
              <w:top w:val="nil"/>
              <w:left w:val="nil"/>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w:t>
            </w:r>
          </w:p>
        </w:tc>
        <w:tc>
          <w:tcPr>
            <w:tcW w:w="142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资本性支出</w:t>
            </w:r>
          </w:p>
        </w:tc>
        <w:tc>
          <w:tcPr>
            <w:tcW w:w="143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178.46 </w:t>
            </w: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30106</w:t>
            </w:r>
          </w:p>
        </w:tc>
        <w:tc>
          <w:tcPr>
            <w:tcW w:w="148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伙食补助费</w:t>
            </w:r>
          </w:p>
        </w:tc>
        <w:tc>
          <w:tcPr>
            <w:tcW w:w="110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c>
          <w:tcPr>
            <w:tcW w:w="740" w:type="dxa"/>
            <w:tcBorders>
              <w:top w:val="nil"/>
              <w:left w:val="nil"/>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30204</w:t>
            </w:r>
          </w:p>
        </w:tc>
        <w:tc>
          <w:tcPr>
            <w:tcW w:w="104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手续费</w:t>
            </w:r>
          </w:p>
        </w:tc>
        <w:tc>
          <w:tcPr>
            <w:tcW w:w="120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0.04 </w:t>
            </w:r>
          </w:p>
        </w:tc>
        <w:tc>
          <w:tcPr>
            <w:tcW w:w="740" w:type="dxa"/>
            <w:tcBorders>
              <w:top w:val="nil"/>
              <w:left w:val="nil"/>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31001</w:t>
            </w:r>
          </w:p>
        </w:tc>
        <w:tc>
          <w:tcPr>
            <w:tcW w:w="142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房屋建筑物购建</w:t>
            </w:r>
          </w:p>
        </w:tc>
        <w:tc>
          <w:tcPr>
            <w:tcW w:w="143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 </w:t>
            </w: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30107</w:t>
            </w:r>
          </w:p>
        </w:tc>
        <w:tc>
          <w:tcPr>
            <w:tcW w:w="148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绩效工资</w:t>
            </w:r>
          </w:p>
        </w:tc>
        <w:tc>
          <w:tcPr>
            <w:tcW w:w="110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41.90 </w:t>
            </w:r>
          </w:p>
        </w:tc>
        <w:tc>
          <w:tcPr>
            <w:tcW w:w="740" w:type="dxa"/>
            <w:tcBorders>
              <w:top w:val="nil"/>
              <w:left w:val="nil"/>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30205</w:t>
            </w:r>
          </w:p>
        </w:tc>
        <w:tc>
          <w:tcPr>
            <w:tcW w:w="104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水费</w:t>
            </w:r>
          </w:p>
        </w:tc>
        <w:tc>
          <w:tcPr>
            <w:tcW w:w="120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17.73 </w:t>
            </w:r>
          </w:p>
        </w:tc>
        <w:tc>
          <w:tcPr>
            <w:tcW w:w="740" w:type="dxa"/>
            <w:tcBorders>
              <w:top w:val="nil"/>
              <w:left w:val="nil"/>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31002</w:t>
            </w:r>
          </w:p>
        </w:tc>
        <w:tc>
          <w:tcPr>
            <w:tcW w:w="142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办公设备购置</w:t>
            </w:r>
          </w:p>
        </w:tc>
        <w:tc>
          <w:tcPr>
            <w:tcW w:w="143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70.42 </w:t>
            </w:r>
          </w:p>
        </w:tc>
      </w:tr>
      <w:tr>
        <w:tblPrEx>
          <w:tblCellMar>
            <w:top w:w="0" w:type="dxa"/>
            <w:left w:w="108" w:type="dxa"/>
            <w:bottom w:w="0" w:type="dxa"/>
            <w:right w:w="108" w:type="dxa"/>
          </w:tblCellMar>
        </w:tblPrEx>
        <w:trPr>
          <w:trHeight w:val="810" w:hRule="atLeast"/>
        </w:trPr>
        <w:tc>
          <w:tcPr>
            <w:tcW w:w="74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30108</w:t>
            </w:r>
          </w:p>
        </w:tc>
        <w:tc>
          <w:tcPr>
            <w:tcW w:w="148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w:t>
            </w:r>
          </w:p>
        </w:tc>
        <w:tc>
          <w:tcPr>
            <w:tcW w:w="110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184.59 </w:t>
            </w:r>
          </w:p>
        </w:tc>
        <w:tc>
          <w:tcPr>
            <w:tcW w:w="740" w:type="dxa"/>
            <w:tcBorders>
              <w:top w:val="nil"/>
              <w:left w:val="nil"/>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30206</w:t>
            </w:r>
          </w:p>
        </w:tc>
        <w:tc>
          <w:tcPr>
            <w:tcW w:w="104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电费</w:t>
            </w:r>
          </w:p>
        </w:tc>
        <w:tc>
          <w:tcPr>
            <w:tcW w:w="120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105.40 </w:t>
            </w:r>
          </w:p>
        </w:tc>
        <w:tc>
          <w:tcPr>
            <w:tcW w:w="740" w:type="dxa"/>
            <w:tcBorders>
              <w:top w:val="nil"/>
              <w:left w:val="nil"/>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31003</w:t>
            </w:r>
          </w:p>
        </w:tc>
        <w:tc>
          <w:tcPr>
            <w:tcW w:w="142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专用设备购置</w:t>
            </w:r>
          </w:p>
        </w:tc>
        <w:tc>
          <w:tcPr>
            <w:tcW w:w="143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30109</w:t>
            </w:r>
          </w:p>
        </w:tc>
        <w:tc>
          <w:tcPr>
            <w:tcW w:w="148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职业年金缴费</w:t>
            </w:r>
          </w:p>
        </w:tc>
        <w:tc>
          <w:tcPr>
            <w:tcW w:w="110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24.78 </w:t>
            </w:r>
          </w:p>
        </w:tc>
        <w:tc>
          <w:tcPr>
            <w:tcW w:w="740" w:type="dxa"/>
            <w:tcBorders>
              <w:top w:val="nil"/>
              <w:left w:val="nil"/>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30207</w:t>
            </w:r>
          </w:p>
        </w:tc>
        <w:tc>
          <w:tcPr>
            <w:tcW w:w="104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邮电费</w:t>
            </w:r>
          </w:p>
        </w:tc>
        <w:tc>
          <w:tcPr>
            <w:tcW w:w="120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45.93 </w:t>
            </w:r>
          </w:p>
        </w:tc>
        <w:tc>
          <w:tcPr>
            <w:tcW w:w="740" w:type="dxa"/>
            <w:tcBorders>
              <w:top w:val="nil"/>
              <w:left w:val="nil"/>
              <w:bottom w:val="single" w:color="000000" w:sz="4" w:space="0"/>
              <w:right w:val="single" w:color="000000" w:sz="4" w:space="0"/>
            </w:tcBorders>
            <w:shd w:val="clear" w:color="FFFFFF"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31005</w:t>
            </w:r>
          </w:p>
        </w:tc>
        <w:tc>
          <w:tcPr>
            <w:tcW w:w="1420" w:type="dxa"/>
            <w:tcBorders>
              <w:top w:val="nil"/>
              <w:left w:val="nil"/>
              <w:bottom w:val="single" w:color="000000" w:sz="4" w:space="0"/>
              <w:right w:val="nil"/>
            </w:tcBorders>
            <w:shd w:val="clear" w:color="FFFFFF"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基础设施建设</w:t>
            </w:r>
          </w:p>
        </w:tc>
        <w:tc>
          <w:tcPr>
            <w:tcW w:w="1430" w:type="dxa"/>
            <w:tcBorders>
              <w:top w:val="nil"/>
              <w:left w:val="single" w:color="auto" w:sz="4" w:space="0"/>
              <w:bottom w:val="single" w:color="auto" w:sz="4" w:space="0"/>
              <w:right w:val="single" w:color="auto" w:sz="4" w:space="0"/>
            </w:tcBorders>
            <w:shd w:val="clear" w:color="FFFFFF"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30110</w:t>
            </w:r>
          </w:p>
        </w:tc>
        <w:tc>
          <w:tcPr>
            <w:tcW w:w="148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职工基本医疗保险缴费</w:t>
            </w:r>
          </w:p>
        </w:tc>
        <w:tc>
          <w:tcPr>
            <w:tcW w:w="11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58.93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30208</w:t>
            </w:r>
          </w:p>
        </w:tc>
        <w:tc>
          <w:tcPr>
            <w:tcW w:w="104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取暖费</w:t>
            </w:r>
          </w:p>
        </w:tc>
        <w:tc>
          <w:tcPr>
            <w:tcW w:w="12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94.96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31006</w:t>
            </w:r>
          </w:p>
        </w:tc>
        <w:tc>
          <w:tcPr>
            <w:tcW w:w="14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大型修缮</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30111</w:t>
            </w:r>
          </w:p>
        </w:tc>
        <w:tc>
          <w:tcPr>
            <w:tcW w:w="148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公务员医疗补助缴费</w:t>
            </w:r>
          </w:p>
        </w:tc>
        <w:tc>
          <w:tcPr>
            <w:tcW w:w="11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30209</w:t>
            </w:r>
          </w:p>
        </w:tc>
        <w:tc>
          <w:tcPr>
            <w:tcW w:w="104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物业管理费</w:t>
            </w:r>
          </w:p>
        </w:tc>
        <w:tc>
          <w:tcPr>
            <w:tcW w:w="12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31007</w:t>
            </w:r>
          </w:p>
        </w:tc>
        <w:tc>
          <w:tcPr>
            <w:tcW w:w="14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信息网络及软件购置更新</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108.04 </w:t>
            </w: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30112</w:t>
            </w:r>
          </w:p>
        </w:tc>
        <w:tc>
          <w:tcPr>
            <w:tcW w:w="148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其他社会保障缴费</w:t>
            </w:r>
          </w:p>
        </w:tc>
        <w:tc>
          <w:tcPr>
            <w:tcW w:w="11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8.53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30211</w:t>
            </w:r>
          </w:p>
        </w:tc>
        <w:tc>
          <w:tcPr>
            <w:tcW w:w="104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差旅费</w:t>
            </w:r>
          </w:p>
        </w:tc>
        <w:tc>
          <w:tcPr>
            <w:tcW w:w="12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5.43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31008</w:t>
            </w:r>
          </w:p>
        </w:tc>
        <w:tc>
          <w:tcPr>
            <w:tcW w:w="14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物资储备</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810" w:hRule="atLeast"/>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30113</w:t>
            </w:r>
          </w:p>
        </w:tc>
        <w:tc>
          <w:tcPr>
            <w:tcW w:w="148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1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83.73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30212</w:t>
            </w:r>
          </w:p>
        </w:tc>
        <w:tc>
          <w:tcPr>
            <w:tcW w:w="104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因公出国（境）费用</w:t>
            </w:r>
          </w:p>
        </w:tc>
        <w:tc>
          <w:tcPr>
            <w:tcW w:w="12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5.76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31009</w:t>
            </w:r>
          </w:p>
        </w:tc>
        <w:tc>
          <w:tcPr>
            <w:tcW w:w="14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土地补偿</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30114</w:t>
            </w:r>
          </w:p>
        </w:tc>
        <w:tc>
          <w:tcPr>
            <w:tcW w:w="148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医疗费</w:t>
            </w:r>
          </w:p>
        </w:tc>
        <w:tc>
          <w:tcPr>
            <w:tcW w:w="11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30213</w:t>
            </w:r>
          </w:p>
        </w:tc>
        <w:tc>
          <w:tcPr>
            <w:tcW w:w="104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维修（护）费</w:t>
            </w:r>
          </w:p>
        </w:tc>
        <w:tc>
          <w:tcPr>
            <w:tcW w:w="12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109.04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31010</w:t>
            </w:r>
          </w:p>
        </w:tc>
        <w:tc>
          <w:tcPr>
            <w:tcW w:w="14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安置补助</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30199</w:t>
            </w:r>
          </w:p>
        </w:tc>
        <w:tc>
          <w:tcPr>
            <w:tcW w:w="148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其他工资福利支出</w:t>
            </w:r>
          </w:p>
        </w:tc>
        <w:tc>
          <w:tcPr>
            <w:tcW w:w="11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388.98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30214</w:t>
            </w:r>
          </w:p>
        </w:tc>
        <w:tc>
          <w:tcPr>
            <w:tcW w:w="104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租赁费</w:t>
            </w:r>
          </w:p>
        </w:tc>
        <w:tc>
          <w:tcPr>
            <w:tcW w:w="12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5.80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31011</w:t>
            </w:r>
          </w:p>
        </w:tc>
        <w:tc>
          <w:tcPr>
            <w:tcW w:w="14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地上附着物和青苗补偿</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w:t>
            </w:r>
          </w:p>
        </w:tc>
        <w:tc>
          <w:tcPr>
            <w:tcW w:w="148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对个人和家庭的补助</w:t>
            </w:r>
          </w:p>
        </w:tc>
        <w:tc>
          <w:tcPr>
            <w:tcW w:w="11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142.81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30215</w:t>
            </w:r>
          </w:p>
        </w:tc>
        <w:tc>
          <w:tcPr>
            <w:tcW w:w="104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会议费</w:t>
            </w:r>
          </w:p>
        </w:tc>
        <w:tc>
          <w:tcPr>
            <w:tcW w:w="12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31012</w:t>
            </w:r>
          </w:p>
        </w:tc>
        <w:tc>
          <w:tcPr>
            <w:tcW w:w="14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拆迁补偿</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30301</w:t>
            </w:r>
          </w:p>
        </w:tc>
        <w:tc>
          <w:tcPr>
            <w:tcW w:w="148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离休费</w:t>
            </w:r>
          </w:p>
        </w:tc>
        <w:tc>
          <w:tcPr>
            <w:tcW w:w="11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30216</w:t>
            </w:r>
          </w:p>
        </w:tc>
        <w:tc>
          <w:tcPr>
            <w:tcW w:w="104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培训费</w:t>
            </w:r>
          </w:p>
        </w:tc>
        <w:tc>
          <w:tcPr>
            <w:tcW w:w="12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31013</w:t>
            </w:r>
          </w:p>
        </w:tc>
        <w:tc>
          <w:tcPr>
            <w:tcW w:w="14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公务用车购置</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30302</w:t>
            </w:r>
          </w:p>
        </w:tc>
        <w:tc>
          <w:tcPr>
            <w:tcW w:w="148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退休费</w:t>
            </w:r>
          </w:p>
        </w:tc>
        <w:tc>
          <w:tcPr>
            <w:tcW w:w="11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33.68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4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公务接待费</w:t>
            </w:r>
          </w:p>
        </w:tc>
        <w:tc>
          <w:tcPr>
            <w:tcW w:w="12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31019</w:t>
            </w:r>
          </w:p>
        </w:tc>
        <w:tc>
          <w:tcPr>
            <w:tcW w:w="14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其他交通工具购置</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30303</w:t>
            </w:r>
          </w:p>
        </w:tc>
        <w:tc>
          <w:tcPr>
            <w:tcW w:w="148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退职（役）费</w:t>
            </w:r>
          </w:p>
        </w:tc>
        <w:tc>
          <w:tcPr>
            <w:tcW w:w="11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30218</w:t>
            </w:r>
          </w:p>
        </w:tc>
        <w:tc>
          <w:tcPr>
            <w:tcW w:w="104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专用材料费</w:t>
            </w:r>
          </w:p>
        </w:tc>
        <w:tc>
          <w:tcPr>
            <w:tcW w:w="12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31021</w:t>
            </w:r>
          </w:p>
        </w:tc>
        <w:tc>
          <w:tcPr>
            <w:tcW w:w="14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文物和陈列品购置</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30304</w:t>
            </w:r>
          </w:p>
        </w:tc>
        <w:tc>
          <w:tcPr>
            <w:tcW w:w="148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抚恤金</w:t>
            </w:r>
          </w:p>
        </w:tc>
        <w:tc>
          <w:tcPr>
            <w:tcW w:w="11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77.36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30224</w:t>
            </w:r>
          </w:p>
        </w:tc>
        <w:tc>
          <w:tcPr>
            <w:tcW w:w="104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被装购置费</w:t>
            </w:r>
          </w:p>
        </w:tc>
        <w:tc>
          <w:tcPr>
            <w:tcW w:w="12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31022</w:t>
            </w:r>
          </w:p>
        </w:tc>
        <w:tc>
          <w:tcPr>
            <w:tcW w:w="14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无形资产购置</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30305</w:t>
            </w:r>
          </w:p>
        </w:tc>
        <w:tc>
          <w:tcPr>
            <w:tcW w:w="148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生活补助</w:t>
            </w:r>
          </w:p>
        </w:tc>
        <w:tc>
          <w:tcPr>
            <w:tcW w:w="11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31.77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30225</w:t>
            </w:r>
          </w:p>
        </w:tc>
        <w:tc>
          <w:tcPr>
            <w:tcW w:w="104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专用燃料费</w:t>
            </w:r>
          </w:p>
        </w:tc>
        <w:tc>
          <w:tcPr>
            <w:tcW w:w="12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31099</w:t>
            </w:r>
          </w:p>
        </w:tc>
        <w:tc>
          <w:tcPr>
            <w:tcW w:w="14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其他资本性支出</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30306</w:t>
            </w:r>
          </w:p>
        </w:tc>
        <w:tc>
          <w:tcPr>
            <w:tcW w:w="148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救济费</w:t>
            </w:r>
          </w:p>
        </w:tc>
        <w:tc>
          <w:tcPr>
            <w:tcW w:w="11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30226</w:t>
            </w:r>
          </w:p>
        </w:tc>
        <w:tc>
          <w:tcPr>
            <w:tcW w:w="104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劳务费</w:t>
            </w:r>
          </w:p>
        </w:tc>
        <w:tc>
          <w:tcPr>
            <w:tcW w:w="12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182.91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w:t>
            </w:r>
          </w:p>
        </w:tc>
        <w:tc>
          <w:tcPr>
            <w:tcW w:w="14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其他支出</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30307</w:t>
            </w:r>
          </w:p>
        </w:tc>
        <w:tc>
          <w:tcPr>
            <w:tcW w:w="148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医疗费补助</w:t>
            </w:r>
          </w:p>
        </w:tc>
        <w:tc>
          <w:tcPr>
            <w:tcW w:w="11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30227</w:t>
            </w:r>
          </w:p>
        </w:tc>
        <w:tc>
          <w:tcPr>
            <w:tcW w:w="104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委托业务费</w:t>
            </w:r>
          </w:p>
        </w:tc>
        <w:tc>
          <w:tcPr>
            <w:tcW w:w="12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48.23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39906</w:t>
            </w:r>
          </w:p>
        </w:tc>
        <w:tc>
          <w:tcPr>
            <w:tcW w:w="14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赠与</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30308</w:t>
            </w:r>
          </w:p>
        </w:tc>
        <w:tc>
          <w:tcPr>
            <w:tcW w:w="148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助学金</w:t>
            </w:r>
          </w:p>
        </w:tc>
        <w:tc>
          <w:tcPr>
            <w:tcW w:w="11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30228</w:t>
            </w:r>
          </w:p>
        </w:tc>
        <w:tc>
          <w:tcPr>
            <w:tcW w:w="104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工会经费</w:t>
            </w:r>
          </w:p>
        </w:tc>
        <w:tc>
          <w:tcPr>
            <w:tcW w:w="12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39907</w:t>
            </w:r>
          </w:p>
        </w:tc>
        <w:tc>
          <w:tcPr>
            <w:tcW w:w="14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国家赔偿费用支出</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1080" w:hRule="atLeast"/>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30309</w:t>
            </w:r>
          </w:p>
        </w:tc>
        <w:tc>
          <w:tcPr>
            <w:tcW w:w="148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奖励金</w:t>
            </w:r>
          </w:p>
        </w:tc>
        <w:tc>
          <w:tcPr>
            <w:tcW w:w="11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30229</w:t>
            </w:r>
          </w:p>
        </w:tc>
        <w:tc>
          <w:tcPr>
            <w:tcW w:w="104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福利费</w:t>
            </w:r>
          </w:p>
        </w:tc>
        <w:tc>
          <w:tcPr>
            <w:tcW w:w="12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39908</w:t>
            </w:r>
          </w:p>
        </w:tc>
        <w:tc>
          <w:tcPr>
            <w:tcW w:w="14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对民间非营利组织和群众性自治组织补贴</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30310</w:t>
            </w:r>
          </w:p>
        </w:tc>
        <w:tc>
          <w:tcPr>
            <w:tcW w:w="148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个人农业生产补贴</w:t>
            </w:r>
          </w:p>
        </w:tc>
        <w:tc>
          <w:tcPr>
            <w:tcW w:w="11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30231</w:t>
            </w:r>
          </w:p>
        </w:tc>
        <w:tc>
          <w:tcPr>
            <w:tcW w:w="104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公务用车运行维护费</w:t>
            </w:r>
          </w:p>
        </w:tc>
        <w:tc>
          <w:tcPr>
            <w:tcW w:w="12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62.08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39999</w:t>
            </w:r>
          </w:p>
        </w:tc>
        <w:tc>
          <w:tcPr>
            <w:tcW w:w="14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其他支出</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30399</w:t>
            </w:r>
          </w:p>
        </w:tc>
        <w:tc>
          <w:tcPr>
            <w:tcW w:w="148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其他对个人和家庭的补助</w:t>
            </w:r>
          </w:p>
        </w:tc>
        <w:tc>
          <w:tcPr>
            <w:tcW w:w="11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30239</w:t>
            </w:r>
          </w:p>
        </w:tc>
        <w:tc>
          <w:tcPr>
            <w:tcW w:w="104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其他交通费用</w:t>
            </w:r>
          </w:p>
        </w:tc>
        <w:tc>
          <w:tcPr>
            <w:tcW w:w="12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60.63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8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30240</w:t>
            </w:r>
          </w:p>
        </w:tc>
        <w:tc>
          <w:tcPr>
            <w:tcW w:w="104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税金及附加费用</w:t>
            </w:r>
          </w:p>
        </w:tc>
        <w:tc>
          <w:tcPr>
            <w:tcW w:w="12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r>
      <w:tr>
        <w:tblPrEx>
          <w:tblCellMar>
            <w:top w:w="0" w:type="dxa"/>
            <w:left w:w="108" w:type="dxa"/>
            <w:bottom w:w="0" w:type="dxa"/>
            <w:right w:w="108" w:type="dxa"/>
          </w:tblCellMar>
        </w:tblPrEx>
        <w:trPr>
          <w:trHeight w:val="702" w:hRule="atLeast"/>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8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10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30299</w:t>
            </w:r>
          </w:p>
        </w:tc>
        <w:tc>
          <w:tcPr>
            <w:tcW w:w="104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其他商品和服务支出</w:t>
            </w:r>
          </w:p>
        </w:tc>
        <w:tc>
          <w:tcPr>
            <w:tcW w:w="12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155.16 </w:t>
            </w:r>
          </w:p>
        </w:tc>
        <w:tc>
          <w:tcPr>
            <w:tcW w:w="7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20" w:type="dxa"/>
            <w:tcBorders>
              <w:top w:val="nil"/>
              <w:left w:val="nil"/>
              <w:bottom w:val="single" w:color="000000" w:sz="4" w:space="0"/>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r>
      <w:tr>
        <w:tblPrEx>
          <w:tblCellMar>
            <w:top w:w="0" w:type="dxa"/>
            <w:left w:w="108" w:type="dxa"/>
            <w:bottom w:w="0" w:type="dxa"/>
            <w:right w:w="108" w:type="dxa"/>
          </w:tblCellMar>
        </w:tblPrEx>
        <w:trPr>
          <w:trHeight w:val="702" w:hRule="atLeast"/>
        </w:trPr>
        <w:tc>
          <w:tcPr>
            <w:tcW w:w="2220"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人员经费合计</w:t>
            </w:r>
          </w:p>
        </w:tc>
        <w:tc>
          <w:tcPr>
            <w:tcW w:w="110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1914.68 </w:t>
            </w:r>
          </w:p>
        </w:tc>
        <w:tc>
          <w:tcPr>
            <w:tcW w:w="5140" w:type="dxa"/>
            <w:gridSpan w:val="5"/>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公用经费合计</w:t>
            </w:r>
          </w:p>
        </w:tc>
        <w:tc>
          <w:tcPr>
            <w:tcW w:w="143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1259.69 </w:t>
            </w:r>
          </w:p>
        </w:tc>
      </w:tr>
      <w:tr>
        <w:tblPrEx>
          <w:tblCellMar>
            <w:top w:w="0" w:type="dxa"/>
            <w:left w:w="108" w:type="dxa"/>
            <w:bottom w:w="0" w:type="dxa"/>
            <w:right w:w="108" w:type="dxa"/>
          </w:tblCellMar>
        </w:tblPrEx>
        <w:trPr>
          <w:trHeight w:val="308" w:hRule="atLeast"/>
        </w:trPr>
        <w:tc>
          <w:tcPr>
            <w:tcW w:w="9890" w:type="dxa"/>
            <w:gridSpan w:val="9"/>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注：本表反映部门本年度一般公共预算财政拨款基本支出明细情况。</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6"/>
        <w:tblW w:w="10569" w:type="dxa"/>
        <w:tblInd w:w="93" w:type="dxa"/>
        <w:tblLayout w:type="autofit"/>
        <w:tblCellMar>
          <w:top w:w="0" w:type="dxa"/>
          <w:left w:w="108" w:type="dxa"/>
          <w:bottom w:w="0" w:type="dxa"/>
          <w:right w:w="108" w:type="dxa"/>
        </w:tblCellMar>
      </w:tblPr>
      <w:tblGrid>
        <w:gridCol w:w="717"/>
        <w:gridCol w:w="876"/>
        <w:gridCol w:w="717"/>
        <w:gridCol w:w="780"/>
        <w:gridCol w:w="880"/>
        <w:gridCol w:w="723"/>
        <w:gridCol w:w="1090"/>
        <w:gridCol w:w="876"/>
        <w:gridCol w:w="920"/>
        <w:gridCol w:w="800"/>
        <w:gridCol w:w="760"/>
        <w:gridCol w:w="1430"/>
      </w:tblGrid>
      <w:tr>
        <w:tblPrEx>
          <w:tblCellMar>
            <w:top w:w="0" w:type="dxa"/>
            <w:left w:w="108" w:type="dxa"/>
            <w:bottom w:w="0" w:type="dxa"/>
            <w:right w:w="108" w:type="dxa"/>
          </w:tblCellMar>
        </w:tblPrEx>
        <w:trPr>
          <w:trHeight w:val="540" w:hRule="atLeast"/>
        </w:trPr>
        <w:tc>
          <w:tcPr>
            <w:tcW w:w="71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7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1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23"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44"/>
                <w:szCs w:val="44"/>
              </w:rPr>
            </w:pPr>
          </w:p>
        </w:tc>
        <w:tc>
          <w:tcPr>
            <w:tcW w:w="109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7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255" w:hRule="atLeast"/>
        </w:trPr>
        <w:tc>
          <w:tcPr>
            <w:tcW w:w="71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7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1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2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9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7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right"/>
              <w:rPr>
                <w:rFonts w:hint="eastAsia" w:ascii="宋体" w:hAnsi="宋体" w:eastAsia="宋体" w:cs="Arial"/>
                <w:color w:val="000000"/>
                <w:kern w:val="0"/>
                <w:sz w:val="20"/>
                <w:szCs w:val="20"/>
              </w:rPr>
            </w:pPr>
          </w:p>
          <w:p>
            <w:pPr>
              <w:widowControl/>
              <w:jc w:val="right"/>
              <w:rPr>
                <w:rFonts w:ascii="宋体" w:hAnsi="宋体" w:eastAsia="宋体" w:cs="Arial"/>
                <w:color w:val="000000"/>
                <w:kern w:val="0"/>
                <w:sz w:val="20"/>
                <w:szCs w:val="20"/>
              </w:rPr>
            </w:pPr>
          </w:p>
        </w:tc>
      </w:tr>
    </w:tbl>
    <w:p>
      <w:pPr>
        <w:rPr>
          <w:rFonts w:hint="eastAsia" w:ascii="宋体" w:hAnsi="宋体" w:eastAsia="宋体" w:cs="Arial"/>
          <w:color w:val="000000"/>
          <w:kern w:val="0"/>
          <w:sz w:val="20"/>
          <w:szCs w:val="20"/>
        </w:rPr>
      </w:pPr>
    </w:p>
    <w:p>
      <w:pPr>
        <w:rPr>
          <w:rFonts w:hint="eastAsia"/>
        </w:rPr>
      </w:pPr>
    </w:p>
    <w:p>
      <w:pPr>
        <w:ind w:firstLine="480" w:firstLineChars="150"/>
        <w:rPr>
          <w:rFonts w:hint="eastAsia"/>
          <w:sz w:val="32"/>
          <w:szCs w:val="32"/>
        </w:rPr>
      </w:pPr>
      <w:r>
        <w:rPr>
          <w:rFonts w:hint="eastAsia"/>
          <w:sz w:val="32"/>
          <w:szCs w:val="32"/>
        </w:rPr>
        <w:t>一般公共预算财政拨款“三公”经费支出决算表</w:t>
      </w:r>
    </w:p>
    <w:tbl>
      <w:tblPr>
        <w:tblStyle w:val="6"/>
        <w:tblW w:w="9660" w:type="dxa"/>
        <w:tblInd w:w="93" w:type="dxa"/>
        <w:tblLayout w:type="autofit"/>
        <w:tblCellMar>
          <w:top w:w="0" w:type="dxa"/>
          <w:left w:w="108" w:type="dxa"/>
          <w:bottom w:w="0" w:type="dxa"/>
          <w:right w:w="108" w:type="dxa"/>
        </w:tblCellMar>
      </w:tblPr>
      <w:tblGrid>
        <w:gridCol w:w="717"/>
        <w:gridCol w:w="876"/>
        <w:gridCol w:w="717"/>
        <w:gridCol w:w="780"/>
        <w:gridCol w:w="880"/>
        <w:gridCol w:w="700"/>
        <w:gridCol w:w="717"/>
        <w:gridCol w:w="876"/>
        <w:gridCol w:w="920"/>
        <w:gridCol w:w="800"/>
        <w:gridCol w:w="760"/>
        <w:gridCol w:w="1430"/>
      </w:tblGrid>
      <w:tr>
        <w:tblPrEx>
          <w:tblCellMar>
            <w:top w:w="0" w:type="dxa"/>
            <w:left w:w="108" w:type="dxa"/>
            <w:bottom w:w="0" w:type="dxa"/>
            <w:right w:w="108" w:type="dxa"/>
          </w:tblCellMar>
        </w:tblPrEx>
        <w:trPr>
          <w:trHeight w:val="255" w:hRule="atLeast"/>
        </w:trPr>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9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公开07表</w:t>
            </w:r>
          </w:p>
        </w:tc>
      </w:tr>
      <w:tr>
        <w:tblPrEx>
          <w:tblCellMar>
            <w:top w:w="0" w:type="dxa"/>
            <w:left w:w="108" w:type="dxa"/>
            <w:bottom w:w="0" w:type="dxa"/>
            <w:right w:w="108" w:type="dxa"/>
          </w:tblCellMar>
        </w:tblPrEx>
        <w:trPr>
          <w:trHeight w:val="255" w:hRule="atLeast"/>
        </w:trPr>
        <w:tc>
          <w:tcPr>
            <w:tcW w:w="3650" w:type="dxa"/>
            <w:gridSpan w:val="5"/>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部门：保定市满城区人民政府总务</w:t>
            </w:r>
          </w:p>
        </w:tc>
        <w:tc>
          <w:tcPr>
            <w:tcW w:w="7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3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预算数</w:t>
            </w:r>
          </w:p>
        </w:tc>
        <w:tc>
          <w:tcPr>
            <w:tcW w:w="5310"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r>
      <w:tr>
        <w:tblPrEx>
          <w:tblCellMar>
            <w:top w:w="0" w:type="dxa"/>
            <w:left w:w="108" w:type="dxa"/>
            <w:bottom w:w="0" w:type="dxa"/>
            <w:right w:w="108" w:type="dxa"/>
          </w:tblCellMar>
        </w:tblPrEx>
        <w:trPr>
          <w:trHeight w:val="308" w:hRule="atLeast"/>
        </w:trPr>
        <w:tc>
          <w:tcPr>
            <w:tcW w:w="6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69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因公出国（境）费</w:t>
            </w:r>
          </w:p>
        </w:tc>
        <w:tc>
          <w:tcPr>
            <w:tcW w:w="232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公务用车购置及运行费</w:t>
            </w:r>
          </w:p>
        </w:tc>
        <w:tc>
          <w:tcPr>
            <w:tcW w:w="70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公务接待费</w:t>
            </w:r>
          </w:p>
        </w:tc>
        <w:tc>
          <w:tcPr>
            <w:tcW w:w="70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70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因公出国（境）费</w:t>
            </w:r>
          </w:p>
        </w:tc>
        <w:tc>
          <w:tcPr>
            <w:tcW w:w="248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公务用车购置及运行费</w:t>
            </w:r>
          </w:p>
        </w:tc>
        <w:tc>
          <w:tcPr>
            <w:tcW w:w="143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公务接待费</w:t>
            </w:r>
          </w:p>
        </w:tc>
      </w:tr>
      <w:tr>
        <w:tblPrEx>
          <w:tblCellMar>
            <w:top w:w="0" w:type="dxa"/>
            <w:left w:w="108" w:type="dxa"/>
            <w:bottom w:w="0" w:type="dxa"/>
            <w:right w:w="108" w:type="dxa"/>
          </w:tblCellMar>
        </w:tblPrEx>
        <w:trPr>
          <w:trHeight w:val="1500" w:hRule="atLeast"/>
        </w:trPr>
        <w:tc>
          <w:tcPr>
            <w:tcW w:w="6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9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公务用车购置费</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公务用车运行费</w:t>
            </w:r>
          </w:p>
        </w:tc>
        <w:tc>
          <w:tcPr>
            <w:tcW w:w="70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0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70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8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公务用车购置费</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公务用车运行费</w:t>
            </w:r>
          </w:p>
        </w:tc>
        <w:tc>
          <w:tcPr>
            <w:tcW w:w="143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640" w:type="dxa"/>
            <w:tcBorders>
              <w:top w:val="nil"/>
              <w:left w:val="single" w:color="000000" w:sz="4" w:space="0"/>
              <w:bottom w:val="nil"/>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690" w:type="dxa"/>
            <w:tcBorders>
              <w:top w:val="nil"/>
              <w:left w:val="nil"/>
              <w:bottom w:val="nil"/>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660" w:type="dxa"/>
            <w:tcBorders>
              <w:top w:val="nil"/>
              <w:left w:val="nil"/>
              <w:bottom w:val="nil"/>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780" w:type="dxa"/>
            <w:tcBorders>
              <w:top w:val="nil"/>
              <w:left w:val="nil"/>
              <w:bottom w:val="nil"/>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880" w:type="dxa"/>
            <w:tcBorders>
              <w:top w:val="nil"/>
              <w:left w:val="nil"/>
              <w:bottom w:val="nil"/>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700" w:type="dxa"/>
            <w:tcBorders>
              <w:top w:val="nil"/>
              <w:left w:val="nil"/>
              <w:bottom w:val="nil"/>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700" w:type="dxa"/>
            <w:tcBorders>
              <w:top w:val="nil"/>
              <w:left w:val="nil"/>
              <w:bottom w:val="nil"/>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700" w:type="dxa"/>
            <w:tcBorders>
              <w:top w:val="nil"/>
              <w:left w:val="nil"/>
              <w:bottom w:val="nil"/>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920" w:type="dxa"/>
            <w:tcBorders>
              <w:top w:val="nil"/>
              <w:left w:val="nil"/>
              <w:bottom w:val="nil"/>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c>
          <w:tcPr>
            <w:tcW w:w="800" w:type="dxa"/>
            <w:tcBorders>
              <w:top w:val="nil"/>
              <w:left w:val="nil"/>
              <w:bottom w:val="nil"/>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10</w:t>
            </w:r>
          </w:p>
        </w:tc>
        <w:tc>
          <w:tcPr>
            <w:tcW w:w="760" w:type="dxa"/>
            <w:tcBorders>
              <w:top w:val="nil"/>
              <w:left w:val="nil"/>
              <w:bottom w:val="nil"/>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1430" w:type="dxa"/>
            <w:tcBorders>
              <w:top w:val="nil"/>
              <w:left w:val="nil"/>
              <w:bottom w:val="nil"/>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r>
      <w:tr>
        <w:tblPrEx>
          <w:tblCellMar>
            <w:top w:w="0" w:type="dxa"/>
            <w:left w:w="108" w:type="dxa"/>
            <w:bottom w:w="0" w:type="dxa"/>
            <w:right w:w="108" w:type="dxa"/>
          </w:tblCellMar>
        </w:tblPrEx>
        <w:trPr>
          <w:trHeight w:val="285" w:hRule="atLeast"/>
        </w:trPr>
        <w:tc>
          <w:tcPr>
            <w:tcW w:w="64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70.76 </w:t>
            </w:r>
          </w:p>
        </w:tc>
        <w:tc>
          <w:tcPr>
            <w:tcW w:w="690"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5.76 </w:t>
            </w:r>
          </w:p>
        </w:tc>
        <w:tc>
          <w:tcPr>
            <w:tcW w:w="660"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65.00 </w:t>
            </w:r>
          </w:p>
        </w:tc>
        <w:tc>
          <w:tcPr>
            <w:tcW w:w="780"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 </w:t>
            </w:r>
          </w:p>
        </w:tc>
        <w:tc>
          <w:tcPr>
            <w:tcW w:w="880"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65.00 </w:t>
            </w:r>
          </w:p>
        </w:tc>
        <w:tc>
          <w:tcPr>
            <w:tcW w:w="700"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 </w:t>
            </w:r>
          </w:p>
        </w:tc>
        <w:tc>
          <w:tcPr>
            <w:tcW w:w="700"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67.84 </w:t>
            </w:r>
          </w:p>
        </w:tc>
        <w:tc>
          <w:tcPr>
            <w:tcW w:w="700"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5.76 </w:t>
            </w:r>
          </w:p>
        </w:tc>
        <w:tc>
          <w:tcPr>
            <w:tcW w:w="920"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62.08 </w:t>
            </w:r>
          </w:p>
        </w:tc>
        <w:tc>
          <w:tcPr>
            <w:tcW w:w="800"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 </w:t>
            </w:r>
          </w:p>
        </w:tc>
        <w:tc>
          <w:tcPr>
            <w:tcW w:w="760"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62.08 </w:t>
            </w:r>
          </w:p>
        </w:tc>
        <w:tc>
          <w:tcPr>
            <w:tcW w:w="1430"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 </w:t>
            </w:r>
          </w:p>
        </w:tc>
      </w:tr>
      <w:tr>
        <w:tblPrEx>
          <w:tblCellMar>
            <w:top w:w="0" w:type="dxa"/>
            <w:left w:w="108" w:type="dxa"/>
            <w:bottom w:w="0" w:type="dxa"/>
            <w:right w:w="108" w:type="dxa"/>
          </w:tblCellMar>
        </w:tblPrEx>
        <w:trPr>
          <w:trHeight w:val="1695" w:hRule="atLeast"/>
        </w:trPr>
        <w:tc>
          <w:tcPr>
            <w:tcW w:w="9660" w:type="dxa"/>
            <w:gridSpan w:val="12"/>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ind w:firstLine="480" w:firstLineChars="150"/>
        <w:rPr>
          <w:rFonts w:hint="eastAsia"/>
          <w:sz w:val="32"/>
          <w:szCs w:val="32"/>
        </w:rPr>
      </w:pPr>
    </w:p>
    <w:p>
      <w:pPr>
        <w:rPr>
          <w:rFonts w:hint="eastAsia"/>
        </w:rPr>
      </w:pPr>
    </w:p>
    <w:p>
      <w:pPr>
        <w:ind w:firstLine="2880" w:firstLineChars="900"/>
        <w:rPr>
          <w:rFonts w:hint="eastAsia"/>
          <w:sz w:val="32"/>
          <w:szCs w:val="32"/>
        </w:rPr>
      </w:pPr>
    </w:p>
    <w:p>
      <w:pPr>
        <w:ind w:firstLine="2880" w:firstLineChars="900"/>
        <w:rPr>
          <w:rFonts w:hint="eastAsia"/>
          <w:sz w:val="32"/>
          <w:szCs w:val="32"/>
        </w:rPr>
      </w:pPr>
    </w:p>
    <w:p>
      <w:pPr>
        <w:ind w:firstLine="2880" w:firstLineChars="900"/>
        <w:rPr>
          <w:rFonts w:hint="eastAsia"/>
          <w:sz w:val="32"/>
          <w:szCs w:val="32"/>
        </w:rPr>
      </w:pPr>
    </w:p>
    <w:p>
      <w:pPr>
        <w:ind w:firstLine="2880" w:firstLineChars="900"/>
        <w:rPr>
          <w:rFonts w:hint="eastAsia"/>
          <w:sz w:val="32"/>
          <w:szCs w:val="32"/>
        </w:rPr>
      </w:pPr>
    </w:p>
    <w:p>
      <w:pPr>
        <w:ind w:firstLine="2880" w:firstLineChars="900"/>
        <w:rPr>
          <w:rFonts w:hint="eastAsia"/>
          <w:sz w:val="32"/>
          <w:szCs w:val="32"/>
        </w:rPr>
      </w:pPr>
    </w:p>
    <w:p>
      <w:pPr>
        <w:ind w:firstLine="2880" w:firstLineChars="900"/>
        <w:rPr>
          <w:rFonts w:hint="eastAsia"/>
          <w:sz w:val="32"/>
          <w:szCs w:val="32"/>
        </w:rPr>
      </w:pPr>
    </w:p>
    <w:p>
      <w:pPr>
        <w:ind w:firstLine="2880" w:firstLineChars="900"/>
        <w:rPr>
          <w:rFonts w:hint="eastAsia"/>
          <w:sz w:val="32"/>
          <w:szCs w:val="32"/>
        </w:rPr>
      </w:pPr>
    </w:p>
    <w:p>
      <w:pPr>
        <w:ind w:firstLine="2880" w:firstLineChars="900"/>
        <w:rPr>
          <w:rFonts w:hint="eastAsia"/>
          <w:sz w:val="32"/>
          <w:szCs w:val="32"/>
        </w:rPr>
      </w:pPr>
    </w:p>
    <w:p>
      <w:pPr>
        <w:ind w:firstLine="2880" w:firstLineChars="900"/>
        <w:rPr>
          <w:rFonts w:hint="eastAsia"/>
          <w:sz w:val="32"/>
          <w:szCs w:val="32"/>
        </w:rPr>
      </w:pPr>
    </w:p>
    <w:p>
      <w:pPr>
        <w:ind w:firstLine="2880" w:firstLineChars="900"/>
        <w:rPr>
          <w:rFonts w:hint="eastAsia"/>
          <w:sz w:val="32"/>
          <w:szCs w:val="32"/>
        </w:rPr>
      </w:pPr>
      <w:r>
        <w:rPr>
          <w:rFonts w:hint="eastAsia"/>
          <w:sz w:val="32"/>
          <w:szCs w:val="32"/>
        </w:rPr>
        <w:t>政府性基金预算财政拨款收入支出决算表</w:t>
      </w:r>
    </w:p>
    <w:tbl>
      <w:tblPr>
        <w:tblStyle w:val="6"/>
        <w:tblW w:w="8670" w:type="dxa"/>
        <w:tblInd w:w="93" w:type="dxa"/>
        <w:tblLayout w:type="autofit"/>
        <w:tblCellMar>
          <w:top w:w="0" w:type="dxa"/>
          <w:left w:w="108" w:type="dxa"/>
          <w:bottom w:w="0" w:type="dxa"/>
          <w:right w:w="108" w:type="dxa"/>
        </w:tblCellMar>
      </w:tblPr>
      <w:tblGrid>
        <w:gridCol w:w="333"/>
        <w:gridCol w:w="332"/>
        <w:gridCol w:w="332"/>
        <w:gridCol w:w="1677"/>
        <w:gridCol w:w="936"/>
        <w:gridCol w:w="975"/>
        <w:gridCol w:w="975"/>
        <w:gridCol w:w="897"/>
        <w:gridCol w:w="939"/>
        <w:gridCol w:w="1394"/>
      </w:tblGrid>
      <w:tr>
        <w:tblPrEx>
          <w:tblCellMar>
            <w:top w:w="0" w:type="dxa"/>
            <w:left w:w="108" w:type="dxa"/>
            <w:bottom w:w="0" w:type="dxa"/>
            <w:right w:w="108" w:type="dxa"/>
          </w:tblCellMar>
        </w:tblPrEx>
        <w:trPr>
          <w:trHeight w:val="255" w:hRule="atLeast"/>
        </w:trPr>
        <w:tc>
          <w:tcPr>
            <w:tcW w:w="33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3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3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67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7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7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9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1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94"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公开08表</w:t>
            </w:r>
          </w:p>
        </w:tc>
      </w:tr>
      <w:tr>
        <w:tblPrEx>
          <w:tblCellMar>
            <w:top w:w="0" w:type="dxa"/>
            <w:left w:w="108" w:type="dxa"/>
            <w:bottom w:w="0" w:type="dxa"/>
            <w:right w:w="108" w:type="dxa"/>
          </w:tblCellMar>
        </w:tblPrEx>
        <w:trPr>
          <w:trHeight w:val="255" w:hRule="atLeast"/>
        </w:trPr>
        <w:tc>
          <w:tcPr>
            <w:tcW w:w="3610" w:type="dxa"/>
            <w:gridSpan w:val="5"/>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部门：保定市满城区人民政府总务</w:t>
            </w:r>
          </w:p>
        </w:tc>
        <w:tc>
          <w:tcPr>
            <w:tcW w:w="97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7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9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1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94"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267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936"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年初结转和结余</w:t>
            </w:r>
          </w:p>
        </w:tc>
        <w:tc>
          <w:tcPr>
            <w:tcW w:w="975"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w:t>
            </w:r>
          </w:p>
        </w:tc>
        <w:tc>
          <w:tcPr>
            <w:tcW w:w="269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w:t>
            </w:r>
          </w:p>
        </w:tc>
        <w:tc>
          <w:tcPr>
            <w:tcW w:w="1394"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年末结转和结余</w:t>
            </w:r>
          </w:p>
        </w:tc>
      </w:tr>
      <w:tr>
        <w:tblPrEx>
          <w:tblCellMar>
            <w:top w:w="0" w:type="dxa"/>
            <w:left w:w="108" w:type="dxa"/>
            <w:bottom w:w="0" w:type="dxa"/>
            <w:right w:w="108" w:type="dxa"/>
          </w:tblCellMar>
        </w:tblPrEx>
        <w:trPr>
          <w:trHeight w:val="312" w:hRule="atLeast"/>
        </w:trPr>
        <w:tc>
          <w:tcPr>
            <w:tcW w:w="997"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1677"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936"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89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81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394"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99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677"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36"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7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897"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81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394"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99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677"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36"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97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897"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81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394"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26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975" w:type="dxa"/>
            <w:tcBorders>
              <w:top w:val="nil"/>
              <w:left w:val="nil"/>
              <w:bottom w:val="nil"/>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975" w:type="dxa"/>
            <w:tcBorders>
              <w:top w:val="nil"/>
              <w:left w:val="nil"/>
              <w:bottom w:val="nil"/>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897" w:type="dxa"/>
            <w:tcBorders>
              <w:top w:val="nil"/>
              <w:left w:val="nil"/>
              <w:bottom w:val="nil"/>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819" w:type="dxa"/>
            <w:tcBorders>
              <w:top w:val="nil"/>
              <w:left w:val="nil"/>
              <w:bottom w:val="nil"/>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39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r>
      <w:tr>
        <w:tblPrEx>
          <w:tblCellMar>
            <w:top w:w="0" w:type="dxa"/>
            <w:left w:w="108" w:type="dxa"/>
            <w:bottom w:w="0" w:type="dxa"/>
            <w:right w:w="108" w:type="dxa"/>
          </w:tblCellMar>
        </w:tblPrEx>
        <w:trPr>
          <w:trHeight w:val="308" w:hRule="atLeast"/>
        </w:trPr>
        <w:tc>
          <w:tcPr>
            <w:tcW w:w="267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936" w:type="dxa"/>
            <w:tcBorders>
              <w:top w:val="nil"/>
              <w:left w:val="nil"/>
              <w:bottom w:val="single" w:color="000000" w:sz="4" w:space="0"/>
              <w:right w:val="nil"/>
            </w:tcBorders>
            <w:shd w:val="clear" w:color="auto" w:fill="auto"/>
            <w:noWrap/>
            <w:vAlign w:val="center"/>
          </w:tcPr>
          <w:p>
            <w:pPr>
              <w:widowControl/>
              <w:jc w:val="right"/>
              <w:rPr>
                <w:rFonts w:ascii="宋体" w:hAnsi="宋体" w:eastAsia="宋体" w:cs="Arial"/>
                <w:b/>
                <w:bCs/>
                <w:color w:val="000000"/>
                <w:kern w:val="0"/>
                <w:sz w:val="22"/>
              </w:rPr>
            </w:pPr>
          </w:p>
        </w:tc>
        <w:tc>
          <w:tcPr>
            <w:tcW w:w="9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1404.88 </w:t>
            </w:r>
          </w:p>
        </w:tc>
        <w:tc>
          <w:tcPr>
            <w:tcW w:w="975"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1404.88 </w:t>
            </w:r>
          </w:p>
        </w:tc>
        <w:tc>
          <w:tcPr>
            <w:tcW w:w="897"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819"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1404.88 </w:t>
            </w:r>
          </w:p>
        </w:tc>
        <w:tc>
          <w:tcPr>
            <w:tcW w:w="13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r>
      <w:tr>
        <w:tblPrEx>
          <w:tblCellMar>
            <w:top w:w="0" w:type="dxa"/>
            <w:left w:w="108" w:type="dxa"/>
            <w:bottom w:w="0" w:type="dxa"/>
            <w:right w:w="108" w:type="dxa"/>
          </w:tblCellMar>
        </w:tblPrEx>
        <w:trPr>
          <w:trHeight w:val="308" w:hRule="atLeast"/>
        </w:trPr>
        <w:tc>
          <w:tcPr>
            <w:tcW w:w="99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212</w:t>
            </w:r>
          </w:p>
        </w:tc>
        <w:tc>
          <w:tcPr>
            <w:tcW w:w="167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城乡社区支出</w:t>
            </w:r>
          </w:p>
        </w:tc>
        <w:tc>
          <w:tcPr>
            <w:tcW w:w="936" w:type="dxa"/>
            <w:tcBorders>
              <w:top w:val="nil"/>
              <w:left w:val="nil"/>
              <w:bottom w:val="single" w:color="000000" w:sz="4" w:space="0"/>
              <w:right w:val="nil"/>
            </w:tcBorders>
            <w:shd w:val="clear" w:color="auto" w:fill="auto"/>
            <w:noWrap/>
            <w:vAlign w:val="center"/>
          </w:tcPr>
          <w:p>
            <w:pPr>
              <w:widowControl/>
              <w:jc w:val="right"/>
              <w:rPr>
                <w:rFonts w:ascii="宋体" w:hAnsi="宋体" w:eastAsia="宋体" w:cs="Arial"/>
                <w:color w:val="000000"/>
                <w:kern w:val="0"/>
                <w:sz w:val="22"/>
              </w:rPr>
            </w:pPr>
          </w:p>
        </w:tc>
        <w:tc>
          <w:tcPr>
            <w:tcW w:w="975"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1404.88 </w:t>
            </w:r>
          </w:p>
        </w:tc>
        <w:tc>
          <w:tcPr>
            <w:tcW w:w="97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1404.88 </w:t>
            </w:r>
          </w:p>
        </w:tc>
        <w:tc>
          <w:tcPr>
            <w:tcW w:w="897"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1404.88 </w:t>
            </w:r>
          </w:p>
        </w:tc>
        <w:tc>
          <w:tcPr>
            <w:tcW w:w="13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1080" w:hRule="atLeast"/>
        </w:trPr>
        <w:tc>
          <w:tcPr>
            <w:tcW w:w="99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21208</w:t>
            </w:r>
          </w:p>
        </w:tc>
        <w:tc>
          <w:tcPr>
            <w:tcW w:w="167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国有土地使用权出让收入及对应专项债务收入安排的支出</w:t>
            </w:r>
          </w:p>
        </w:tc>
        <w:tc>
          <w:tcPr>
            <w:tcW w:w="936" w:type="dxa"/>
            <w:tcBorders>
              <w:top w:val="nil"/>
              <w:left w:val="nil"/>
              <w:bottom w:val="single" w:color="000000" w:sz="4" w:space="0"/>
              <w:right w:val="nil"/>
            </w:tcBorders>
            <w:shd w:val="clear" w:color="auto" w:fill="auto"/>
            <w:noWrap/>
            <w:vAlign w:val="center"/>
          </w:tcPr>
          <w:p>
            <w:pPr>
              <w:widowControl/>
              <w:jc w:val="right"/>
              <w:rPr>
                <w:rFonts w:ascii="宋体" w:hAnsi="宋体" w:eastAsia="宋体" w:cs="Arial"/>
                <w:color w:val="000000"/>
                <w:kern w:val="0"/>
                <w:sz w:val="22"/>
              </w:rPr>
            </w:pPr>
          </w:p>
        </w:tc>
        <w:tc>
          <w:tcPr>
            <w:tcW w:w="975"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1404.88 </w:t>
            </w:r>
          </w:p>
        </w:tc>
        <w:tc>
          <w:tcPr>
            <w:tcW w:w="97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1404.88 </w:t>
            </w:r>
          </w:p>
        </w:tc>
        <w:tc>
          <w:tcPr>
            <w:tcW w:w="897"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1404.88 </w:t>
            </w:r>
          </w:p>
        </w:tc>
        <w:tc>
          <w:tcPr>
            <w:tcW w:w="13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99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2120802</w:t>
            </w:r>
          </w:p>
        </w:tc>
        <w:tc>
          <w:tcPr>
            <w:tcW w:w="167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土地开发支出</w:t>
            </w:r>
          </w:p>
        </w:tc>
        <w:tc>
          <w:tcPr>
            <w:tcW w:w="936" w:type="dxa"/>
            <w:tcBorders>
              <w:top w:val="nil"/>
              <w:left w:val="nil"/>
              <w:bottom w:val="single" w:color="000000" w:sz="4" w:space="0"/>
              <w:right w:val="nil"/>
            </w:tcBorders>
            <w:shd w:val="clear" w:color="auto" w:fill="auto"/>
            <w:noWrap/>
            <w:vAlign w:val="center"/>
          </w:tcPr>
          <w:p>
            <w:pPr>
              <w:widowControl/>
              <w:jc w:val="right"/>
              <w:rPr>
                <w:rFonts w:ascii="宋体" w:hAnsi="宋体" w:eastAsia="宋体" w:cs="Arial"/>
                <w:color w:val="000000"/>
                <w:kern w:val="0"/>
                <w:sz w:val="22"/>
              </w:rPr>
            </w:pPr>
          </w:p>
        </w:tc>
        <w:tc>
          <w:tcPr>
            <w:tcW w:w="975"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164.12 </w:t>
            </w:r>
          </w:p>
        </w:tc>
        <w:tc>
          <w:tcPr>
            <w:tcW w:w="97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164.12 </w:t>
            </w:r>
          </w:p>
        </w:tc>
        <w:tc>
          <w:tcPr>
            <w:tcW w:w="897"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164.12 </w:t>
            </w:r>
          </w:p>
        </w:tc>
        <w:tc>
          <w:tcPr>
            <w:tcW w:w="13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99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2120804</w:t>
            </w:r>
          </w:p>
        </w:tc>
        <w:tc>
          <w:tcPr>
            <w:tcW w:w="167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农村基础设施建设支出</w:t>
            </w:r>
          </w:p>
        </w:tc>
        <w:tc>
          <w:tcPr>
            <w:tcW w:w="936" w:type="dxa"/>
            <w:tcBorders>
              <w:top w:val="nil"/>
              <w:left w:val="nil"/>
              <w:bottom w:val="single" w:color="000000" w:sz="4" w:space="0"/>
              <w:right w:val="nil"/>
            </w:tcBorders>
            <w:shd w:val="clear" w:color="auto" w:fill="auto"/>
            <w:noWrap/>
            <w:vAlign w:val="center"/>
          </w:tcPr>
          <w:p>
            <w:pPr>
              <w:widowControl/>
              <w:jc w:val="right"/>
              <w:rPr>
                <w:rFonts w:ascii="宋体" w:hAnsi="宋体" w:eastAsia="宋体" w:cs="Arial"/>
                <w:color w:val="000000"/>
                <w:kern w:val="0"/>
                <w:sz w:val="22"/>
              </w:rPr>
            </w:pPr>
          </w:p>
        </w:tc>
        <w:tc>
          <w:tcPr>
            <w:tcW w:w="975"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1240.76 </w:t>
            </w:r>
          </w:p>
        </w:tc>
        <w:tc>
          <w:tcPr>
            <w:tcW w:w="975"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1240.76 </w:t>
            </w:r>
          </w:p>
        </w:tc>
        <w:tc>
          <w:tcPr>
            <w:tcW w:w="897"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p>
        </w:tc>
        <w:tc>
          <w:tcPr>
            <w:tcW w:w="819"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 xml:space="preserve">1240.76 </w:t>
            </w:r>
          </w:p>
        </w:tc>
        <w:tc>
          <w:tcPr>
            <w:tcW w:w="13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99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9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99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9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99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9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997"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67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9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1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3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70" w:type="dxa"/>
            <w:gridSpan w:val="10"/>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注：本表反映部门本年度政府性基金预算财政拨款收入、支出及结转和结余情况。</w:t>
            </w:r>
          </w:p>
        </w:tc>
      </w:tr>
    </w:tbl>
    <w:p>
      <w:pPr>
        <w:rPr>
          <w:rFonts w:hint="eastAsia"/>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960" w:firstLineChars="300"/>
        <w:rPr>
          <w:rFonts w:hint="eastAsia"/>
          <w:sz w:val="32"/>
          <w:szCs w:val="32"/>
        </w:rPr>
      </w:pPr>
      <w:r>
        <w:rPr>
          <w:rFonts w:hint="eastAsia"/>
          <w:sz w:val="32"/>
          <w:szCs w:val="32"/>
        </w:rPr>
        <w:t>国有资本经营预算财政拨款支出决算表</w:t>
      </w:r>
    </w:p>
    <w:tbl>
      <w:tblPr>
        <w:tblStyle w:val="6"/>
        <w:tblW w:w="7020" w:type="dxa"/>
        <w:tblInd w:w="93" w:type="dxa"/>
        <w:tblLayout w:type="autofit"/>
        <w:tblCellMar>
          <w:top w:w="0" w:type="dxa"/>
          <w:left w:w="108" w:type="dxa"/>
          <w:bottom w:w="0" w:type="dxa"/>
          <w:right w:w="108" w:type="dxa"/>
        </w:tblCellMar>
      </w:tblPr>
      <w:tblGrid>
        <w:gridCol w:w="580"/>
        <w:gridCol w:w="600"/>
        <w:gridCol w:w="520"/>
        <w:gridCol w:w="1000"/>
        <w:gridCol w:w="960"/>
        <w:gridCol w:w="1800"/>
        <w:gridCol w:w="1560"/>
      </w:tblGrid>
      <w:tr>
        <w:tblPrEx>
          <w:tblCellMar>
            <w:top w:w="0" w:type="dxa"/>
            <w:left w:w="108" w:type="dxa"/>
            <w:bottom w:w="0" w:type="dxa"/>
            <w:right w:w="108" w:type="dxa"/>
          </w:tblCellMar>
        </w:tblPrEx>
        <w:trPr>
          <w:trHeight w:val="255" w:hRule="atLeast"/>
        </w:trPr>
        <w:tc>
          <w:tcPr>
            <w:tcW w:w="5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5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8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56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公开09表</w:t>
            </w:r>
          </w:p>
        </w:tc>
      </w:tr>
      <w:tr>
        <w:tblPrEx>
          <w:tblCellMar>
            <w:top w:w="0" w:type="dxa"/>
            <w:left w:w="108" w:type="dxa"/>
            <w:bottom w:w="0" w:type="dxa"/>
            <w:right w:w="108" w:type="dxa"/>
          </w:tblCellMar>
        </w:tblPrEx>
        <w:trPr>
          <w:trHeight w:val="255" w:hRule="atLeast"/>
        </w:trPr>
        <w:tc>
          <w:tcPr>
            <w:tcW w:w="3660" w:type="dxa"/>
            <w:gridSpan w:val="5"/>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部门：保定市满城区人民政府总务</w:t>
            </w:r>
          </w:p>
        </w:tc>
        <w:tc>
          <w:tcPr>
            <w:tcW w:w="18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56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270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w:t>
            </w:r>
          </w:p>
        </w:tc>
        <w:tc>
          <w:tcPr>
            <w:tcW w:w="432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w:t>
            </w:r>
          </w:p>
        </w:tc>
      </w:tr>
      <w:tr>
        <w:tblPrEx>
          <w:tblCellMar>
            <w:top w:w="0" w:type="dxa"/>
            <w:left w:w="108" w:type="dxa"/>
            <w:bottom w:w="0" w:type="dxa"/>
            <w:right w:w="108" w:type="dxa"/>
          </w:tblCellMar>
        </w:tblPrEx>
        <w:trPr>
          <w:trHeight w:val="615" w:hRule="atLeast"/>
        </w:trPr>
        <w:tc>
          <w:tcPr>
            <w:tcW w:w="170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10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r>
      <w:tr>
        <w:tblPrEx>
          <w:tblCellMar>
            <w:top w:w="0" w:type="dxa"/>
            <w:left w:w="108" w:type="dxa"/>
            <w:bottom w:w="0" w:type="dxa"/>
            <w:right w:w="108" w:type="dxa"/>
          </w:tblCellMar>
        </w:tblPrEx>
        <w:trPr>
          <w:trHeight w:val="308" w:hRule="atLeast"/>
        </w:trPr>
        <w:tc>
          <w:tcPr>
            <w:tcW w:w="270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r>
      <w:tr>
        <w:tblPrEx>
          <w:tblCellMar>
            <w:top w:w="0" w:type="dxa"/>
            <w:left w:w="108" w:type="dxa"/>
            <w:bottom w:w="0" w:type="dxa"/>
            <w:right w:w="108" w:type="dxa"/>
          </w:tblCellMar>
        </w:tblPrEx>
        <w:trPr>
          <w:trHeight w:val="308" w:hRule="atLeast"/>
        </w:trPr>
        <w:tc>
          <w:tcPr>
            <w:tcW w:w="270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r>
      <w:tr>
        <w:tblPrEx>
          <w:tblCellMar>
            <w:top w:w="0" w:type="dxa"/>
            <w:left w:w="108" w:type="dxa"/>
            <w:bottom w:w="0" w:type="dxa"/>
            <w:right w:w="108" w:type="dxa"/>
          </w:tblCellMar>
        </w:tblPrEx>
        <w:trPr>
          <w:trHeight w:val="308" w:hRule="atLeast"/>
        </w:trPr>
        <w:tc>
          <w:tcPr>
            <w:tcW w:w="17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7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7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7020" w:type="dxa"/>
            <w:gridSpan w:val="7"/>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注：本表反映部门本年度国有资本经营预算财政拨款支出情况。本部门本年度无相关支出情况，按要求以空表列示。</w:t>
            </w:r>
          </w:p>
        </w:tc>
      </w:tr>
    </w:tbl>
    <w:p>
      <w:pPr>
        <w:ind w:firstLine="1600" w:firstLineChars="500"/>
        <w:rPr>
          <w:rFonts w:hint="eastAsia"/>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r>
        <w:pict>
          <v:rect id="_x0000_s1105" o:spid="_x0000_s1105" o:spt="1" style="position:absolute;left:0pt;margin-left:-70.5pt;margin-top:-85.25pt;height:841.15pt;width:595.1pt;z-index:251672576;v-text-anchor:middle;mso-width-relative:page;mso-height-relative:page;" filled="f" stroked="f" coordsize="21600,21600">
            <v:path/>
            <v:fill on="f" focussize="0,0"/>
            <v:stroke on="f" weight="1pt"/>
            <v:imagedata o:title=""/>
            <o:lock v:ext="edit" aspectratio="f"/>
            <v:textbox>
              <w:txbxContent>
                <w:p/>
              </w:txbxContent>
            </v:textbox>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altName w:val="Meiryo UI"/>
    <w:panose1 w:val="020B0700000000000000"/>
    <w:charset w:val="80"/>
    <w:family w:val="swiss"/>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思源黑体 HW Bold">
    <w:altName w:val="宋体"/>
    <w:panose1 w:val="00000000000000000000"/>
    <w:charset w:val="86"/>
    <w:family w:val="swiss"/>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MS Gothic">
    <w:panose1 w:val="020B0609070205080204"/>
    <w:charset w:val="80"/>
    <w:family w:val="modern"/>
    <w:pitch w:val="default"/>
    <w:sig w:usb0="E00002FF" w:usb1="6AC7FDFB" w:usb2="00000012" w:usb3="00000000" w:csb0="4002009F" w:csb1="DFD70000"/>
  </w:font>
  <w:font w:name="方正黑体.">
    <w:altName w:val="微软雅黑"/>
    <w:panose1 w:val="00000000000000000000"/>
    <w:charset w:val="86"/>
    <w:family w:val="swiss"/>
    <w:pitch w:val="default"/>
    <w:sig w:usb0="00000000" w:usb1="00000000" w:usb2="00000010" w:usb3="00000000" w:csb0="00040000"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ArialUnicodeMS">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AF1C96"/>
    <w:rsid w:val="0007063E"/>
    <w:rsid w:val="00071ADD"/>
    <w:rsid w:val="00073392"/>
    <w:rsid w:val="00073F4E"/>
    <w:rsid w:val="00086C89"/>
    <w:rsid w:val="000A39FB"/>
    <w:rsid w:val="00117746"/>
    <w:rsid w:val="00163F95"/>
    <w:rsid w:val="00180A9A"/>
    <w:rsid w:val="001829C0"/>
    <w:rsid w:val="00184809"/>
    <w:rsid w:val="00192112"/>
    <w:rsid w:val="001B0127"/>
    <w:rsid w:val="001C12D5"/>
    <w:rsid w:val="001C69F7"/>
    <w:rsid w:val="001E45D3"/>
    <w:rsid w:val="002650EC"/>
    <w:rsid w:val="002A6C46"/>
    <w:rsid w:val="002C19B5"/>
    <w:rsid w:val="00371224"/>
    <w:rsid w:val="003A4EE8"/>
    <w:rsid w:val="00442CC2"/>
    <w:rsid w:val="00446244"/>
    <w:rsid w:val="00473C20"/>
    <w:rsid w:val="004D61CB"/>
    <w:rsid w:val="005011D6"/>
    <w:rsid w:val="00503F2E"/>
    <w:rsid w:val="00552226"/>
    <w:rsid w:val="00566120"/>
    <w:rsid w:val="00582E6D"/>
    <w:rsid w:val="005954D5"/>
    <w:rsid w:val="005A53FA"/>
    <w:rsid w:val="005D1293"/>
    <w:rsid w:val="00613B5A"/>
    <w:rsid w:val="00644D5F"/>
    <w:rsid w:val="006727AD"/>
    <w:rsid w:val="00691425"/>
    <w:rsid w:val="006A516E"/>
    <w:rsid w:val="006B0830"/>
    <w:rsid w:val="00716E2B"/>
    <w:rsid w:val="0072015C"/>
    <w:rsid w:val="00770F18"/>
    <w:rsid w:val="00773B74"/>
    <w:rsid w:val="0078290C"/>
    <w:rsid w:val="007C06CA"/>
    <w:rsid w:val="008163FB"/>
    <w:rsid w:val="008229FD"/>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4337A"/>
    <w:rsid w:val="00A929C2"/>
    <w:rsid w:val="00AD097F"/>
    <w:rsid w:val="00B844F4"/>
    <w:rsid w:val="00BA06A1"/>
    <w:rsid w:val="00BA770A"/>
    <w:rsid w:val="00BE2789"/>
    <w:rsid w:val="00BF4D15"/>
    <w:rsid w:val="00C054DE"/>
    <w:rsid w:val="00C679A9"/>
    <w:rsid w:val="00C7541C"/>
    <w:rsid w:val="00CC0FAA"/>
    <w:rsid w:val="00CD0736"/>
    <w:rsid w:val="00D1570F"/>
    <w:rsid w:val="00D32830"/>
    <w:rsid w:val="00D70AB5"/>
    <w:rsid w:val="00DB7153"/>
    <w:rsid w:val="00DB7F05"/>
    <w:rsid w:val="00E028C3"/>
    <w:rsid w:val="00E14F77"/>
    <w:rsid w:val="00E3076B"/>
    <w:rsid w:val="00E36978"/>
    <w:rsid w:val="00E82A1E"/>
    <w:rsid w:val="00EC06F4"/>
    <w:rsid w:val="00EE4E36"/>
    <w:rsid w:val="00F665F4"/>
    <w:rsid w:val="00F9026C"/>
    <w:rsid w:val="00FB1D00"/>
    <w:rsid w:val="00FD225F"/>
    <w:rsid w:val="050D6A54"/>
    <w:rsid w:val="0693617F"/>
    <w:rsid w:val="0A9D014A"/>
    <w:rsid w:val="125D43DF"/>
    <w:rsid w:val="276A122F"/>
    <w:rsid w:val="2BA36D06"/>
    <w:rsid w:val="2D830C43"/>
    <w:rsid w:val="2DC62269"/>
    <w:rsid w:val="2E1D67A0"/>
    <w:rsid w:val="31C2036A"/>
    <w:rsid w:val="320D02A5"/>
    <w:rsid w:val="348E566F"/>
    <w:rsid w:val="3A226944"/>
    <w:rsid w:val="3AEE6A48"/>
    <w:rsid w:val="3C1620AA"/>
    <w:rsid w:val="3D522221"/>
    <w:rsid w:val="3D8F080F"/>
    <w:rsid w:val="43C832F4"/>
    <w:rsid w:val="44CE1FA4"/>
    <w:rsid w:val="467223F8"/>
    <w:rsid w:val="487F73ED"/>
    <w:rsid w:val="4A347EAE"/>
    <w:rsid w:val="4D90271D"/>
    <w:rsid w:val="52600405"/>
    <w:rsid w:val="529B4319"/>
    <w:rsid w:val="54BE1161"/>
    <w:rsid w:val="55FE78EE"/>
    <w:rsid w:val="57773DD6"/>
    <w:rsid w:val="578B79AB"/>
    <w:rsid w:val="5CCD3FD5"/>
    <w:rsid w:val="5D072F45"/>
    <w:rsid w:val="5D7459A4"/>
    <w:rsid w:val="61D41BE3"/>
    <w:rsid w:val="61FA5F9D"/>
    <w:rsid w:val="64931D0F"/>
    <w:rsid w:val="64CD6910"/>
    <w:rsid w:val="653F4FBE"/>
    <w:rsid w:val="6789158D"/>
    <w:rsid w:val="67D81BA4"/>
    <w:rsid w:val="688429C5"/>
    <w:rsid w:val="69090FD5"/>
    <w:rsid w:val="6A3B405C"/>
    <w:rsid w:val="6AAF1C96"/>
    <w:rsid w:val="6DD22897"/>
    <w:rsid w:val="75456471"/>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99"/>
    <w:rPr>
      <w:rFonts w:ascii="仿宋_GB2312" w:hAnsi="仿宋_GB2312" w:eastAsia="仿宋_GB2312" w:cs="仿宋_GB2312"/>
      <w:sz w:val="32"/>
      <w:szCs w:val="32"/>
      <w:lang w:val="zh-CN"/>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character" w:customStyle="1" w:styleId="10">
    <w:name w:val="标题 1 Char"/>
    <w:basedOn w:val="8"/>
    <w:link w:val="2"/>
    <w:qFormat/>
    <w:uiPriority w:val="9"/>
    <w:rPr>
      <w:rFonts w:ascii="等线" w:hAnsi="等线" w:eastAsia="等线"/>
      <w:b/>
      <w:bCs/>
      <w:kern w:val="44"/>
      <w:sz w:val="44"/>
      <w:szCs w:val="44"/>
    </w:rPr>
  </w:style>
  <w:style w:type="character" w:customStyle="1" w:styleId="11">
    <w:name w:val="正文文本 Char"/>
    <w:basedOn w:val="8"/>
    <w:link w:val="3"/>
    <w:semiHidden/>
    <w:qFormat/>
    <w:uiPriority w:val="99"/>
    <w:rPr>
      <w:rFonts w:ascii="等线" w:hAnsi="等线" w:eastAsia="等线"/>
    </w:rPr>
  </w:style>
  <w:style w:type="character" w:customStyle="1" w:styleId="12">
    <w:name w:val="页脚 Char"/>
    <w:basedOn w:val="8"/>
    <w:link w:val="4"/>
    <w:qFormat/>
    <w:locked/>
    <w:uiPriority w:val="99"/>
    <w:rPr>
      <w:rFonts w:cs="Times New Roman"/>
      <w:sz w:val="18"/>
      <w:szCs w:val="18"/>
    </w:rPr>
  </w:style>
  <w:style w:type="character" w:customStyle="1" w:styleId="13">
    <w:name w:val="页眉 Char"/>
    <w:basedOn w:val="8"/>
    <w:link w:val="5"/>
    <w:qFormat/>
    <w:locked/>
    <w:uiPriority w:val="99"/>
    <w:rPr>
      <w:rFonts w:ascii="等线" w:hAnsi="等线" w:eastAsia="等线" w:cs="Times New Roman"/>
      <w:sz w:val="18"/>
      <w:szCs w:val="18"/>
    </w:rPr>
  </w:style>
  <w:style w:type="paragraph" w:customStyle="1" w:styleId="14">
    <w:name w:val="列出段落1"/>
    <w:basedOn w:val="1"/>
    <w:qFormat/>
    <w:uiPriority w:val="99"/>
    <w:pPr>
      <w:spacing w:before="2"/>
      <w:ind w:left="119" w:right="434" w:firstLine="643"/>
    </w:pPr>
    <w:rPr>
      <w:rFonts w:ascii="仿宋_GB2312" w:hAnsi="仿宋_GB2312" w:eastAsia="仿宋_GB2312" w:cs="仿宋_GB2312"/>
      <w:lang w:val="zh-CN"/>
    </w:rPr>
  </w:style>
  <w:style w:type="paragraph" w:customStyle="1" w:styleId="15">
    <w:name w:val="Default"/>
    <w:qFormat/>
    <w:uiPriority w:val="0"/>
    <w:pPr>
      <w:widowControl w:val="0"/>
      <w:autoSpaceDE w:val="0"/>
      <w:autoSpaceDN w:val="0"/>
      <w:adjustRightInd w:val="0"/>
    </w:pPr>
    <w:rPr>
      <w:rFonts w:ascii="方正小标宋" w:hAnsi="Times New Roman" w:eastAsia="方正小标宋" w:cs="方正小标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33"/>
    <customShpInfo spid="_x0000_s1034"/>
    <customShpInfo spid="_x0000_s1035"/>
    <customShpInfo spid="_x0000_s1036"/>
    <customShpInfo spid="_x0000_s1038"/>
    <customShpInfo spid="_x0000_s1039"/>
    <customShpInfo spid="_x0000_s1037"/>
    <customShpInfo spid="_x0000_s1041"/>
    <customShpInfo spid="_x0000_s1042"/>
    <customShpInfo spid="_x0000_s1040"/>
    <customShpInfo spid="_x0000_s1043"/>
    <customShpInfo spid="_x0000_s1053"/>
    <customShpInfo spid="_x0000_s1107"/>
    <customShpInfo spid="_x0000_s1108"/>
    <customShpInfo spid="_x0000_s1106"/>
    <customShpInfo spid="_x0000_s1062"/>
    <customShpInfo spid="_x0000_s1064"/>
    <customShpInfo spid="_x0000_s1065"/>
    <customShpInfo spid="_x0000_s1063"/>
    <customShpInfo spid="_x0000_s1070"/>
    <customShpInfo spid="_x0000_s1071"/>
    <customShpInfo spid="_x0000_s1069"/>
    <customShpInfo spid="_x0000_s1088"/>
    <customShpInfo spid="_x0000_s1089"/>
    <customShpInfo spid="_x0000_s11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40</Pages>
  <Words>8946</Words>
  <Characters>6931</Characters>
  <Lines>57</Lines>
  <Paragraphs>31</Paragraphs>
  <TotalTime>3</TotalTime>
  <ScaleCrop>false</ScaleCrop>
  <LinksUpToDate>false</LinksUpToDate>
  <CharactersWithSpaces>15846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adizuo</cp:lastModifiedBy>
  <cp:lastPrinted>2020-07-30T02:37:00Z</cp:lastPrinted>
  <dcterms:modified xsi:type="dcterms:W3CDTF">2022-03-12T01:30:49Z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1EDF48B87AE54F66BC538B447D51EE95</vt:lpwstr>
  </property>
</Properties>
</file>