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rPr>
          <w:rFonts w:ascii="黑体" w:hAnsi="黑体" w:eastAsia="黑体"/>
          <w:b/>
          <w:sz w:val="72"/>
          <w:szCs w:val="72"/>
        </w:rPr>
        <w:pict>
          <v:shape id="图片 7" o:spid="_x0000_s1130" o:spt="75" alt="wc ga" type="#_x0000_t75" style="position:absolute;left:0pt;margin-left:-79.4pt;margin-top:-105.65pt;height:850.15pt;width:596.6pt;z-index:-251656192;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b/>
          <w:color w:val="002060"/>
          <w:sz w:val="72"/>
          <w:szCs w:val="72"/>
        </w:rPr>
      </w:pPr>
      <w:r>
        <w:rPr>
          <w:rFonts w:ascii="黑体" w:hAnsi="宋体" w:eastAsia="黑体"/>
          <w:b/>
          <w:color w:val="002060"/>
          <w:sz w:val="72"/>
          <w:szCs w:val="72"/>
        </w:rPr>
        <w:pict>
          <v:shape id="_x0000_s1137" o:spid="_x0000_s1137" o:spt="202" type="#_x0000_t202" style="position:absolute;left:0pt;margin-left:-16.4pt;margin-top:32.3pt;height:177pt;width:493.5pt;z-index:251659264;mso-width-relative:page;mso-height-relative:page;" filled="f" stroked="f" coordsize="21600,21600">
            <v:path/>
            <v:fill on="f" focussize="0,0"/>
            <v:stroke on="f" joinstyle="miter"/>
            <v:imagedata o:title=""/>
            <o:lock v:ext="edit"/>
            <v:textbox>
              <w:txbxContent>
                <w:p>
                  <w:pPr>
                    <w:jc w:val="center"/>
                    <w:rPr>
                      <w:rFonts w:ascii="黑体" w:hAnsi="黑体" w:eastAsia="黑体"/>
                      <w:color w:val="D6E3BC"/>
                      <w:sz w:val="72"/>
                      <w:szCs w:val="72"/>
                    </w:rPr>
                  </w:pPr>
                  <w:r>
                    <w:rPr>
                      <w:rFonts w:hint="eastAsia" w:ascii="黑体" w:hAnsi="黑体" w:eastAsia="黑体"/>
                      <w:color w:val="D6E3BC"/>
                      <w:sz w:val="72"/>
                      <w:szCs w:val="72"/>
                    </w:rPr>
                    <w:t>保定市满城区人力资源和社会保障局</w:t>
                  </w:r>
                </w:p>
                <w:p>
                  <w:pPr>
                    <w:jc w:val="center"/>
                    <w:rPr>
                      <w:rFonts w:ascii="黑体" w:hAnsi="黑体" w:eastAsia="黑体"/>
                      <w:color w:val="D6E3BC"/>
                      <w:sz w:val="72"/>
                      <w:szCs w:val="72"/>
                    </w:rPr>
                  </w:pPr>
                  <w:r>
                    <w:rPr>
                      <w:rFonts w:hint="eastAsia" w:ascii="黑体" w:hAnsi="黑体" w:eastAsia="黑体"/>
                      <w:color w:val="D6E3BC"/>
                      <w:sz w:val="72"/>
                      <w:szCs w:val="72"/>
                    </w:rPr>
                    <w:t>2018年度部门决算</w:t>
                  </w:r>
                </w:p>
              </w:txbxContent>
            </v:textbox>
          </v:shape>
        </w:pict>
      </w:r>
    </w:p>
    <w:p>
      <w:pPr>
        <w:widowControl/>
        <w:spacing w:after="0" w:line="600" w:lineRule="exact"/>
        <w:ind w:firstLine="1446" w:firstLineChars="200"/>
        <w:jc w:val="left"/>
        <w:rPr>
          <w:rFonts w:ascii="楷体" w:hAnsi="楷体" w:eastAsia="楷体" w:cs="楷体"/>
          <w:sz w:val="32"/>
          <w:szCs w:val="32"/>
          <w:highlight w:val="yellow"/>
        </w:rPr>
      </w:pPr>
      <w:r>
        <w:rPr>
          <w:rFonts w:ascii="黑体" w:hAnsi="宋体" w:eastAsia="黑体"/>
          <w:b/>
          <w:color w:val="002060"/>
          <w:sz w:val="72"/>
          <w:szCs w:val="72"/>
        </w:rPr>
        <w:pict>
          <v:shape id="_x0000_s1138" o:spid="_x0000_s1138" o:spt="202" type="#_x0000_t202" style="position:absolute;left:0pt;margin-left:102.85pt;margin-top:459pt;height:92.25pt;width:254.25pt;z-index:251659264;mso-width-relative:page;mso-height-relative:page;" filled="f" stroked="f" coordsize="21600,21600">
            <v:path/>
            <v:fill on="f" focussize="0,0"/>
            <v:stroke on="f" joinstyle="miter"/>
            <v:imagedata o:title=""/>
            <o:lock v:ext="edit"/>
            <v:textbox>
              <w:txbxContent>
                <w:p>
                  <w:pPr>
                    <w:jc w:val="center"/>
                    <w:rPr>
                      <w:rFonts w:ascii="楷体" w:hAnsi="楷体" w:eastAsia="楷体"/>
                      <w:b/>
                      <w:sz w:val="44"/>
                      <w:szCs w:val="44"/>
                    </w:rPr>
                  </w:pPr>
                  <w:r>
                    <w:rPr>
                      <w:rFonts w:hint="eastAsia" w:ascii="楷体" w:hAnsi="楷体" w:eastAsia="楷体"/>
                      <w:b/>
                      <w:sz w:val="44"/>
                      <w:szCs w:val="44"/>
                    </w:rPr>
                    <w:t>（部门公章）</w:t>
                  </w:r>
                </w:p>
                <w:p>
                  <w:pPr>
                    <w:jc w:val="center"/>
                    <w:rPr>
                      <w:rFonts w:ascii="楷体" w:hAnsi="楷体" w:eastAsia="楷体"/>
                      <w:b/>
                      <w:sz w:val="44"/>
                      <w:szCs w:val="44"/>
                    </w:rPr>
                  </w:pPr>
                  <w:r>
                    <w:rPr>
                      <w:rFonts w:hint="eastAsia" w:ascii="楷体" w:hAnsi="楷体" w:eastAsia="楷体"/>
                      <w:b/>
                      <w:sz w:val="44"/>
                      <w:szCs w:val="44"/>
                    </w:rPr>
                    <w:t>二〇一九年十一月</w:t>
                  </w:r>
                </w:p>
                <w:p/>
                <w:p/>
                <w:p/>
                <w:p/>
              </w:txbxContent>
            </v:textbox>
          </v:shape>
        </w:pict>
      </w:r>
      <w:r>
        <w:rPr>
          <w:rFonts w:ascii="黑体" w:hAnsi="宋体" w:eastAsia="黑体"/>
          <w:b/>
          <w:color w:val="002060"/>
          <w:sz w:val="72"/>
          <w:szCs w:val="72"/>
        </w:rPr>
        <w:br w:type="page"/>
      </w:r>
    </w:p>
    <w:p>
      <w:pPr>
        <w:spacing w:beforeLines="200" w:after="0" w:line="1000" w:lineRule="exact"/>
        <w:jc w:val="center"/>
        <w:rPr>
          <w:rFonts w:ascii="黑体" w:eastAsia="黑体"/>
          <w:sz w:val="48"/>
          <w:szCs w:val="48"/>
        </w:rPr>
      </w:pPr>
      <w:r>
        <w:pict>
          <v:group id="组合 179" o:spid="_x0000_s1134" o:spt="203" style="position:absolute;left:0pt;margin-left:-80.8pt;margin-top:39.95pt;height:46.7pt;width:250.05pt;mso-position-vertical-relative:page;z-index:251659264;mso-width-relative:page;mso-height-relative:page;" coordorigin="4551,52615" coordsize="8546,1398203" o:allowoverlap="f">
            <o:lock v:ext="edit"/>
            <v:rect id="矩形 13" o:spid="_x0000_s1135" o:spt="1" style="position:absolute;left:4551;top:52615;height:1175;width:8546;v-text-anchor:middle;" fillcolor="#96DA9D" filled="t" stroked="f" coordsize="21600,21600">
              <v:path/>
              <v:fill on="t" focussize="0,0"/>
              <v:stroke on="f" weight="2pt"/>
              <v:imagedata o:title=""/>
              <o:lock v:ext="edit"/>
            </v:rect>
            <v:rect id="矩形 14" o:spid="_x0000_s113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保定市满城区人力资源和社会保障局</w:t>
      </w:r>
      <w:r>
        <w:rPr>
          <w:rFonts w:eastAsia="黑体"/>
          <w:sz w:val="32"/>
          <w:szCs w:val="32"/>
        </w:rPr>
        <w:t>2018</w:t>
      </w:r>
      <w:r>
        <w:rPr>
          <w:rFonts w:hint="eastAsia" w:eastAsia="黑体"/>
          <w:sz w:val="32"/>
          <w:szCs w:val="32"/>
        </w:rPr>
        <w:t>年部门决算情况说明</w:t>
      </w:r>
      <w:r>
        <w:pict>
          <v:group id="组合 176" o:spid="_x0000_s1131" o:spt="203" style="position:absolute;left:0pt;margin-left:-80.8pt;margin-top:38.95pt;height:46.7pt;width:222.8pt;mso-position-vertical-relative:page;z-index:251659264;mso-width-relative:page;mso-height-relative:page;" coordorigin="4551,52615" coordsize="8546,1398203">
            <o:lock v:ext="edit"/>
            <v:rect id="矩形 13" o:spid="_x0000_s1132" o:spt="1" style="position:absolute;left:4551;top:52615;height:1175;width:8546;v-text-anchor:middle;" fillcolor="#96DA9D" filled="t" stroked="f" coordsize="21600,21600">
              <v:path/>
              <v:fill on="t" focussize="0,0"/>
              <v:stroke on="f" weight="2pt"/>
              <v:imagedata o:title=""/>
              <o:lock v:ext="edit"/>
            </v:rect>
            <v:rect id="矩形 14" o:spid="_x0000_s11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rPr>
          <w:rFonts w:ascii="黑体" w:hAnsi="宋体" w:eastAsia="黑体"/>
          <w:b/>
          <w:color w:val="002060"/>
          <w:sz w:val="72"/>
          <w:szCs w:val="72"/>
        </w:rPr>
      </w:pPr>
    </w:p>
    <w:p>
      <w:pPr>
        <w:widowControl/>
        <w:spacing w:after="0" w:line="600" w:lineRule="exact"/>
        <w:ind w:firstLine="880" w:firstLineChars="200"/>
        <w:jc w:val="left"/>
        <w:rPr>
          <w:rFonts w:eastAsia="黑体"/>
          <w:sz w:val="32"/>
          <w:szCs w:val="32"/>
        </w:rPr>
      </w:pPr>
      <w:r>
        <w:rPr>
          <w:rFonts w:ascii="黑体" w:hAnsi="黑体" w:eastAsia="黑体" w:cs="黑体"/>
          <w:sz w:val="44"/>
          <w:szCs w:val="44"/>
        </w:rPr>
        <w:br w:type="page"/>
      </w:r>
    </w:p>
    <w:p>
      <w:pPr>
        <w:widowControl/>
        <w:spacing w:line="580" w:lineRule="exact"/>
        <w:ind w:firstLine="420" w:firstLineChars="200"/>
        <w:rPr>
          <w:rFonts w:eastAsia="黑体"/>
          <w:sz w:val="32"/>
          <w:szCs w:val="32"/>
        </w:rPr>
      </w:pPr>
      <w:r>
        <w:pict>
          <v:shape id="图片 12" o:spid="_x0000_s1034" o:spt="75" alt="2" type="#_x0000_t75" style="position:absolute;left:0pt;margin-left:-76.4pt;margin-top:-182.9pt;height:1048.3pt;width:597.3pt;z-index:-251656192;mso-width-relative:page;mso-height-relative:page;" filled="f" o:preferrelative="t" stroked="f" coordsize="21600,21600">
            <v:path/>
            <v:fill on="f" focussize="0,0"/>
            <v:stroke on="f" joinstyle="miter"/>
            <v:imagedata r:id="rId7" o:title=""/>
            <o:lock v:ext="edit" aspectratio="t"/>
          </v:shape>
        </w:pic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
    <w:p/>
    <w:p>
      <w:r>
        <w:pict>
          <v:shape id="文本框 118" o:spid="_x0000_s1035" o:spt="202" type="#_x0000_t202" style="position:absolute;left:0pt;margin-left:-97.3pt;margin-top:13.5pt;height:201pt;width:613.65pt;z-index:251659264;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Pr>
        <w:pStyle w:val="2"/>
        <w:spacing w:before="0" w:after="0" w:line="600" w:lineRule="exact"/>
        <w:jc w:val="left"/>
        <w:rPr>
          <w:rFonts w:ascii="黑体" w:hAnsi="Cambria" w:eastAsia="黑体" w:cs="黑体"/>
          <w:b w:val="0"/>
          <w:bCs w:val="0"/>
          <w:kern w:val="0"/>
          <w:sz w:val="32"/>
          <w:szCs w:val="32"/>
        </w:rPr>
      </w:pPr>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59264;mso-width-relative:page;mso-height-relative:page;" coordorigin="4551,52615" coordsize="8546,1398203">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满城区人力资源和社会保障局由行政编制和事业编制组成。根据满政办（2011）32号关于《满城县人力资源和社会保障局主要职责内设机构和人员编制规定》的通知要求，满城区人力资源和社会保障局主要职责是:</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（一）贯彻执行人力资源和社会保障法规、规章，拟订全县人力资源和社会保障事业发展规划；负责全县人力资源和社会保障的宣传和舆情研究。</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二）拟订人力资源市场发展规划和人力资源流动政策，建立统一规范的人力资源市场，促进人力资源合理流动、有效配置；会同有关部门拟订机构改革人员定岗和分流政策；拟订残疾人等特殊群体和妇女就业管理办法；协助有关部门组织选派援疆、援藏干部及其内返安置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三）负责促进就业工作，拟订统筹城乡的就业发展规划和政策，完善公共就业服务体系；拟订就业援助制度，完善职业资格制度，统筹建立面向城乡劳动者的职业培训制度；牵头落实高校毕业生就业政策，指导非师范类大中专毕业生就业工作；会同有关部门拟订高技能人才、农村实用人才培养和激励政策。</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四）综合管理全县职业技能开发工作和社会力量办学工作，推动就业准入制度，管理技工学校及招生；实施劳动预备役制培训，包括就业前培训、转工转岗培训、下岗失业职工培训、农村劳动力培训；负责机关事业单位技术工人的等级考核评定工作；指导各系统职工培训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五）会同有关部门拟订全县机关、企事业单位人员工资收入分配实施办法，建立全县机关、企事业单位人员工资正常增长和支付保障机制；组织实施机关企事业单位人员福利和离退休政策；监督管理机关事业单位福利费的提取和使用；拟订全县企业工资指导线和最低工资保障办法；综合协调外商投资企业劳动工资政策。</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六）统筹建立覆盖全县城乡的社会保障体系；贯彻落实城乡社会保险及其补充保险政策；拟订、实施全县城乡保险及其补充保险标准；贯彻实施全市统一的社会保险关系转续办法和基金统筹办法；贯彻落实机关、企事业单位社会保险政策，贯彻落实市社会保险及其补充保险基金管理和监督制度；编制全县社会保险基金预决算草案，参与制定全县社会保险基金投资政策；拟订全县社会保险基金收缴、支付、管理、运营办法，对社会保险基金实行行政监督。 </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七）贯彻落实劳动、人事争议调解仲裁制度和劳动关系政策，完善劳动关系协调机制；贯彻落实消除非法使用童工政策和女工、未成年工的特殊劳动保护政策；组织实施劳动监察，协调劳动者维权工作，依法查处违法违纪案件。</w:t>
      </w:r>
      <w:r>
        <w:rPr>
          <w:rFonts w:hint="eastAsia" w:ascii="仿宋_GB2312" w:hAnsi="Cambria" w:eastAsia="仿宋_GB2312" w:cs="ArialUnicodeMS"/>
          <w:kern w:val="0"/>
          <w:sz w:val="32"/>
          <w:szCs w:val="32"/>
        </w:rPr>
        <w:br w:type="textWrapping"/>
      </w:r>
      <w:r>
        <w:rPr>
          <w:rFonts w:hint="eastAsia" w:ascii="仿宋_GB2312" w:hAnsi="Cambria" w:eastAsia="仿宋_GB2312" w:cs="ArialUnicodeMS"/>
          <w:kern w:val="0"/>
          <w:sz w:val="32"/>
          <w:szCs w:val="32"/>
        </w:rPr>
        <w:t xml:space="preserve">    （八）负责就业、失业、社会保险基金预测预警和信息引导；拟订应对预案，实施预防、调节和控制，保持就业形势稳定和社会保险基金总体收支平衡。 </w:t>
      </w:r>
      <w:r>
        <w:rPr>
          <w:rFonts w:hint="eastAsia" w:ascii="仿宋_GB2312" w:hAnsi="Cambria" w:eastAsia="仿宋_GB2312" w:cs="ArialUnicodeMS"/>
          <w:kern w:val="0"/>
          <w:sz w:val="32"/>
          <w:szCs w:val="32"/>
        </w:rPr>
        <w:br w:type="textWrapping"/>
      </w:r>
      <w:r>
        <w:rPr>
          <w:rFonts w:hint="eastAsia" w:ascii="仿宋_GB2312" w:hAnsi="Cambria" w:eastAsia="仿宋_GB2312" w:cs="ArialUnicodeMS"/>
          <w:kern w:val="0"/>
          <w:sz w:val="32"/>
          <w:szCs w:val="32"/>
        </w:rPr>
        <w:t>  （九）管理人力资源和社会保障统计和信息工作。 </w:t>
      </w:r>
      <w:r>
        <w:rPr>
          <w:rFonts w:hint="eastAsia" w:ascii="仿宋_GB2312" w:hAnsi="Cambria" w:eastAsia="仿宋_GB2312" w:cs="ArialUnicodeMS"/>
          <w:kern w:val="0"/>
          <w:sz w:val="32"/>
          <w:szCs w:val="32"/>
        </w:rPr>
        <w:br w:type="textWrapping"/>
      </w:r>
      <w:r>
        <w:rPr>
          <w:rFonts w:hint="eastAsia" w:ascii="仿宋_GB2312" w:hAnsi="Cambria" w:eastAsia="仿宋_GB2312" w:cs="ArialUnicodeMS"/>
          <w:kern w:val="0"/>
          <w:sz w:val="32"/>
          <w:szCs w:val="32"/>
        </w:rPr>
        <w:t>  （十）负责军队转业干部的接收安置、培训工与自主择业军官的管理服务。</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（十一）管理政府系统干部人事档案工作。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（十二）承办县政府交办的其他事项。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napToGrid w:val="0"/>
        <w:spacing w:line="560" w:lineRule="exact"/>
        <w:ind w:firstLine="640" w:firstLineChars="200"/>
        <w:rPr>
          <w:rFonts w:ascii="仿宋" w:hAnsi="仿宋" w:eastAsia="仿宋"/>
          <w:sz w:val="28"/>
          <w:szCs w:val="28"/>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年度本部门决算汇编范围的独立核算单位（以下简称“单位”）共1</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个，具体情况如下：</w:t>
      </w:r>
    </w:p>
    <w:p>
      <w:pPr>
        <w:spacing w:after="0" w:line="560" w:lineRule="exact"/>
        <w:rPr>
          <w:rFonts w:ascii="仿宋_GB2312" w:hAnsi="Cambria" w:eastAsia="仿宋_GB2312" w:cs="ArialUnicodeMS"/>
          <w:kern w:val="0"/>
          <w:sz w:val="32"/>
          <w:szCs w:val="32"/>
        </w:rPr>
      </w:pP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985" w:type="dxa"/>
            <w:vAlign w:val="center"/>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保定市满城区人力资源和社会保障局（本级）</w:t>
            </w:r>
          </w:p>
        </w:tc>
        <w:tc>
          <w:tcPr>
            <w:tcW w:w="244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行政单位</w:t>
            </w:r>
          </w:p>
        </w:tc>
        <w:tc>
          <w:tcPr>
            <w:tcW w:w="266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8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保定市满城区就业服务局</w:t>
            </w:r>
          </w:p>
        </w:tc>
        <w:tc>
          <w:tcPr>
            <w:tcW w:w="244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参公事业单位</w:t>
            </w:r>
          </w:p>
        </w:tc>
        <w:tc>
          <w:tcPr>
            <w:tcW w:w="266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485" w:type="dxa"/>
            <w:vAlign w:val="center"/>
          </w:tcPr>
          <w:p>
            <w:pPr>
              <w:spacing w:after="0" w:line="560" w:lineRule="exact"/>
              <w:jc w:val="center"/>
              <w:rPr>
                <w:rFonts w:ascii="仿宋_GB2312" w:hAnsi="Cambria" w:eastAsia="仿宋_GB2312" w:cs="ArialUnicodeMS"/>
                <w:kern w:val="0"/>
                <w:szCs w:val="21"/>
              </w:rPr>
            </w:pPr>
            <w:r>
              <w:rPr>
                <w:rFonts w:hint="eastAsia" w:ascii="仿宋_GB2312" w:hAnsi="Cambria" w:eastAsia="仿宋_GB2312" w:cs="ArialUnicodeMS"/>
                <w:kern w:val="0"/>
                <w:szCs w:val="21"/>
              </w:rPr>
              <w:t>保定市满城区社会保险事业管理所</w:t>
            </w:r>
          </w:p>
        </w:tc>
        <w:tc>
          <w:tcPr>
            <w:tcW w:w="244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财政补助事业单位</w:t>
            </w:r>
          </w:p>
        </w:tc>
        <w:tc>
          <w:tcPr>
            <w:tcW w:w="266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财政性资金零补助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vAlign w:val="center"/>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4</w:t>
            </w:r>
          </w:p>
        </w:tc>
        <w:tc>
          <w:tcPr>
            <w:tcW w:w="348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保定市满城区劳动保障监察大队</w:t>
            </w:r>
          </w:p>
        </w:tc>
        <w:tc>
          <w:tcPr>
            <w:tcW w:w="244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财政补助事业单位</w:t>
            </w:r>
          </w:p>
        </w:tc>
        <w:tc>
          <w:tcPr>
            <w:tcW w:w="266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vAlign w:val="center"/>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5</w:t>
            </w:r>
          </w:p>
        </w:tc>
        <w:tc>
          <w:tcPr>
            <w:tcW w:w="3485" w:type="dxa"/>
            <w:vAlign w:val="center"/>
          </w:tcPr>
          <w:p>
            <w:pPr>
              <w:spacing w:after="0" w:line="560" w:lineRule="exact"/>
              <w:jc w:val="center"/>
              <w:rPr>
                <w:rFonts w:ascii="仿宋" w:hAnsi="仿宋" w:eastAsia="仿宋"/>
                <w:sz w:val="22"/>
                <w:szCs w:val="22"/>
              </w:rPr>
            </w:pPr>
            <w:r>
              <w:rPr>
                <w:rFonts w:hint="eastAsia" w:ascii="仿宋_GB2312" w:hAnsi="Cambria" w:eastAsia="仿宋_GB2312" w:cs="ArialUnicodeMS"/>
                <w:kern w:val="0"/>
                <w:sz w:val="22"/>
                <w:szCs w:val="22"/>
              </w:rPr>
              <w:t>保定市满城区城乡居民基本医疗保险管理服务中心</w:t>
            </w:r>
          </w:p>
        </w:tc>
        <w:tc>
          <w:tcPr>
            <w:tcW w:w="244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财政补助事业单位</w:t>
            </w:r>
          </w:p>
        </w:tc>
        <w:tc>
          <w:tcPr>
            <w:tcW w:w="266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6192;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59264;mso-width-relative:page;mso-height-relative:page;" coordorigin="4551,52615" coordsize="8546,1398203">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20" w:hRule="atLeast"/>
          <w:jc w:val="center"/>
        </w:trPr>
        <w:tc>
          <w:tcPr>
            <w:tcW w:w="4603" w:type="dxa"/>
            <w:gridSpan w:val="3"/>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r>
              <w:rPr>
                <w:rFonts w:hint="eastAsia" w:ascii="宋体" w:hAnsi="宋体" w:cs="宋体"/>
                <w:color w:val="000000"/>
                <w:kern w:val="0"/>
                <w:sz w:val="20"/>
                <w:szCs w:val="20"/>
              </w:rPr>
              <w:t>部门：保定市满城区人力和社会保障局</w:t>
            </w: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ind w:right="100"/>
              <w:jc w:val="right"/>
              <w:rPr>
                <w:rFonts w:ascii="宋体" w:cs="宋体"/>
                <w:color w:val="000000"/>
                <w:sz w:val="20"/>
                <w:szCs w:val="20"/>
              </w:rPr>
            </w:pPr>
            <w:r>
              <w:rPr>
                <w:rFonts w:hint="eastAsia" w:ascii="宋体" w:cs="宋体"/>
                <w:color w:val="000000"/>
                <w:sz w:val="20"/>
                <w:szCs w:val="20"/>
              </w:rPr>
              <w:t>34849.47</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1452.83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16069.49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17282.31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ind w:right="90"/>
              <w:jc w:val="right"/>
              <w:rPr>
                <w:rFonts w:ascii="宋体" w:cs="宋体"/>
                <w:color w:val="000000"/>
                <w:sz w:val="18"/>
                <w:szCs w:val="18"/>
              </w:rPr>
            </w:pPr>
            <w:r>
              <w:rPr>
                <w:rFonts w:hint="eastAsia" w:ascii="宋体" w:cs="宋体"/>
                <w:color w:val="000000"/>
                <w:sz w:val="18"/>
                <w:szCs w:val="18"/>
              </w:rPr>
              <w:t>34849.47</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34849.47</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rPr>
              <w:t>800</w:t>
            </w:r>
            <w:r>
              <w:rPr>
                <w:rFonts w:hint="eastAsia" w:ascii="宋体" w:cs="宋体"/>
                <w:color w:val="000000"/>
                <w:sz w:val="18"/>
                <w:szCs w:val="18"/>
                <w:lang w:val="en-US" w:eastAsia="zh-CN"/>
              </w:rPr>
              <w:t>.00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rPr>
              <w:t>800</w:t>
            </w:r>
            <w:r>
              <w:rPr>
                <w:rFonts w:hint="eastAsia" w:ascii="宋体" w:cs="宋体"/>
                <w:color w:val="000000"/>
                <w:sz w:val="20"/>
                <w:szCs w:val="20"/>
                <w:lang w:val="en-US" w:eastAsia="zh-CN"/>
              </w:rPr>
              <w:t>.00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35649.47</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35649.47</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6" o:spid="_x0000_s1146" o:spt="75" type="#_x0000_t75" style="position:absolute;left:0pt;margin-left:-36.75pt;margin-top:-5.35pt;height:669.75pt;width:485.25pt;z-index:251659264;mso-width-relative:page;mso-height-relative:page;" filled="f" o:preferrelative="t" stroked="f" coordsize="21600,21600">
            <v:path/>
            <v:fill on="f" focussize="0,0"/>
            <v:stroke on="f" joinstyle="miter"/>
            <v:imagedata r:id="rId8"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7" o:spid="_x0000_s1147" o:spt="75" type="#_x0000_t75" style="position:absolute;left:0pt;margin-left:-31.5pt;margin-top:-12.1pt;height:660pt;width:482.25pt;z-index:251659264;mso-width-relative:page;mso-height-relative:page;" filled="f" o:preferrelative="t" stroked="f" coordsize="21600,21600">
            <v:path/>
            <v:fill on="f" focussize="0,0"/>
            <v:stroke on="f" joinstyle="miter"/>
            <v:imagedata r:id="rId9"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39" o:spid="_x0000_s1139" o:spt="75" type="#_x0000_t75" style="position:absolute;left:0pt;margin-left:-51pt;margin-top:-25.6pt;height:684pt;width:533.25pt;z-index:251659264;mso-width-relative:page;mso-height-relative:page;" filled="f" o:preferrelative="t" stroked="f" coordsize="21600,21600">
            <v:path/>
            <v:fill on="f" focussize="0,0"/>
            <v:stroke on="f" joinstyle="miter"/>
            <v:imagedata r:id="rId10"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0" o:spid="_x0000_s1140" o:spt="75" type="#_x0000_t75" style="position:absolute;left:0pt;margin-left:-22.5pt;margin-top:0.65pt;height:625.5pt;width:469.5pt;z-index:251659264;mso-width-relative:page;mso-height-relative:page;" filled="f" o:preferrelative="t" stroked="f" coordsize="21600,21600">
            <v:path/>
            <v:fill on="f" focussize="0,0"/>
            <v:stroke on="f" joinstyle="miter"/>
            <v:imagedata r:id="rId11"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64" o:spid="_x0000_s1164" o:spt="75" type="#_x0000_t75" style="position:absolute;left:0pt;margin-left:-39.75pt;margin-top:-66.1pt;height:743.25pt;width:492pt;z-index:251659264;mso-width-relative:page;mso-height-relative:page;" filled="f" o:preferrelative="t" stroked="f" coordsize="21600,21600">
            <v:path/>
            <v:fill on="f" focussize="0,0"/>
            <v:stroke on="f" joinstyle="miter"/>
            <v:imagedata r:id="rId12"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2" o:spid="_x0000_s1142" o:spt="75" type="#_x0000_t75" style="position:absolute;left:0pt;margin-left:-43.5pt;margin-top:5.15pt;height:144.75pt;width:508.5pt;z-index:251659264;mso-width-relative:page;mso-height-relative:page;" filled="f" o:preferrelative="t" stroked="f" coordsize="21600,21600">
            <v:path/>
            <v:fill on="f" focussize="0,0"/>
            <v:stroke on="f" joinstyle="miter"/>
            <v:imagedata r:id="rId13"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3" o:spid="_x0000_s1143" o:spt="75" type="#_x0000_t75" style="position:absolute;left:0pt;margin-left:-12pt;margin-top:-14.35pt;height:223.5pt;width:433.5pt;z-index:251659264;mso-width-relative:page;mso-height-relative:page;" filled="f" o:preferrelative="t" stroked="f" coordsize="21600,21600">
            <v:path/>
            <v:fill on="f" focussize="0,0"/>
            <v:stroke on="f" joinstyle="miter"/>
            <v:imagedata r:id="rId14"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本部门本年度无相关收支情况，按要求空表列示。</w: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4" o:spid="_x0000_s1144" o:spt="75" type="#_x0000_t75" style="position:absolute;left:0pt;margin-left:-9pt;margin-top:5.9pt;height:317.25pt;width:453pt;z-index:251659264;mso-width-relative:page;mso-height-relative:page;" filled="f" o:preferrelative="t" stroked="f" coordsize="21600,21600">
            <v:path/>
            <v:fill on="f" focussize="0,0"/>
            <v:stroke on="f" joinstyle="miter"/>
            <v:imagedata r:id="rId15"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本部门本年度无相关支出情况，按要求空表列示。</w: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5" o:spid="_x0000_s1145" o:spt="75" type="#_x0000_t75" style="position:absolute;left:0pt;margin-left:-7.5pt;margin-top:8.15pt;height:417pt;width:464.25pt;z-index:251659264;mso-width-relative:page;mso-height-relative:page;" filled="f" o:preferrelative="t" stroked="f" coordsize="21600,21600">
            <v:path/>
            <v:fill on="f" focussize="0,0"/>
            <v:stroke on="f" joinstyle="miter"/>
            <v:imagedata r:id="rId16"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本部门本年度无相关支出情况，按要求空表列示。</w:t>
      </w:r>
    </w:p>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宋体" w:cs="ArialUnicodeMS"/>
          <w:color w:val="000000"/>
          <w:kern w:val="0"/>
        </w:rPr>
        <w:sectPr>
          <w:pgSz w:w="11906" w:h="16838"/>
          <w:pgMar w:top="2098" w:right="1474" w:bottom="1984" w:left="1588" w:header="851" w:footer="992" w:gutter="0"/>
          <w:cols w:space="0" w:num="1"/>
          <w:docGrid w:type="lines" w:linePitch="312" w:charSpace="0"/>
        </w:sectPr>
      </w:pPr>
      <w:r>
        <w:tab/>
      </w:r>
      <w:r>
        <w:pict>
          <v:shape id="图片 4" o:spid="_x0000_s1071" o:spt="75" alt="2" type="#_x0000_t75" style="position:absolute;left:0pt;margin-left:-79.45pt;margin-top:-105.35pt;height:840.95pt;width:594.5pt;z-index:-251656192;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59264;mso-width-relative:page;mso-height-relative:page;" coordorigin="4551,52615" coordsize="8546,1398203">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年度收入总计35649.47万元（含结转和结余800万元）。与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年度决算相比，收入增加4030.93万元，增长13.08%，结转和结余增加500万元。主要原因是由于人员工资增长、社保缴费标准提高、机关事业单位养老保险制度改革、市场中心综合楼改造等工作。本部门</w:t>
      </w:r>
      <w:r>
        <w:rPr>
          <w:rFonts w:ascii="仿宋_GB2312" w:eastAsia="仿宋_GB2312" w:cs="DengXian-Regular"/>
          <w:sz w:val="32"/>
          <w:szCs w:val="32"/>
        </w:rPr>
        <w:t>2018</w:t>
      </w:r>
      <w:r>
        <w:rPr>
          <w:rFonts w:hint="eastAsia" w:ascii="仿宋_GB2312" w:eastAsia="仿宋_GB2312" w:cs="DengXian-Regular"/>
          <w:sz w:val="32"/>
          <w:szCs w:val="32"/>
        </w:rPr>
        <w:t>年度支出总计35649.47万元（含结转和结余800万元）。与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年度决算相比，支出增加4530.93万元，增加了14.94 %，年末结转和结余无增加。主要原因是由于人员工资增长、社保缴费标准提高、机关事业单位养老保险制度改革、市场中心综合楼改造等工作。</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年度本年收入合计34849.47万元，其中：财政拨款收入34849.47万元，占100</w:t>
      </w:r>
      <w:r>
        <w:rPr>
          <w:rFonts w:ascii="仿宋_GB2312" w:eastAsia="仿宋_GB2312" w:cs="DengXian-Regular"/>
          <w:sz w:val="32"/>
          <w:szCs w:val="32"/>
        </w:rPr>
        <w:t>%</w:t>
      </w:r>
      <w:r>
        <w:rPr>
          <w:rFonts w:hint="eastAsia" w:ascii="仿宋_GB2312" w:eastAsia="仿宋_GB2312" w:cs="DengXian-Regular"/>
          <w:sz w:val="32"/>
          <w:szCs w:val="32"/>
        </w:rPr>
        <w:t>；事业收入、经营收入、其他收入均为0。</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年度本年支出合计34849.47万元，其中：基本支出34799.47万元，占99.86</w:t>
      </w:r>
      <w:r>
        <w:rPr>
          <w:rFonts w:ascii="仿宋_GB2312" w:eastAsia="仿宋_GB2312" w:cs="DengXian-Regular"/>
          <w:sz w:val="32"/>
          <w:szCs w:val="32"/>
        </w:rPr>
        <w:t>%</w:t>
      </w:r>
      <w:r>
        <w:rPr>
          <w:rFonts w:hint="eastAsia" w:ascii="仿宋_GB2312" w:eastAsia="仿宋_GB2312" w:cs="DengXian-Regular"/>
          <w:sz w:val="32"/>
          <w:szCs w:val="32"/>
        </w:rPr>
        <w:t>；项目支出50万元，占0.14</w:t>
      </w:r>
      <w:r>
        <w:rPr>
          <w:rFonts w:ascii="仿宋_GB2312" w:eastAsia="仿宋_GB2312" w:cs="DengXian-Regular"/>
          <w:sz w:val="32"/>
          <w:szCs w:val="32"/>
        </w:rPr>
        <w:t>%</w:t>
      </w:r>
      <w:r>
        <w:rPr>
          <w:rFonts w:hint="eastAsia" w:ascii="仿宋_GB2312" w:eastAsia="仿宋_GB2312" w:cs="DengXian-Regular"/>
          <w:sz w:val="32"/>
          <w:szCs w:val="32"/>
        </w:rPr>
        <w:t>。如图所示：</w:t>
      </w:r>
    </w:p>
    <w:p>
      <w:pPr>
        <w:adjustRightInd w:val="0"/>
        <w:snapToGrid w:val="0"/>
        <w:spacing w:after="0" w:line="580" w:lineRule="exact"/>
        <w:ind w:firstLine="1260" w:firstLineChars="600"/>
        <w:rPr>
          <w:rFonts w:ascii="仿宋_GB2312" w:eastAsia="仿宋_GB2312" w:cs="DengXian-Regular"/>
          <w:sz w:val="32"/>
          <w:szCs w:val="32"/>
        </w:rPr>
      </w:pPr>
      <w:r>
        <w:pict>
          <v:shape id="图表 2" o:spid="_x0000_s1149" o:spt="75" type="#_x0000_t75" style="position:absolute;left:0pt;margin-left:56.55pt;margin-top:2.4pt;height:176.95pt;width:310.5pt;z-index:251659264;mso-width-relative:page;mso-height-relative:page;"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LpA2wAAAAUBAAAPAAAAZHJzL2Rvd25y&#10;ZXYueG1sTI/BTsMwEETvSPyDtUjcqENTShXiVIDEDQQNEWc3XuKIeB3Fbmr4ehYucBlpNKuZt+U2&#10;uUHMOIXek4LLRQYCqfWmp05B8/pwsQERoiajB0+o4BMDbKvTk1IXxh9ph3MdO8ElFAqtwMY4FlKG&#10;1qLTYeFHJM7e/eR0ZDt10kz6yOVukMssW0une+IFq0e8t9h+1AenIH9ssvSyWb+1T6vd812a68Z+&#10;9Uqdn6XbGxARU/w7hh98RoeKmfb+QCaIQQE/En+Vs+tlznavYJXnVyCrUv6nr74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">
            <v:path/>
            <v:fill on="f" focussize="0,0"/>
            <v:stroke on="f" joinstyle="miter"/>
            <v:imagedata r:id="rId17" o:title=""/>
            <o:lock v:ext="edit" aspectratio="f"/>
          </v:shape>
        </w:pict>
      </w:r>
    </w:p>
    <w:p>
      <w:pPr>
        <w:adjustRightInd w:val="0"/>
        <w:snapToGrid w:val="0"/>
        <w:spacing w:after="0" w:line="580" w:lineRule="exact"/>
        <w:ind w:firstLine="1260" w:firstLineChars="600"/>
        <w:rPr>
          <w:rFonts w:ascii="仿宋_GB2312" w:eastAsia="仿宋_GB2312" w:cs="DengXian-Regular"/>
          <w:sz w:val="32"/>
          <w:szCs w:val="32"/>
        </w:rPr>
      </w:pPr>
      <w:r>
        <w:pict>
          <v:group id="组合 70" o:spid="_x0000_s1082" o:spt="203" style="position:absolute;left:0pt;margin-left:-79.5pt;margin-top:29.3pt;height:43.95pt;width:301.85pt;mso-position-vertical-relative:page;z-index:251659264;mso-width-relative:page;mso-height-relative:page;" coordorigin="4551,52615" coordsize="8546,1398203">
            <o:lock v:ext="edit"/>
            <v:rect id="矩形 13" o:spid="_x0000_s1083" o:spt="1" style="position:absolute;left:4551;top:52615;height:1175;width:8546;v-text-anchor:middle;" fillcolor="#96DA9D" filled="t" stroked="f" coordsize="21600,21600">
              <v:path/>
              <v:fill on="t" focussize="0,0"/>
              <v:stroke on="f" weight="2pt"/>
              <v:imagedata o:title=""/>
              <o:lock v:ext="edit"/>
            </v:rect>
            <v:rect id="矩形 14" o:spid="_x0000_s108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1920" w:firstLineChars="600"/>
        <w:rPr>
          <w:rFonts w:ascii="黑体" w:eastAsia="黑体"/>
          <w:b/>
          <w:bCs/>
        </w:rPr>
      </w:pPr>
      <w:r>
        <w:rPr>
          <w:rFonts w:ascii="仿宋_GB2312" w:eastAsia="仿宋_GB2312" w:cs="DengXian-Regular"/>
          <w:sz w:val="32"/>
          <w:szCs w:val="32"/>
        </w:rPr>
        <w:pict>
          <v:rect id="_x0000_s1150" o:spid="_x0000_s1150" o:spt="1" style="position:absolute;left:0pt;margin-left:118.6pt;margin-top:89.1pt;height:32.25pt;width:158.35pt;z-index:251659264;mso-width-relative:page;mso-height-relative:page;" filled="f" stroked="f" coordsize="21600,21600">
            <v:path/>
            <v:fill on="f" focussize="0,0"/>
            <v:stroke on="f"/>
            <v:imagedata o:title=""/>
            <o:lock v:ext="edit"/>
            <v:textbox>
              <w:txbxContent>
                <w:p>
                  <w:r>
                    <w:rPr>
                      <w:rFonts w:hint="eastAsia"/>
                    </w:rPr>
                    <w:t>支出构成情况（按支出性质）</w:t>
                  </w:r>
                </w:p>
              </w:txbxContent>
            </v:textbox>
          </v:rect>
        </w:pict>
      </w:r>
    </w:p>
    <w:p>
      <w:pPr>
        <w:pStyle w:val="3"/>
        <w:spacing w:before="0" w:after="0" w:line="580" w:lineRule="exact"/>
        <w:ind w:firstLine="800" w:firstLineChars="250"/>
        <w:rPr>
          <w:rFonts w:ascii="黑体" w:eastAsia="黑体"/>
          <w:b w:val="0"/>
          <w:bCs w:val="0"/>
        </w:rPr>
      </w:pPr>
      <w:r>
        <w:rPr>
          <w:rFonts w:hint="eastAsia" w:ascii="黑体" w:eastAsia="黑体"/>
          <w:b w:val="0"/>
          <w:bCs w:val="0"/>
        </w:rPr>
        <w:t>四、财政拨款收入支出决算情况说明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年度形成的财政拨款收支均为一般公共预算财政拨款，其中一般公共预算财政拨款本年收入34849.47万元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年度增加4030.93万元，</w:t>
      </w:r>
      <w:r>
        <w:rPr>
          <w:rFonts w:hint="eastAsia" w:ascii="仿宋_GB2312" w:eastAsia="仿宋_GB2312" w:cs="DengXian-Regular"/>
          <w:sz w:val="32"/>
          <w:szCs w:val="32"/>
          <w:lang w:val="en-US" w:eastAsia="zh-CN"/>
        </w:rPr>
        <w:t>增长</w:t>
      </w:r>
      <w:r>
        <w:rPr>
          <w:rFonts w:hint="eastAsia" w:ascii="仿宋_GB2312" w:eastAsia="仿宋_GB2312" w:cs="DengXian-Regular"/>
          <w:sz w:val="32"/>
          <w:szCs w:val="32"/>
        </w:rPr>
        <w:t>了13.08%，主要是由于人员工资增长、社保缴费标准提高、机关事业单位养老保险制度改革、市场中心综合楼改造等工作；本年支出34849.47万元，比</w:t>
      </w:r>
      <w:r>
        <w:rPr>
          <w:rFonts w:ascii="仿宋_GB2312" w:eastAsia="仿宋_GB2312" w:cs="DengXian-Regular"/>
          <w:sz w:val="32"/>
          <w:szCs w:val="32"/>
        </w:rPr>
        <w:t>2017</w:t>
      </w:r>
      <w:r>
        <w:rPr>
          <w:rFonts w:hint="eastAsia" w:ascii="仿宋_GB2312" w:eastAsia="仿宋_GB2312" w:cs="DengXian-Regular"/>
          <w:sz w:val="32"/>
          <w:szCs w:val="32"/>
        </w:rPr>
        <w:t>年度增加4530.93万元，</w:t>
      </w:r>
      <w:r>
        <w:rPr>
          <w:rFonts w:hint="eastAsia" w:ascii="仿宋_GB2312" w:eastAsia="仿宋_GB2312" w:cs="DengXian-Regular"/>
          <w:sz w:val="32"/>
          <w:szCs w:val="32"/>
          <w:lang w:val="en-US" w:eastAsia="zh-CN"/>
        </w:rPr>
        <w:t>增长</w:t>
      </w:r>
      <w:r>
        <w:rPr>
          <w:rFonts w:hint="eastAsia" w:ascii="仿宋_GB2312" w:eastAsia="仿宋_GB2312" w:cs="DengXian-Regular"/>
          <w:sz w:val="32"/>
          <w:szCs w:val="32"/>
        </w:rPr>
        <w:t>了14.94 %，主要是由于人员工资增长、社保缴费标准提高、机关事业单位养老保险制度改革、市场中心综合楼改造等工作。</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420" w:firstLineChars="200"/>
        <w:rPr>
          <w:rFonts w:ascii="仿宋_GB2312" w:eastAsia="仿宋_GB2312" w:cs="DengXian-Regular"/>
          <w:sz w:val="32"/>
          <w:szCs w:val="32"/>
        </w:rPr>
      </w:pPr>
      <w:r>
        <w:pict>
          <v:shape id="图表 1" o:spid="_x0000_s1160" o:spt="75" type="#_x0000_t75" style="position:absolute;left:0pt;margin-left:45.75pt;margin-top:11.55pt;height:199.55pt;width:356.35pt;mso-wrap-distance-bottom:0pt;mso-wrap-distance-left:9pt;mso-wrap-distance-right:9pt;mso-wrap-distance-top:0pt;z-index:251659264;mso-width-relative:page;mso-height-relative:page;"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67pS2wAAAAUBAAAPAAAAZHJzL2Rvd25y&#10;ZXYueG1sTI9BS8NAEIXvgv9hGcGL2E2bakvMpoileBOsCh6n2TEJZmfD7rSJ/97Vi14ePN7w3jfl&#10;ZnK9OlGInWcD81kGirj2tuPGwOvL7noNKgqyxd4zGfiiCJvq/KzEwvqRn+m0l0alEo4FGmhFhkLr&#10;WLfkMM78QJyyDx8cSrKh0TbgmMpdrxdZdqsddpwWWhzooaX6c390Bp6GcStL2c6bx/WAu6suvIX3&#10;lTGXF9P9HSihSf6O4Qc/oUOVmA7+yDaq3kB6RH41ZatFnuzBwDLPb0BXpf5PX30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">
            <v:path/>
            <v:fill on="f" focussize="0,0"/>
            <v:stroke on="f" joinstyle="miter"/>
            <v:imagedata r:id="rId18" o:title=""/>
            <o:lock v:ext="edit" aspectratio="f"/>
            <w10:wrap type="square" side="right"/>
          </v:shape>
        </w:pict>
      </w:r>
      <w:r>
        <w:rPr>
          <w:rFonts w:ascii="仿宋_GB2312" w:eastAsia="仿宋_GB2312" w:cs="DengXian-Regular"/>
          <w:sz w:val="32"/>
          <w:szCs w:val="32"/>
        </w:rPr>
        <w:br w:type="textWrapping" w:clear="all"/>
      </w:r>
    </w:p>
    <w:p>
      <w:pPr>
        <w:spacing w:after="0" w:line="580" w:lineRule="exact"/>
        <w:rPr>
          <w:rFonts w:ascii="楷体_GB2312" w:eastAsia="楷体_GB2312" w:cs="DengXian-Bold"/>
          <w:b/>
          <w:bCs/>
          <w:sz w:val="32"/>
          <w:szCs w:val="32"/>
        </w:rPr>
      </w:pPr>
      <w:r>
        <w:rPr>
          <w:rFonts w:ascii="仿宋_GB2312" w:eastAsia="仿宋_GB2312" w:cs="DengXian-Regular"/>
          <w:sz w:val="32"/>
          <w:szCs w:val="32"/>
        </w:rPr>
        <w:pict>
          <v:rect id="_x0000_s1153" o:spid="_x0000_s1153" o:spt="1" style="position:absolute;left:0pt;margin-left:117.85pt;margin-top:3.6pt;height:45pt;width:232.5pt;z-index:251659264;mso-width-relative:page;mso-height-relative:page;" filled="f" stroked="f" coordsize="21600,21600">
            <v:path/>
            <v:fill on="f" focussize="0,0"/>
            <v:stroke on="f"/>
            <v:imagedata o:title=""/>
            <o:lock v:ext="edit"/>
            <v:textbox>
              <w:txbxContent>
                <w:p>
                  <w:r>
                    <w:rPr>
                      <w:rFonts w:ascii="仿宋_GB2312" w:eastAsia="仿宋_GB2312" w:cs="DengXian-Regular"/>
                      <w:sz w:val="28"/>
                      <w:szCs w:val="28"/>
                    </w:rPr>
                    <w:t>2017-2018</w:t>
                  </w:r>
                  <w:r>
                    <w:rPr>
                      <w:rFonts w:hint="eastAsia" w:ascii="仿宋_GB2312" w:eastAsia="仿宋_GB2312" w:cs="DengXian-Regular"/>
                      <w:sz w:val="28"/>
                      <w:szCs w:val="28"/>
                    </w:rPr>
                    <w:t>年财政拨款收支情况</w:t>
                  </w:r>
                </w:p>
              </w:txbxContent>
            </v:textbox>
          </v:rect>
        </w:pict>
      </w: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spacing w:after="0" w:line="580" w:lineRule="exact"/>
        <w:ind w:firstLine="640" w:firstLineChars="200"/>
        <w:rPr>
          <w:rFonts w:ascii="仿宋_GB2312" w:eastAsia="仿宋_GB2312" w:cs="DengXian-Bold"/>
          <w:b/>
          <w:bCs/>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ascii="仿宋_GB2312" w:eastAsia="仿宋_GB2312" w:cs="DengXian-Regular"/>
          <w:sz w:val="32"/>
          <w:szCs w:val="32"/>
        </w:rPr>
        <w:t>34849.4</w:t>
      </w:r>
      <w:r>
        <w:rPr>
          <w:rFonts w:hint="eastAsia" w:ascii="仿宋_GB2312" w:eastAsia="仿宋_GB2312" w:cs="DengXian-Regular"/>
          <w:sz w:val="32"/>
          <w:szCs w:val="32"/>
        </w:rPr>
        <w:t>7万元，完成年初预算的112.19</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ascii="仿宋_GB2312" w:eastAsia="仿宋_GB2312" w:cs="DengXian-Regular"/>
          <w:sz w:val="32"/>
          <w:szCs w:val="32"/>
        </w:rPr>
        <w:t>3787.</w:t>
      </w:r>
      <w:r>
        <w:rPr>
          <w:rFonts w:hint="eastAsia" w:ascii="仿宋_GB2312" w:eastAsia="仿宋_GB2312" w:cs="DengXian-Regular"/>
          <w:sz w:val="32"/>
          <w:szCs w:val="32"/>
        </w:rPr>
        <w:t>79万元，决算数大于预算数主要原因是由于人员工资增长、社保缴费标准提高、机关事业单位养老保险制度改革、市场中心综合楼改造等工作；本年支出</w:t>
      </w:r>
      <w:r>
        <w:rPr>
          <w:rFonts w:ascii="仿宋_GB2312" w:eastAsia="仿宋_GB2312" w:cs="DengXian-Regular"/>
          <w:sz w:val="32"/>
          <w:szCs w:val="32"/>
        </w:rPr>
        <w:t>34849.4</w:t>
      </w:r>
      <w:r>
        <w:rPr>
          <w:rFonts w:hint="eastAsia" w:ascii="仿宋_GB2312" w:eastAsia="仿宋_GB2312" w:cs="DengXian-Regular"/>
          <w:sz w:val="32"/>
          <w:szCs w:val="32"/>
        </w:rPr>
        <w:t>7万元，完成年初预算的112.19</w:t>
      </w:r>
      <w:r>
        <w:rPr>
          <w:rFonts w:ascii="仿宋_GB2312" w:eastAsia="仿宋_GB2312" w:cs="DengXian-Regular"/>
          <w:sz w:val="32"/>
          <w:szCs w:val="32"/>
        </w:rPr>
        <w:t>%,</w:t>
      </w:r>
      <w:r>
        <w:rPr>
          <w:rFonts w:hint="eastAsia" w:ascii="仿宋_GB2312" w:eastAsia="仿宋_GB2312" w:cs="DengXian-Regular"/>
          <w:sz w:val="32"/>
          <w:szCs w:val="32"/>
        </w:rPr>
        <w:t>比年初预算增加3787.79万元，决算数大于预算数主要原因是由于人员工资增长、社保缴费标准提高、机关事业单位养老保险制度改革、市场中心综合楼改造等工作。</w:t>
      </w:r>
    </w:p>
    <w:p>
      <w:pPr>
        <w:adjustRightInd w:val="0"/>
        <w:snapToGrid w:val="0"/>
        <w:spacing w:after="0" w:line="580" w:lineRule="exact"/>
        <w:ind w:firstLine="420" w:firstLineChars="200"/>
        <w:rPr>
          <w:rFonts w:ascii="仿宋_GB2312" w:eastAsia="仿宋_GB2312" w:cs="DengXian-Regular"/>
          <w:sz w:val="32"/>
          <w:szCs w:val="32"/>
          <w:highlight w:val="yellow"/>
        </w:rPr>
      </w:pPr>
      <w:r>
        <w:pict>
          <v:shape id="_x0000_s1161" o:spid="_x0000_s1161" o:spt="75" type="#_x0000_t75" style="position:absolute;left:0pt;margin-left:42.1pt;margin-top:18.15pt;height:198.7pt;width:340.5pt;z-index:251659264;mso-width-relative:page;mso-height-relative:page;"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DmK42gAAAAUBAAAPAAAAZHJzL2Rvd25y&#10;ZXYueG1sTI/NTsMwEITvSLyDtUjcqEPDTwlxKkDiBoe2HDhukyVOY69D7Lbh7Vm4wGWk0axmvi2X&#10;k3fqQGPsAhu4nGWgiOvQdNwaeNs8XyxAxYTcoAtMBr4owrI6PSmxaMKRV3RYp1ZJCccCDdiUhkLr&#10;WFvyGGdhIJbsI4wek9ix1c2IRyn3Ts+z7EZ77FgWLA70ZKnu13tvgF5twOnu/fFz5zarXe/7lwX2&#10;xpyfTQ/3oBJN6e8YfvAFHSph2oY9N1E5A/JI+lXJbue52K2Bqzy/Bl2V+j999Q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">
            <v:path/>
            <v:fill on="f" focussize="0,0"/>
            <v:stroke on="f" joinstyle="miter"/>
            <v:imagedata r:id="rId19" o:title=""/>
            <o:lock v:ext="edit" aspectratio="f"/>
          </v:shape>
        </w:pic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ascii="仿宋_GB2312" w:eastAsia="仿宋_GB2312" w:cs="DengXian-Regular"/>
          <w:sz w:val="32"/>
          <w:szCs w:val="32"/>
        </w:rPr>
        <w:pict>
          <v:rect id="_x0000_s1156" o:spid="_x0000_s1156" o:spt="1" style="position:absolute;left:0pt;margin-left:135.85pt;margin-top:27.85pt;height:36.75pt;width:210.75pt;z-index:251659264;mso-width-relative:page;mso-height-relative:page;" filled="f" stroked="t" coordsize="21600,21600">
            <v:path/>
            <v:fill on="f" focussize="0,0"/>
            <v:stroke color="#FFFFFF"/>
            <v:imagedata o:title=""/>
            <o:lock v:ext="edit"/>
            <v:textbox>
              <w:txbxContent>
                <w:p>
                  <w:r>
                    <w:rPr>
                      <w:rFonts w:hint="eastAsia" w:ascii="仿宋_GB2312" w:eastAsia="仿宋_GB2312" w:cs="DengXian-Regular"/>
                      <w:sz w:val="24"/>
                    </w:rPr>
                    <w:t>财政拨款收支预决算对比情况</w:t>
                  </w:r>
                </w:p>
              </w:txbxContent>
            </v:textbox>
          </v:rect>
        </w:pic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年度财政拨款支出34849.47万元，主要用于以下方面：一般公共服务支出1452.83万元，占4.17</w:t>
      </w:r>
      <w:r>
        <w:rPr>
          <w:rFonts w:ascii="仿宋_GB2312" w:eastAsia="仿宋_GB2312" w:cs="DengXian-Regular"/>
          <w:sz w:val="32"/>
          <w:szCs w:val="32"/>
        </w:rPr>
        <w:t>%</w:t>
      </w:r>
      <w:r>
        <w:rPr>
          <w:rFonts w:hint="eastAsia" w:ascii="仿宋_GB2312" w:eastAsia="仿宋_GB2312" w:cs="DengXian-Regular"/>
          <w:sz w:val="32"/>
          <w:szCs w:val="32"/>
        </w:rPr>
        <w:t>；社会保障和就业支出16069.49万元，占46.11</w:t>
      </w:r>
      <w:r>
        <w:rPr>
          <w:rFonts w:ascii="仿宋_GB2312" w:eastAsia="仿宋_GB2312" w:cs="DengXian-Regular"/>
          <w:sz w:val="32"/>
          <w:szCs w:val="32"/>
        </w:rPr>
        <w:t>%</w:t>
      </w:r>
      <w:r>
        <w:rPr>
          <w:rFonts w:hint="eastAsia" w:ascii="仿宋_GB2312" w:eastAsia="仿宋_GB2312" w:cs="DengXian-Regular"/>
          <w:sz w:val="32"/>
          <w:szCs w:val="32"/>
        </w:rPr>
        <w:t>；医疗卫生与计划生育支出支出17282.31万元，占49.59%；农林水支出44.84万元，占0.13%。</w:t>
      </w:r>
    </w:p>
    <w:p>
      <w:pPr>
        <w:adjustRightInd w:val="0"/>
        <w:snapToGrid w:val="0"/>
        <w:spacing w:after="0" w:line="580" w:lineRule="exact"/>
        <w:rPr>
          <w:rFonts w:ascii="楷体_GB2312" w:eastAsia="楷体_GB2312" w:cs="DengXian-Bold"/>
          <w:b/>
          <w:bCs/>
          <w:sz w:val="32"/>
          <w:szCs w:val="32"/>
        </w:rPr>
      </w:pPr>
      <w:r>
        <w:pict>
          <v:shape id="图表 3" o:spid="_x0000_s1162" o:spt="75" type="#_x0000_t75" style="position:absolute;left:0pt;margin-left:54.1pt;margin-top:16.6pt;height:170.75pt;width:354pt;z-index:251659264;mso-width-relative:page;mso-height-relative:page;"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wDoN3AAAAAUBAAAPAAAAZHJzL2Rvd25y&#10;ZXYueG1sTI/NTsMwEITvSLyDtUjcqENTfhTiVAipl6ocaIu4buIliYjXIXbawNOz9AKXkUazmvk2&#10;X06uUwcaQuvZwPUsAUVcedtybWC/W13dgwoR2WLnmQx8UYBlcX6WY2b9kV/osI21khIOGRpoYuwz&#10;rUPVkMMw8z2xZO9+cBjFDrW2Ax6l3HV6niS32mHLstBgT08NVR/b0RnYxW832v3ber3bLJ7LgLja&#10;vH4ac3kxPT6AijTFv2P4xRd0KISp9CPboDoD8kg8qWR381RsaWCRpjegi1z/py9+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">
            <v:path/>
            <v:fill on="f" focussize="0,0"/>
            <v:stroke on="f" joinstyle="miter"/>
            <v:imagedata r:id="rId20" o:title=""/>
            <o:lock v:ext="edit" aspectratio="f"/>
          </v:shape>
        </w:pic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r>
        <w:rPr>
          <w:rFonts w:ascii="楷体_GB2312" w:eastAsia="楷体_GB2312" w:cs="DengXian-Bold"/>
          <w:b/>
          <w:bCs/>
          <w:sz w:val="32"/>
          <w:szCs w:val="32"/>
        </w:rPr>
        <w:pict>
          <v:rect id="_x0000_s1158" o:spid="_x0000_s1158" o:spt="1" style="position:absolute;left:0pt;margin-left:93.1pt;margin-top:13.35pt;height:36.75pt;width:250.5pt;z-index:251659264;mso-width-relative:page;mso-height-relative:page;" filled="f" stroked="f" coordsize="21600,21600">
            <v:path/>
            <v:fill on="f" focussize="0,0"/>
            <v:stroke on="f"/>
            <v:imagedata o:title=""/>
            <o:lock v:ext="edit"/>
            <v:textbox>
              <w:txbxContent>
                <w:p>
                  <w:r>
                    <w:rPr>
                      <w:rFonts w:hint="eastAsia" w:ascii="仿宋_GB2312" w:eastAsia="仿宋_GB2312" w:cs="DengXian-Regular"/>
                      <w:sz w:val="28"/>
                      <w:szCs w:val="28"/>
                    </w:rPr>
                    <w:t>财政拨款支出决算结构（按功能分类）</w:t>
                  </w:r>
                </w:p>
              </w:txbxContent>
            </v:textbox>
          </v:rect>
        </w:pic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59264;mso-width-relative:page;mso-height-relative:page;" coordorigin="4551,52615" coordsize="8546,1398203">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年度一般公共预算财政拨款基本支出34799.47万元，其中：人员经费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rPr>
        <w:t>34582.26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217.21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“三公”经费支出共计5.99万元，</w:t>
      </w:r>
      <w:r>
        <w:rPr>
          <w:rFonts w:hint="eastAsia" w:ascii="仿宋_GB2312" w:eastAsia="仿宋_GB2312" w:cs="DengXian-Regular"/>
          <w:bCs/>
          <w:sz w:val="32"/>
          <w:szCs w:val="32"/>
        </w:rPr>
        <w:t>较年初预算减少9.62万元，降低61.63</w:t>
      </w:r>
      <w:r>
        <w:rPr>
          <w:rFonts w:ascii="仿宋_GB2312" w:eastAsia="仿宋_GB2312" w:cs="DengXian-Regular"/>
          <w:bCs/>
          <w:sz w:val="32"/>
          <w:szCs w:val="32"/>
        </w:rPr>
        <w:t>%</w:t>
      </w:r>
      <w:r>
        <w:rPr>
          <w:rFonts w:hint="eastAsia" w:ascii="仿宋_GB2312" w:eastAsia="仿宋_GB2312" w:cs="DengXian-Regular"/>
          <w:bCs/>
          <w:sz w:val="32"/>
          <w:szCs w:val="32"/>
        </w:rPr>
        <w:t>，</w:t>
      </w:r>
      <w:r>
        <w:rPr>
          <w:rFonts w:hint="eastAsia" w:ascii="仿宋_GB2312" w:eastAsia="仿宋_GB2312" w:cs="DengXian-Regular"/>
          <w:sz w:val="32"/>
          <w:szCs w:val="32"/>
        </w:rPr>
        <w:t>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59264;mso-width-relative:page;mso-height-relative:page;" coordorigin="4551,52615" coordsize="8546,1398203">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楷体_GB2312" w:eastAsia="楷体_GB2312" w:cs="DengXian-Bold"/>
          <w:b/>
          <w:bCs/>
          <w:sz w:val="32"/>
          <w:szCs w:val="32"/>
          <w:lang w:eastAsia="zh-CN"/>
        </w:rPr>
        <w:t>，</w:t>
      </w:r>
      <w:r>
        <w:rPr>
          <w:rFonts w:hint="eastAsia" w:ascii="楷体_GB2312" w:eastAsia="楷体_GB2312" w:cs="DengXian-Bold"/>
          <w:b/>
          <w:bCs/>
          <w:sz w:val="32"/>
          <w:szCs w:val="32"/>
          <w:lang w:val="en-US" w:eastAsia="zh-CN"/>
        </w:rPr>
        <w:t>0人次0组次</w:t>
      </w:r>
      <w:r>
        <w:rPr>
          <w:rFonts w:hint="eastAsia" w:ascii="楷体_GB2312" w:eastAsia="楷体_GB2312" w:cs="DengXian-Bold"/>
          <w:b/>
          <w:bCs/>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年度未发生因公出国（境）经费支出。</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（二）公务用车购置及运行维护费支出5.92万元。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年度公务用车购置及运行维护费较年初预算减少9.08万元，降低60.53</w:t>
      </w:r>
      <w:r>
        <w:rPr>
          <w:rFonts w:ascii="仿宋_GB2312" w:eastAsia="仿宋_GB2312" w:cs="DengXian-Regular"/>
          <w:sz w:val="32"/>
          <w:szCs w:val="32"/>
        </w:rPr>
        <w:t>%,</w:t>
      </w:r>
      <w:r>
        <w:rPr>
          <w:rFonts w:hint="eastAsia" w:ascii="仿宋_GB2312" w:eastAsia="仿宋_GB2312" w:cs="DengXian-Regular"/>
          <w:sz w:val="32"/>
          <w:szCs w:val="32"/>
        </w:rPr>
        <w:t>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年度未发生公务用车购置经费支出</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较年初预算持平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年度单位公务用车保有量5辆。公车运行维护费支出较年初预算减少9.08万元，降低60.53</w:t>
      </w:r>
      <w:r>
        <w:rPr>
          <w:rFonts w:ascii="仿宋_GB2312" w:eastAsia="仿宋_GB2312" w:cs="DengXian-Regular"/>
          <w:sz w:val="32"/>
          <w:szCs w:val="32"/>
        </w:rPr>
        <w:t>%,</w:t>
      </w:r>
      <w:r>
        <w:rPr>
          <w:rFonts w:hint="eastAsia" w:ascii="仿宋_GB2312" w:eastAsia="仿宋_GB2312" w:cs="DengXian-Regular"/>
          <w:sz w:val="32"/>
          <w:szCs w:val="32"/>
        </w:rPr>
        <w:t>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（三）公务接待费支出0.07万元。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年度公务接待共1批次</w:t>
      </w:r>
      <w:r>
        <w:rPr>
          <w:rFonts w:hint="eastAsia" w:ascii="仿宋_GB2312" w:eastAsia="仿宋_GB2312" w:cs="DengXian-Regular"/>
          <w:sz w:val="32"/>
          <w:szCs w:val="32"/>
          <w:lang w:val="en-US" w:eastAsia="zh-CN"/>
        </w:rPr>
        <w:t>12人次</w:t>
      </w:r>
      <w:r>
        <w:rPr>
          <w:rFonts w:hint="eastAsia" w:ascii="仿宋_GB2312" w:eastAsia="仿宋_GB2312" w:cs="DengXian-Regular"/>
          <w:sz w:val="32"/>
          <w:szCs w:val="32"/>
        </w:rPr>
        <w:t>。公务接待费支出较年初预算减少0.54万元，减少88.52%，主要是由于认真贯彻落实中央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pict>
          <v:group id="_x0000_s1109" o:spid="_x0000_s1109" o:spt="203" style="position:absolute;left:0pt;margin-left:-79.5pt;margin-top:29.3pt;height:43.95pt;width:301.85pt;mso-position-vertical-relative:page;z-index:251659264;mso-width-relative:page;mso-height-relative:page;" coordorigin="4551,52615" coordsize="8546,1398203">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482" w:firstLineChars="15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（一）预算绩效管理工作开展情况。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201</w:t>
      </w:r>
      <w:r>
        <w:rPr>
          <w:rFonts w:hint="eastAsia" w:ascii="仿宋_GB2312" w:hAnsi="仿宋_GB2312" w:eastAsia="仿宋_GB2312" w:cs="仿宋_GB2312"/>
          <w:sz w:val="32"/>
          <w:szCs w:val="32"/>
        </w:rPr>
        <w:t>8年度一般公共预算项目支出全面开展绩效自评，其中，一级项目37个，共</w:t>
      </w:r>
      <w:r>
        <w:rPr>
          <w:rFonts w:hint="eastAsia" w:ascii="宋体" w:hAnsi="宋体" w:cs="宋体"/>
          <w:sz w:val="32"/>
          <w:szCs w:val="32"/>
        </w:rPr>
        <w:t>涉</w:t>
      </w:r>
      <w:r>
        <w:rPr>
          <w:rFonts w:hint="eastAsia" w:ascii="仿宋_GB2312" w:hAnsi="仿宋_GB2312" w:eastAsia="仿宋_GB2312" w:cs="仿宋_GB2312"/>
          <w:sz w:val="32"/>
          <w:szCs w:val="32"/>
        </w:rPr>
        <w:t>及资金34432.81万元，占一般公共预算项目支出总额的100%。组织对中央就业补助资金、城乡居民社会养老保险市级配套补助资金等37个项目开展了部门评价，</w:t>
      </w:r>
      <w:r>
        <w:rPr>
          <w:rFonts w:hint="eastAsia" w:ascii="宋体" w:hAnsi="宋体" w:cs="宋体"/>
          <w:sz w:val="32"/>
          <w:szCs w:val="32"/>
        </w:rPr>
        <w:t>涉</w:t>
      </w:r>
      <w:r>
        <w:rPr>
          <w:rFonts w:hint="eastAsia" w:ascii="仿宋_GB2312" w:hAnsi="仿宋_GB2312" w:eastAsia="仿宋_GB2312" w:cs="仿宋_GB2312"/>
          <w:sz w:val="32"/>
          <w:szCs w:val="32"/>
        </w:rPr>
        <w:t>及一般公共预算支出34432.81万元。</w:t>
      </w:r>
    </w:p>
    <w:p>
      <w:pPr>
        <w:adjustRightInd w:val="0"/>
        <w:snapToGrid w:val="0"/>
        <w:spacing w:line="580" w:lineRule="exact"/>
        <w:ind w:firstLine="482" w:firstLineChars="15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本部门在2018年部门决算公开中反映中央就业补助资金项目及城乡居民社会养老保险市级配套补助资金项目2个项目绩效自评结果。</w:t>
      </w:r>
    </w:p>
    <w:p>
      <w:pPr>
        <w:numPr>
          <w:ilvl w:val="0"/>
          <w:numId w:val="2"/>
        </w:num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中央就业补助资金项目自评综述：根据年初设定的绩效目标，中央就业补助资金项目绩效自评得分为100分。全年预算数为177万元，执行数为177万元，完成预算的100%。项目绩效目标完成情况：一是及时拨付公</w:t>
      </w:r>
      <w:r>
        <w:rPr>
          <w:rFonts w:hint="eastAsia" w:ascii="宋体" w:hAnsi="宋体" w:cs="宋体"/>
          <w:sz w:val="32"/>
          <w:szCs w:val="32"/>
        </w:rPr>
        <w:t>益</w:t>
      </w:r>
      <w:r>
        <w:rPr>
          <w:rFonts w:hint="eastAsia" w:ascii="仿宋_GB2312" w:hAnsi="仿宋_GB2312" w:eastAsia="仿宋_GB2312" w:cs="仿宋_GB2312"/>
          <w:sz w:val="32"/>
          <w:szCs w:val="32"/>
        </w:rPr>
        <w:t>性岗位人员岗位补贴、社保补贴；二是促进就业。</w:t>
      </w:r>
    </w:p>
    <w:p>
      <w:pPr>
        <w:numPr>
          <w:ilvl w:val="0"/>
          <w:numId w:val="2"/>
        </w:num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乡居民社会养老保险市级配套补助资金项目绩效自评综述：根据年初设定的绩效目标，城乡居民社会养老保险市级配套补助资金项目绩效自评得分为100分。全年预算数为331.02万元，执行数为331.02万元，完成预算的100%。项目绩效目标完成情况：一是及时足额发</w:t>
      </w:r>
      <w:r>
        <w:rPr>
          <w:rFonts w:hint="eastAsia" w:ascii="宋体" w:hAnsi="宋体" w:cs="宋体"/>
          <w:sz w:val="32"/>
          <w:szCs w:val="32"/>
        </w:rPr>
        <w:t>放</w:t>
      </w:r>
      <w:r>
        <w:rPr>
          <w:rFonts w:hint="eastAsia" w:ascii="仿宋_GB2312" w:hAnsi="仿宋_GB2312" w:eastAsia="仿宋_GB2312" w:cs="仿宋_GB2312"/>
          <w:sz w:val="32"/>
          <w:szCs w:val="32"/>
        </w:rPr>
        <w:t>城乡居民基</w:t>
      </w:r>
      <w:r>
        <w:rPr>
          <w:rFonts w:hint="eastAsia" w:ascii="宋体" w:hAnsi="宋体" w:cs="宋体"/>
          <w:sz w:val="32"/>
          <w:szCs w:val="32"/>
        </w:rPr>
        <w:t>础</w:t>
      </w:r>
      <w:r>
        <w:rPr>
          <w:rFonts w:hint="eastAsia" w:ascii="仿宋_GB2312" w:hAnsi="仿宋_GB2312" w:eastAsia="仿宋_GB2312" w:cs="仿宋_GB2312"/>
          <w:sz w:val="32"/>
          <w:szCs w:val="32"/>
        </w:rPr>
        <w:t>养老金；二是及时</w:t>
      </w:r>
      <w:r>
        <w:rPr>
          <w:rFonts w:hint="eastAsia" w:ascii="宋体" w:hAnsi="宋体" w:cs="宋体"/>
          <w:sz w:val="32"/>
          <w:szCs w:val="32"/>
        </w:rPr>
        <w:t>将</w:t>
      </w:r>
      <w:r>
        <w:rPr>
          <w:rFonts w:hint="eastAsia" w:ascii="仿宋_GB2312" w:hAnsi="仿宋_GB2312" w:eastAsia="仿宋_GB2312" w:cs="仿宋_GB2312"/>
          <w:sz w:val="32"/>
          <w:szCs w:val="32"/>
        </w:rPr>
        <w:t>缴费补贴补贴到位。</w:t>
      </w:r>
    </w:p>
    <w:p>
      <w:pPr>
        <w:adjustRightInd w:val="0"/>
        <w:snapToGrid w:val="0"/>
        <w:spacing w:line="580" w:lineRule="exact"/>
        <w:ind w:firstLine="482" w:firstLineChars="15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（三）重点项目绩效评价结果。</w:t>
      </w:r>
    </w:p>
    <w:p>
      <w:pPr>
        <w:adjustRightInd w:val="0"/>
        <w:snapToGrid w:val="0"/>
        <w:spacing w:line="58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无</w:t>
      </w:r>
    </w:p>
    <w:p>
      <w:pPr>
        <w:adjustRightInd w:val="0"/>
        <w:snapToGrid w:val="0"/>
        <w:spacing w:after="0" w:line="580" w:lineRule="exact"/>
        <w:ind w:left="640"/>
        <w:rPr>
          <w:rFonts w:ascii="仿宋_GB2312" w:hAnsi="仿宋_GB2312" w:eastAsia="仿宋_GB2312" w:cs="仿宋_GB2312"/>
          <w:sz w:val="32"/>
          <w:szCs w:val="32"/>
        </w:rPr>
      </w:pPr>
      <w:r>
        <w:rPr>
          <w:rFonts w:hint="eastAsia" w:ascii="黑体" w:eastAsia="黑体"/>
          <w:sz w:val="32"/>
          <w:szCs w:val="4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年度机关运行经费支出217.21万元，比年初预算数增加137.04万元，增长170.93</w:t>
      </w:r>
      <w:r>
        <w:rPr>
          <w:rFonts w:ascii="仿宋_GB2312" w:eastAsia="仿宋_GB2312" w:cs="DengXian-Regular"/>
          <w:sz w:val="32"/>
          <w:szCs w:val="32"/>
        </w:rPr>
        <w:t>%</w:t>
      </w:r>
      <w:r>
        <w:rPr>
          <w:rFonts w:hint="eastAsia" w:ascii="仿宋_GB2312" w:eastAsia="仿宋_GB2312" w:cs="DengXian-Regular"/>
          <w:sz w:val="32"/>
          <w:szCs w:val="32"/>
        </w:rPr>
        <w:t>。主要原因是由于市场中心综合楼改造等工作。</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年度政府采购支出总额</w:t>
      </w:r>
      <w:r>
        <w:rPr>
          <w:rFonts w:hint="eastAsia" w:ascii="仿宋_GB2312" w:eastAsia="仿宋_GB2312" w:cs="DengXian-Regular"/>
          <w:sz w:val="32"/>
          <w:szCs w:val="32"/>
          <w:lang w:val="en-US" w:eastAsia="zh-CN"/>
        </w:rPr>
        <w:t>0</w:t>
      </w:r>
      <w:r>
        <w:rPr>
          <w:rFonts w:hint="eastAsia" w:ascii="仿宋_GB2312" w:hAnsi="Times New Roman"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日，本部门共有车辆5辆，较上年无变化，主要是由于认真贯彻落实中央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精神和厉行节约要求，从严控制经费开支。其中，其他用车5辆，其他用车主要是下乡监察、开会用车；单位价值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万元以上通用设备0台（套），较上年无变化，主要是由于认真贯彻落实中央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精神和厉行节约要求，从严控制经费开支，单位价值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万元以上专用设备0台（套），较上年无变化，主要是由于认真贯彻落实中央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精神和厉行节约要求，从严控制经费开支。</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年度无政府性基金预算财政拨款收支、无国有资本经营预算财政拨款支出、无政府采购，故政府性基金预算财政拨款收入支出决算表、国有资本经营预算财政拨款支出决算表、政府采购情况表以空表列示。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59264;mso-width-relative:page;mso-height-relative:page;" coordorigin="4551,52615" coordsize="8546,1398203">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18" o:spt="75" alt="2" type="#_x0000_t75" style="position:absolute;left:0pt;margin-left:-79.45pt;margin-top:-105.35pt;height:840.95pt;width:594.5pt;z-index:-251656192;mso-width-relative:page;mso-height-relative:page;" filled="f" o:preferrelative="t" stroked="f" coordsize="21600,21600">
            <v:path/>
            <v:fill on="f" focussize="0,0"/>
            <v:stroke on="f" joinstyle="miter"/>
            <v:imagedata r:id="rId7" o:title=""/>
            <o:lock v:ext="edit" aspectratio="t"/>
          </v:shape>
        </w:pict>
      </w:r>
      <w:r>
        <w:pict>
          <v:shape id="文本框 22" o:spid="_x0000_s1119" o:spt="202" type="#_x0000_t202" style="position:absolute;left:0pt;margin-left:-78.7pt;margin-top:232.8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59264;mso-width-relative:page;mso-height-relative:page;" coordorigin="4551,52615" coordsize="8546,1398203">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59264;mso-width-relative:page;mso-height-relative:page;" coordorigin="4551,52615" coordsize="8546,1398203">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59264;mso-width-relative:page;mso-height-relative:page;" coordorigin="4551,52615" coordsize="8546,1398203">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sz w:val="32"/>
          <w:szCs w:val="32"/>
        </w:rPr>
      </w:pPr>
      <w:r>
        <w:rPr>
          <w:rFonts w:hint="eastAsia" w:ascii="仿宋_GB2312" w:hAnsi="宋体" w:eastAsia="仿宋_GB2312"/>
          <w:b/>
          <w:bCs/>
          <w:color w:val="000000"/>
          <w:kern w:val="0"/>
          <w:sz w:val="32"/>
          <w:szCs w:val="32"/>
        </w:rPr>
        <w:t>（十七）经费形</w:t>
      </w:r>
      <w:r>
        <w:rPr>
          <w:rFonts w:hint="eastAsia" w:ascii="宋体" w:hAnsi="宋体" w:cs="宋体"/>
          <w:b/>
          <w:bCs/>
          <w:color w:val="000000"/>
          <w:kern w:val="0"/>
          <w:sz w:val="32"/>
          <w:szCs w:val="32"/>
        </w:rPr>
        <w:t>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067777-1036-423D-B419-6C3B16DC2014}"/>
  </w:font>
  <w:font w:name="Arial">
    <w:panose1 w:val="020B0604020202020204"/>
    <w:charset w:val="01"/>
    <w:family w:val="swiss"/>
    <w:pitch w:val="default"/>
    <w:sig w:usb0="E0002EFF" w:usb1="C000785B" w:usb2="00000009" w:usb3="00000000" w:csb0="400001FF" w:csb1="FFFF0000"/>
    <w:embedRegular r:id="rId2" w:fontKey="{CD241C24-4D2C-4D36-8E27-28DAEA295A29}"/>
  </w:font>
  <w:font w:name="黑体">
    <w:panose1 w:val="02010609060101010101"/>
    <w:charset w:val="86"/>
    <w:family w:val="auto"/>
    <w:pitch w:val="default"/>
    <w:sig w:usb0="800002BF" w:usb1="38CF7CFA" w:usb2="00000016" w:usb3="00000000" w:csb0="00040001" w:csb1="00000000"/>
    <w:embedRegular r:id="rId3" w:fontKey="{9B8A3923-B5AF-42A3-858A-46CC5096434B}"/>
  </w:font>
  <w:font w:name="Courier New">
    <w:panose1 w:val="02070309020205020404"/>
    <w:charset w:val="01"/>
    <w:family w:val="modern"/>
    <w:pitch w:val="default"/>
    <w:sig w:usb0="E0002EFF" w:usb1="C0007843" w:usb2="00000009" w:usb3="00000000" w:csb0="400001FF" w:csb1="FFFF0000"/>
    <w:embedRegular r:id="rId4" w:fontKey="{4C3AA524-2168-475B-B4BE-7707F5D5BF43}"/>
  </w:font>
  <w:font w:name="Symbol">
    <w:panose1 w:val="05050102010706020507"/>
    <w:charset w:val="02"/>
    <w:family w:val="roman"/>
    <w:pitch w:val="default"/>
    <w:sig w:usb0="00000000" w:usb1="00000000" w:usb2="00000000" w:usb3="00000000" w:csb0="80000000" w:csb1="00000000"/>
    <w:embedRegular r:id="rId5" w:fontKey="{E6FF79E2-46DC-4633-93A8-8F748EB0FEDB}"/>
  </w:font>
  <w:font w:name="Calibri">
    <w:panose1 w:val="020F0502020204030204"/>
    <w:charset w:val="00"/>
    <w:family w:val="swiss"/>
    <w:pitch w:val="default"/>
    <w:sig w:usb0="E4002EFF" w:usb1="C000247B" w:usb2="00000009" w:usb3="00000000" w:csb0="200001FF" w:csb1="00000000"/>
    <w:embedRegular r:id="rId6" w:fontKey="{EB89C508-29C5-48D6-9FD2-5D9ACBD5F149}"/>
  </w:font>
  <w:font w:name="Cambria">
    <w:panose1 w:val="02040503050406030204"/>
    <w:charset w:val="00"/>
    <w:family w:val="roman"/>
    <w:pitch w:val="default"/>
    <w:sig w:usb0="E00006FF" w:usb1="420024FF" w:usb2="02000000" w:usb3="00000000" w:csb0="2000019F" w:csb1="00000000"/>
    <w:embedRegular r:id="rId7" w:fontKey="{915151A4-1970-4BE0-855C-74F7B5B0517D}"/>
  </w:font>
  <w:font w:name="楷体">
    <w:panose1 w:val="02010609060101010101"/>
    <w:charset w:val="86"/>
    <w:family w:val="modern"/>
    <w:pitch w:val="default"/>
    <w:sig w:usb0="800002BF" w:usb1="38CF7CFA" w:usb2="00000016" w:usb3="00000000" w:csb0="00040001" w:csb1="00000000"/>
    <w:embedRegular r:id="rId8" w:fontKey="{69CDCF5A-8D31-4E36-AD2E-562115CD822F}"/>
  </w:font>
  <w:font w:name="MS Gothic">
    <w:panose1 w:val="020B0609070205080204"/>
    <w:charset w:val="80"/>
    <w:family w:val="modern"/>
    <w:pitch w:val="default"/>
    <w:sig w:usb0="E00002FF" w:usb1="6AC7FDFB" w:usb2="08000012" w:usb3="00000000" w:csb0="4002009F" w:csb1="DFD70000"/>
    <w:embedRegular r:id="rId9" w:fontKey="{1BAB4671-59A7-441C-A9AC-66106EE9C8E8}"/>
  </w:font>
  <w:font w:name="仿宋_GB2312">
    <w:altName w:val="仿宋"/>
    <w:panose1 w:val="00000000000000000000"/>
    <w:charset w:val="86"/>
    <w:family w:val="modern"/>
    <w:pitch w:val="default"/>
    <w:sig w:usb0="00000000" w:usb1="00000000" w:usb2="00000010" w:usb3="00000000" w:csb0="00040000" w:csb1="00000000"/>
    <w:embedRegular r:id="rId10" w:fontKey="{2C0E7FF2-5CCE-4307-9BD8-A433443A7E45}"/>
  </w:font>
  <w:font w:name="仿宋">
    <w:panose1 w:val="02010609060101010101"/>
    <w:charset w:val="86"/>
    <w:family w:val="auto"/>
    <w:pitch w:val="default"/>
    <w:sig w:usb0="800002BF" w:usb1="38CF7CFA" w:usb2="00000016" w:usb3="00000000" w:csb0="00040001" w:csb1="00000000"/>
    <w:embedRegular r:id="rId11" w:fontKey="{E954BEC3-C955-47CB-94ED-042484BC18FC}"/>
  </w:font>
  <w:font w:name="ArialUnicodeMS">
    <w:altName w:val="Malgun Gothic"/>
    <w:panose1 w:val="00000000000000000000"/>
    <w:charset w:val="81"/>
    <w:family w:val="auto"/>
    <w:pitch w:val="default"/>
    <w:sig w:usb0="00000000" w:usb1="00000000" w:usb2="00000010" w:usb3="00000000" w:csb0="00080000" w:csb1="00000000"/>
    <w:embedRegular r:id="rId12" w:fontKey="{1366CA7C-8AEE-48A0-9888-C68881FBBB87}"/>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C17925CD-3B78-4B21-B405-3F30B96E42F7}"/>
  </w:font>
  <w:font w:name="DengXian-Regular">
    <w:altName w:val="宋体"/>
    <w:panose1 w:val="00000000000000000000"/>
    <w:charset w:val="86"/>
    <w:family w:val="auto"/>
    <w:pitch w:val="default"/>
    <w:sig w:usb0="00000000" w:usb1="00000000" w:usb2="00000010" w:usb3="00000000" w:csb0="00040000" w:csb1="00000000"/>
    <w:embedRegular r:id="rId14" w:fontKey="{22176780-1189-4722-87F6-251CE14622A7}"/>
  </w:font>
  <w:font w:name="楷体_GB2312">
    <w:altName w:val="楷体"/>
    <w:panose1 w:val="00000000000000000000"/>
    <w:charset w:val="86"/>
    <w:family w:val="modern"/>
    <w:pitch w:val="default"/>
    <w:sig w:usb0="00000000" w:usb1="00000000" w:usb2="00000010" w:usb3="00000000" w:csb0="00040000" w:csb1="00000000"/>
    <w:embedRegular r:id="rId15" w:fontKey="{90128FC5-0903-4070-89A3-A1D29F71AC7D}"/>
  </w:font>
  <w:font w:name="DengXian-Bold">
    <w:altName w:val="宋体"/>
    <w:panose1 w:val="00000000000000000000"/>
    <w:charset w:val="86"/>
    <w:family w:val="auto"/>
    <w:pitch w:val="default"/>
    <w:sig w:usb0="00000000" w:usb1="00000000" w:usb2="00000010" w:usb3="00000000" w:csb0="00040000" w:csb1="00000000"/>
    <w:embedRegular r:id="rId16" w:fontKey="{DE79B3AF-D204-497A-921E-52B579A4AD84}"/>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5F222FFA"/>
    <w:multiLevelType w:val="singleLevel"/>
    <w:tmpl w:val="5F222FFA"/>
    <w:lvl w:ilvl="0" w:tentative="0">
      <w:start w:val="1"/>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4E7F"/>
    <w:rsid w:val="00040802"/>
    <w:rsid w:val="00043A85"/>
    <w:rsid w:val="000475A0"/>
    <w:rsid w:val="0006344B"/>
    <w:rsid w:val="00076E78"/>
    <w:rsid w:val="000830AF"/>
    <w:rsid w:val="000838C3"/>
    <w:rsid w:val="000A3A6A"/>
    <w:rsid w:val="000A5859"/>
    <w:rsid w:val="000A5DBA"/>
    <w:rsid w:val="000B2446"/>
    <w:rsid w:val="000C4B41"/>
    <w:rsid w:val="000D0C3B"/>
    <w:rsid w:val="000D0D52"/>
    <w:rsid w:val="000D34B1"/>
    <w:rsid w:val="000D7C65"/>
    <w:rsid w:val="000E2F81"/>
    <w:rsid w:val="000F0415"/>
    <w:rsid w:val="00100498"/>
    <w:rsid w:val="00117946"/>
    <w:rsid w:val="00117E2C"/>
    <w:rsid w:val="00136269"/>
    <w:rsid w:val="00146C47"/>
    <w:rsid w:val="00146E44"/>
    <w:rsid w:val="00152FB8"/>
    <w:rsid w:val="00155152"/>
    <w:rsid w:val="001701B3"/>
    <w:rsid w:val="00176658"/>
    <w:rsid w:val="0018239E"/>
    <w:rsid w:val="00187A80"/>
    <w:rsid w:val="001A29BD"/>
    <w:rsid w:val="001B3410"/>
    <w:rsid w:val="001C030D"/>
    <w:rsid w:val="001C4A84"/>
    <w:rsid w:val="001E5902"/>
    <w:rsid w:val="00204181"/>
    <w:rsid w:val="00233705"/>
    <w:rsid w:val="002455AB"/>
    <w:rsid w:val="0026303C"/>
    <w:rsid w:val="00264C63"/>
    <w:rsid w:val="00275CA2"/>
    <w:rsid w:val="002A65A5"/>
    <w:rsid w:val="002B78FA"/>
    <w:rsid w:val="002C04C4"/>
    <w:rsid w:val="002C4370"/>
    <w:rsid w:val="002C76E1"/>
    <w:rsid w:val="002D08B0"/>
    <w:rsid w:val="002D1AE3"/>
    <w:rsid w:val="002D546F"/>
    <w:rsid w:val="002F2ECE"/>
    <w:rsid w:val="003236AA"/>
    <w:rsid w:val="00341C8F"/>
    <w:rsid w:val="0035463A"/>
    <w:rsid w:val="00354727"/>
    <w:rsid w:val="00366E82"/>
    <w:rsid w:val="003768F6"/>
    <w:rsid w:val="00380D2A"/>
    <w:rsid w:val="00391D9D"/>
    <w:rsid w:val="0039364E"/>
    <w:rsid w:val="003B6C51"/>
    <w:rsid w:val="003C1413"/>
    <w:rsid w:val="003C549F"/>
    <w:rsid w:val="003D5A16"/>
    <w:rsid w:val="003E7DB3"/>
    <w:rsid w:val="00403C3F"/>
    <w:rsid w:val="00410198"/>
    <w:rsid w:val="0041756B"/>
    <w:rsid w:val="00423D2D"/>
    <w:rsid w:val="00431175"/>
    <w:rsid w:val="004506CD"/>
    <w:rsid w:val="0046473F"/>
    <w:rsid w:val="00482FA9"/>
    <w:rsid w:val="004A428D"/>
    <w:rsid w:val="004B6E37"/>
    <w:rsid w:val="004B7154"/>
    <w:rsid w:val="004C32BA"/>
    <w:rsid w:val="004D2921"/>
    <w:rsid w:val="004F0206"/>
    <w:rsid w:val="00517E9A"/>
    <w:rsid w:val="005358FC"/>
    <w:rsid w:val="00554C33"/>
    <w:rsid w:val="005650DA"/>
    <w:rsid w:val="00575922"/>
    <w:rsid w:val="005830DE"/>
    <w:rsid w:val="005A6C90"/>
    <w:rsid w:val="005B01BD"/>
    <w:rsid w:val="005D329C"/>
    <w:rsid w:val="005E114C"/>
    <w:rsid w:val="005E3FB0"/>
    <w:rsid w:val="005F4B66"/>
    <w:rsid w:val="005F5208"/>
    <w:rsid w:val="00610F2D"/>
    <w:rsid w:val="00615ACE"/>
    <w:rsid w:val="00623803"/>
    <w:rsid w:val="00641318"/>
    <w:rsid w:val="0064405D"/>
    <w:rsid w:val="006519AE"/>
    <w:rsid w:val="00651BB8"/>
    <w:rsid w:val="00665F22"/>
    <w:rsid w:val="00695557"/>
    <w:rsid w:val="006D4EA7"/>
    <w:rsid w:val="006D6A0E"/>
    <w:rsid w:val="0070012A"/>
    <w:rsid w:val="007025BF"/>
    <w:rsid w:val="007048F2"/>
    <w:rsid w:val="0070664B"/>
    <w:rsid w:val="007071B8"/>
    <w:rsid w:val="0071543E"/>
    <w:rsid w:val="007414DE"/>
    <w:rsid w:val="00742BA7"/>
    <w:rsid w:val="00743F70"/>
    <w:rsid w:val="00777EDB"/>
    <w:rsid w:val="00790050"/>
    <w:rsid w:val="007905A9"/>
    <w:rsid w:val="00791E6C"/>
    <w:rsid w:val="007B00D0"/>
    <w:rsid w:val="007B0E8E"/>
    <w:rsid w:val="007B7ED8"/>
    <w:rsid w:val="007C3639"/>
    <w:rsid w:val="007D505F"/>
    <w:rsid w:val="007E5500"/>
    <w:rsid w:val="007F055B"/>
    <w:rsid w:val="00811C2F"/>
    <w:rsid w:val="00833D46"/>
    <w:rsid w:val="00840A97"/>
    <w:rsid w:val="00852F7C"/>
    <w:rsid w:val="008815FA"/>
    <w:rsid w:val="00881FED"/>
    <w:rsid w:val="00892968"/>
    <w:rsid w:val="008969FA"/>
    <w:rsid w:val="008A2C8C"/>
    <w:rsid w:val="008A6FA1"/>
    <w:rsid w:val="008C0149"/>
    <w:rsid w:val="008D5DED"/>
    <w:rsid w:val="008E25CA"/>
    <w:rsid w:val="008F34FC"/>
    <w:rsid w:val="00922643"/>
    <w:rsid w:val="00942DD6"/>
    <w:rsid w:val="00944CD7"/>
    <w:rsid w:val="0096311B"/>
    <w:rsid w:val="0096500D"/>
    <w:rsid w:val="009751E1"/>
    <w:rsid w:val="009831B2"/>
    <w:rsid w:val="0098544D"/>
    <w:rsid w:val="009A1ABE"/>
    <w:rsid w:val="009B3434"/>
    <w:rsid w:val="009C139A"/>
    <w:rsid w:val="009C183B"/>
    <w:rsid w:val="009E21A4"/>
    <w:rsid w:val="009F22C6"/>
    <w:rsid w:val="00A07E50"/>
    <w:rsid w:val="00A15397"/>
    <w:rsid w:val="00A35CE0"/>
    <w:rsid w:val="00A4462E"/>
    <w:rsid w:val="00A44AA4"/>
    <w:rsid w:val="00A61623"/>
    <w:rsid w:val="00A708FC"/>
    <w:rsid w:val="00A84687"/>
    <w:rsid w:val="00A87062"/>
    <w:rsid w:val="00AB0827"/>
    <w:rsid w:val="00AB0A0E"/>
    <w:rsid w:val="00AB3C4D"/>
    <w:rsid w:val="00AC2D8E"/>
    <w:rsid w:val="00AC3FD7"/>
    <w:rsid w:val="00AD1F5B"/>
    <w:rsid w:val="00AD3B6E"/>
    <w:rsid w:val="00AD7A19"/>
    <w:rsid w:val="00AE2A0F"/>
    <w:rsid w:val="00AE3980"/>
    <w:rsid w:val="00AE766D"/>
    <w:rsid w:val="00B1751F"/>
    <w:rsid w:val="00B3300C"/>
    <w:rsid w:val="00B42BE9"/>
    <w:rsid w:val="00B56722"/>
    <w:rsid w:val="00B74D39"/>
    <w:rsid w:val="00B91DA4"/>
    <w:rsid w:val="00B91EBE"/>
    <w:rsid w:val="00BC5DFF"/>
    <w:rsid w:val="00C12630"/>
    <w:rsid w:val="00C34562"/>
    <w:rsid w:val="00C3774E"/>
    <w:rsid w:val="00C57456"/>
    <w:rsid w:val="00C65387"/>
    <w:rsid w:val="00C73BFF"/>
    <w:rsid w:val="00C87E30"/>
    <w:rsid w:val="00C87FAB"/>
    <w:rsid w:val="00C91FF7"/>
    <w:rsid w:val="00C94E53"/>
    <w:rsid w:val="00CA0444"/>
    <w:rsid w:val="00CA78D2"/>
    <w:rsid w:val="00CC46BD"/>
    <w:rsid w:val="00D0048E"/>
    <w:rsid w:val="00D11B09"/>
    <w:rsid w:val="00D134CC"/>
    <w:rsid w:val="00D146F7"/>
    <w:rsid w:val="00D23E7A"/>
    <w:rsid w:val="00D61063"/>
    <w:rsid w:val="00D67328"/>
    <w:rsid w:val="00D70979"/>
    <w:rsid w:val="00D72368"/>
    <w:rsid w:val="00D729E6"/>
    <w:rsid w:val="00D83AF8"/>
    <w:rsid w:val="00DB1F77"/>
    <w:rsid w:val="00DB35AF"/>
    <w:rsid w:val="00DD72D7"/>
    <w:rsid w:val="00DE6629"/>
    <w:rsid w:val="00DF5B88"/>
    <w:rsid w:val="00DF7506"/>
    <w:rsid w:val="00E0589E"/>
    <w:rsid w:val="00E11381"/>
    <w:rsid w:val="00E241FA"/>
    <w:rsid w:val="00E2595E"/>
    <w:rsid w:val="00E35374"/>
    <w:rsid w:val="00E35DA5"/>
    <w:rsid w:val="00E45DB1"/>
    <w:rsid w:val="00E50C19"/>
    <w:rsid w:val="00E64655"/>
    <w:rsid w:val="00E73081"/>
    <w:rsid w:val="00E856C9"/>
    <w:rsid w:val="00EA24C7"/>
    <w:rsid w:val="00EB19A1"/>
    <w:rsid w:val="00EB6A8B"/>
    <w:rsid w:val="00EC64B8"/>
    <w:rsid w:val="00EE169E"/>
    <w:rsid w:val="00EE605C"/>
    <w:rsid w:val="00EF38C6"/>
    <w:rsid w:val="00EF67D1"/>
    <w:rsid w:val="00F60101"/>
    <w:rsid w:val="00F679C7"/>
    <w:rsid w:val="00F7711A"/>
    <w:rsid w:val="00FA0D58"/>
    <w:rsid w:val="00FA56F4"/>
    <w:rsid w:val="00FB4EDA"/>
    <w:rsid w:val="00FC0FC4"/>
    <w:rsid w:val="00FC4766"/>
    <w:rsid w:val="00FC5C80"/>
    <w:rsid w:val="00FC680C"/>
    <w:rsid w:val="00FD031D"/>
    <w:rsid w:val="00FD3BD5"/>
    <w:rsid w:val="00FD79C4"/>
    <w:rsid w:val="00FE3DC8"/>
    <w:rsid w:val="00FF1769"/>
    <w:rsid w:val="04073F84"/>
    <w:rsid w:val="0B60750A"/>
    <w:rsid w:val="10686488"/>
    <w:rsid w:val="10DF728A"/>
    <w:rsid w:val="1264200E"/>
    <w:rsid w:val="141C5B77"/>
    <w:rsid w:val="18D8339D"/>
    <w:rsid w:val="1A21388F"/>
    <w:rsid w:val="1A570D2F"/>
    <w:rsid w:val="1ED43D0E"/>
    <w:rsid w:val="22B455D5"/>
    <w:rsid w:val="28FB0B8D"/>
    <w:rsid w:val="29A92A24"/>
    <w:rsid w:val="2D2B7942"/>
    <w:rsid w:val="2D46481D"/>
    <w:rsid w:val="2E733B28"/>
    <w:rsid w:val="31852B5A"/>
    <w:rsid w:val="32D01238"/>
    <w:rsid w:val="3DFC59A8"/>
    <w:rsid w:val="3ECF245E"/>
    <w:rsid w:val="3FB96314"/>
    <w:rsid w:val="53A44FAF"/>
    <w:rsid w:val="55121064"/>
    <w:rsid w:val="566434C3"/>
    <w:rsid w:val="594329EC"/>
    <w:rsid w:val="5BEE1540"/>
    <w:rsid w:val="5DE61A5D"/>
    <w:rsid w:val="63C04243"/>
    <w:rsid w:val="649C01C7"/>
    <w:rsid w:val="699A3F60"/>
    <w:rsid w:val="72902E62"/>
    <w:rsid w:val="73C61104"/>
    <w:rsid w:val="776452EA"/>
    <w:rsid w:val="781611AE"/>
    <w:rsid w:val="796F4755"/>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130"/>
    <customShpInfo spid="_x0000_s1137"/>
    <customShpInfo spid="_x0000_s1138"/>
    <customShpInfo spid="_x0000_s1135"/>
    <customShpInfo spid="_x0000_s1136"/>
    <customShpInfo spid="_x0000_s1134"/>
    <customShpInfo spid="_x0000_s1132"/>
    <customShpInfo spid="_x0000_s1133"/>
    <customShpInfo spid="_x0000_s11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146"/>
    <customShpInfo spid="_x0000_s1147"/>
    <customShpInfo spid="_x0000_s1139"/>
    <customShpInfo spid="_x0000_s1140"/>
    <customShpInfo spid="_x0000_s1164"/>
    <customShpInfo spid="_x0000_s1142"/>
    <customShpInfo spid="_x0000_s1143"/>
    <customShpInfo spid="_x0000_s1144"/>
    <customShpInfo spid="_x0000_s1145"/>
    <customShpInfo spid="_x0000_s1071"/>
    <customShpInfo spid="_x0000_s1072"/>
    <customShpInfo spid="_x0000_s1074"/>
    <customShpInfo spid="_x0000_s1075"/>
    <customShpInfo spid="_x0000_s1073"/>
    <customShpInfo spid="_x0000_s1149"/>
    <customShpInfo spid="_x0000_s1083"/>
    <customShpInfo spid="_x0000_s1084"/>
    <customShpInfo spid="_x0000_s1082"/>
    <customShpInfo spid="_x0000_s1150"/>
    <customShpInfo spid="_x0000_s1160"/>
    <customShpInfo spid="_x0000_s1153"/>
    <customShpInfo spid="_x0000_s1161"/>
    <customShpInfo spid="_x0000_s1156"/>
    <customShpInfo spid="_x0000_s1162"/>
    <customShpInfo spid="_x0000_s1158"/>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E08A55-5525-4678-A4DB-5E764C23866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1102</Words>
  <Characters>6283</Characters>
  <Lines>52</Lines>
  <Paragraphs>14</Paragraphs>
  <TotalTime>3</TotalTime>
  <ScaleCrop>false</ScaleCrop>
  <LinksUpToDate>false</LinksUpToDate>
  <CharactersWithSpaces>7371</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lenovo</cp:lastModifiedBy>
  <cp:lastPrinted>2019-08-02T01:01:00Z</cp:lastPrinted>
  <dcterms:modified xsi:type="dcterms:W3CDTF">2022-03-14T06:39:30Z</dcterms:modified>
  <dc:subject>石家庄市xxx部门</dc:subject>
  <dc:title>2017年度部门决算</dc:title>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063877EEF63E4F679A2D85FC4BA1760A</vt:lpwstr>
  </property>
</Properties>
</file>