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4"/>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保定市满城区人民检察院</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黑体" w:hAnsi="黑体" w:eastAsia="黑体" w:cs="黑体"/>
          <w:sz w:val="72"/>
          <w:szCs w:val="96"/>
        </w:rPr>
        <w:t>保定市满城区人民检察院</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jc w:val="center"/>
        <w:rPr>
          <w:rFonts w:ascii="黑体" w:hAnsi="黑体" w:eastAsia="黑体" w:cs="黑体"/>
          <w:sz w:val="56"/>
          <w:szCs w:val="72"/>
          <w:highlight w:val="yellow"/>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rPr>
          <w:rFonts w:ascii="黑体" w:hAnsi="Times New Roman" w:eastAsia="黑体" w:cs="Times New Roman"/>
          <w:sz w:val="48"/>
          <w:szCs w:val="48"/>
        </w:rPr>
      </w:pPr>
      <w:r>
        <w:rPr>
          <w:rFonts w:hint="eastAsia" w:ascii="黑体" w:hAnsi="Times New Roman" w:eastAsia="黑体" w:cs="Times New Roman"/>
          <w:sz w:val="48"/>
          <w:szCs w:val="48"/>
        </w:rP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根据《保定市满城区人民检察院职能配置、内设机构和人员编制规定》</w:t>
      </w:r>
      <w:r>
        <w:rPr>
          <w:rFonts w:hint="eastAsia" w:ascii="仿宋_GB2312" w:hAnsi="Calibri" w:eastAsia="仿宋_GB2312" w:cs="Arial Black"/>
          <w:kern w:val="0"/>
          <w:sz w:val="32"/>
          <w:szCs w:val="32"/>
          <w:lang w:eastAsia="zh-CN"/>
        </w:rPr>
        <w:t>，</w:t>
      </w:r>
      <w:r>
        <w:rPr>
          <w:rFonts w:hint="eastAsia" w:ascii="仿宋_GB2312" w:hAnsi="Calibri" w:eastAsia="仿宋_GB2312" w:cs="Arial Black"/>
          <w:kern w:val="0"/>
          <w:sz w:val="32"/>
          <w:szCs w:val="32"/>
        </w:rPr>
        <w:t>保定市满城区人民检察院的主要职责是：</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1、办公室：负责日常政务、办理文电、会务、机要、文秘、档案、保密、检务公开等工作；协助督办上级重要文件、批办事项；负责人大代表联络及管理检务协作、经费资产、基础建设、科技设备、交通工具、接待、后勤服务、检察技术、信息化建设等工作。</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2、第一检察部：负责刑事犯罪及涉未成年人犯罪案件的审查逮捕、审查起诉，开展相关立案监督、侦查监督、审判监督及相关案件的补充侦查，办理相关刑事申诉案件；负责检察机关社会治安综合治理工作；开展未成年人司法保护和预防未成年人犯罪工作。</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3、第二检察部：负责对申请监督和提请抗诉的民事、行政案件的审查、对区人民法院民事、行政诉讼活动进行监督，对审判监督程序以外的其他民事、行政审判程序中审判人员的违法行为提出检察建议，对民事、行政执行活动试行法律监督。</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lang w:val="en-US" w:eastAsia="zh-CN"/>
        </w:rPr>
        <w:t>4、</w:t>
      </w:r>
      <w:r>
        <w:rPr>
          <w:rFonts w:hint="eastAsia" w:ascii="仿宋_GB2312" w:hAnsi="Calibri" w:eastAsia="仿宋_GB2312" w:cs="Arial Black"/>
          <w:kern w:val="0"/>
          <w:sz w:val="32"/>
          <w:szCs w:val="32"/>
        </w:rPr>
        <w:t>第三检察部：负责对社区矫正等执法活动监督，对法律规定的司法工作人员利用职权实施的非法拘禁、刑讯逼供、非法搜查等侵犯公民权利、损害司法公正犯罪的侦查。</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lang w:val="en-US" w:eastAsia="zh-CN"/>
        </w:rPr>
        <w:t>5、</w:t>
      </w:r>
      <w:r>
        <w:rPr>
          <w:rFonts w:hint="eastAsia" w:ascii="仿宋_GB2312" w:hAnsi="Calibri" w:eastAsia="仿宋_GB2312" w:cs="Arial Black"/>
          <w:kern w:val="0"/>
          <w:sz w:val="32"/>
          <w:szCs w:val="32"/>
        </w:rPr>
        <w:t>政治部：负责干部人事、教育培训、检察宣传、表彰奖励、舆情应对、党建群团、党风廉政、检务督察、离退休等工作。负责司法警务工作；负责提押、看管、送达等工作，配合检察监督事项。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4417"/>
        <w:gridCol w:w="211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4417"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115"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19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4417"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lang w:eastAsia="zh-CN"/>
              </w:rPr>
              <w:t>保定市满城区人民检察院</w:t>
            </w:r>
            <w:r>
              <w:rPr>
                <w:rFonts w:hint="eastAsia" w:ascii="仿宋_GB2312" w:hAnsi="Calibri" w:eastAsia="仿宋_GB2312" w:cs="Arial Black"/>
                <w:kern w:val="0"/>
                <w:sz w:val="28"/>
                <w:szCs w:val="28"/>
              </w:rPr>
              <w:t>(本级)</w:t>
            </w:r>
          </w:p>
        </w:tc>
        <w:tc>
          <w:tcPr>
            <w:tcW w:w="2115"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行政单位</w:t>
            </w:r>
          </w:p>
        </w:tc>
        <w:tc>
          <w:tcPr>
            <w:tcW w:w="1920" w:type="dxa"/>
          </w:tcPr>
          <w:p>
            <w:pPr>
              <w:spacing w:line="560" w:lineRule="exact"/>
              <w:jc w:val="center"/>
              <w:rPr>
                <w:rFonts w:hint="eastAsia" w:ascii="仿宋_GB2312" w:hAnsi="Calibri" w:eastAsia="仿宋_GB2312" w:cs="Arial Black"/>
                <w:kern w:val="0"/>
                <w:sz w:val="28"/>
                <w:szCs w:val="28"/>
                <w:lang w:eastAsia="zh-CN"/>
              </w:rPr>
            </w:pPr>
            <w:r>
              <w:rPr>
                <w:rFonts w:hint="eastAsia" w:ascii="仿宋_GB2312" w:hAnsi="Calibri" w:eastAsia="仿宋_GB2312" w:cs="Arial Black"/>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438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5408"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5408;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5"/>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本部门2020年度收、支总计（含结转和结余）938.51万元。与2019年度决算相比，收</w:t>
      </w:r>
      <w:r>
        <w:rPr>
          <w:rFonts w:hint="eastAsia" w:ascii="仿宋_GB2312" w:hAnsi="Times New Roman" w:eastAsia="仿宋_GB2312" w:cs="Wingdings"/>
          <w:sz w:val="32"/>
          <w:szCs w:val="32"/>
          <w:lang w:eastAsia="zh-CN"/>
        </w:rPr>
        <w:t>入</w:t>
      </w:r>
      <w:r>
        <w:rPr>
          <w:rFonts w:hint="eastAsia" w:ascii="仿宋_GB2312" w:hAnsi="Times New Roman" w:eastAsia="仿宋_GB2312" w:cs="Wingdings"/>
          <w:sz w:val="32"/>
          <w:szCs w:val="32"/>
        </w:rPr>
        <w:t>减少</w:t>
      </w:r>
      <w:r>
        <w:rPr>
          <w:rFonts w:hint="eastAsia" w:ascii="仿宋_GB2312" w:hAnsi="Times New Roman" w:eastAsia="仿宋_GB2312" w:cs="Wingdings"/>
          <w:sz w:val="32"/>
          <w:szCs w:val="32"/>
          <w:lang w:val="en-US" w:eastAsia="zh-CN"/>
        </w:rPr>
        <w:t>362.79</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29.63</w:t>
      </w:r>
      <w:r>
        <w:rPr>
          <w:rFonts w:hint="eastAsia" w:ascii="仿宋_GB2312" w:hAnsi="Times New Roman" w:eastAsia="仿宋_GB2312" w:cs="Wingdings"/>
          <w:sz w:val="32"/>
          <w:szCs w:val="32"/>
        </w:rPr>
        <w:t>%，主要原因是20</w:t>
      </w:r>
      <w:r>
        <w:rPr>
          <w:rFonts w:hint="eastAsia" w:ascii="仿宋_GB2312" w:hAnsi="Times New Roman" w:eastAsia="仿宋_GB2312" w:cs="Wingdings"/>
          <w:sz w:val="32"/>
          <w:szCs w:val="32"/>
          <w:lang w:val="en-US" w:eastAsia="zh-CN"/>
        </w:rPr>
        <w:t>20</w:t>
      </w:r>
      <w:r>
        <w:rPr>
          <w:rFonts w:hint="eastAsia" w:ascii="仿宋_GB2312" w:hAnsi="Times New Roman" w:eastAsia="仿宋_GB2312" w:cs="Wingdings"/>
          <w:sz w:val="32"/>
          <w:szCs w:val="32"/>
        </w:rPr>
        <w:t>年度人员工资</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rPr>
        <w:t>减少</w:t>
      </w:r>
      <w:r>
        <w:rPr>
          <w:rFonts w:hint="eastAsia" w:ascii="仿宋_GB2312" w:hAnsi="Times New Roman" w:eastAsia="仿宋_GB2312" w:cs="Wingdings"/>
          <w:sz w:val="32"/>
          <w:szCs w:val="32"/>
          <w:lang w:val="en-US" w:eastAsia="zh-CN"/>
        </w:rPr>
        <w:t>362.79</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29.63</w:t>
      </w:r>
      <w:r>
        <w:rPr>
          <w:rFonts w:hint="eastAsia" w:ascii="仿宋_GB2312" w:hAnsi="Times New Roman" w:eastAsia="仿宋_GB2312" w:cs="Wingdings"/>
          <w:sz w:val="32"/>
          <w:szCs w:val="32"/>
        </w:rPr>
        <w:t>%，主要原因是20</w:t>
      </w:r>
      <w:r>
        <w:rPr>
          <w:rFonts w:hint="eastAsia" w:ascii="仿宋_GB2312" w:hAnsi="Times New Roman" w:eastAsia="仿宋_GB2312" w:cs="Wingdings"/>
          <w:sz w:val="32"/>
          <w:szCs w:val="32"/>
          <w:lang w:val="en-US" w:eastAsia="zh-CN"/>
        </w:rPr>
        <w:t>20</w:t>
      </w:r>
      <w:r>
        <w:rPr>
          <w:rFonts w:hint="eastAsia" w:ascii="仿宋_GB2312" w:hAnsi="Times New Roman" w:eastAsia="仿宋_GB2312" w:cs="Wingdings"/>
          <w:sz w:val="32"/>
          <w:szCs w:val="32"/>
        </w:rPr>
        <w:t>年度人员工资</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6432"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本部门2020年度本年收入合计861.57万元，其中：财政拨款收入861.57万元，占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本部门2020年度本年支出合计861.57万元，其中：基本支出784.67万元，占</w:t>
      </w:r>
      <w:r>
        <w:rPr>
          <w:rFonts w:hint="eastAsia" w:ascii="仿宋_GB2312" w:hAnsi="Times New Roman" w:eastAsia="仿宋_GB2312" w:cs="Wingdings"/>
          <w:sz w:val="32"/>
          <w:szCs w:val="32"/>
          <w:lang w:val="en-US" w:eastAsia="zh-CN"/>
        </w:rPr>
        <w:t>91.07</w:t>
      </w:r>
      <w:r>
        <w:rPr>
          <w:rFonts w:hint="eastAsia" w:ascii="仿宋_GB2312" w:hAnsi="Times New Roman" w:eastAsia="仿宋_GB2312" w:cs="Wingdings"/>
          <w:sz w:val="32"/>
          <w:szCs w:val="32"/>
        </w:rPr>
        <w:t>%；项目支出76.9</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8.93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%。如图所示：</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640" w:firstLineChars="200"/>
        <w:rPr>
          <w:rFonts w:ascii="黑体" w:hAnsi="Calibri" w:eastAsia="黑体" w:cs="Times New Roman"/>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1331595</wp:posOffset>
                </wp:positionH>
                <wp:positionV relativeFrom="paragraph">
                  <wp:posOffset>1871980</wp:posOffset>
                </wp:positionV>
                <wp:extent cx="3164205" cy="542925"/>
                <wp:effectExtent l="0" t="0" r="17145" b="9525"/>
                <wp:wrapTopAndBottom/>
                <wp:docPr id="30" name="文本框 30"/>
                <wp:cNvGraphicFramePr/>
                <a:graphic xmlns:a="http://schemas.openxmlformats.org/drawingml/2006/main">
                  <a:graphicData uri="http://schemas.microsoft.com/office/word/2010/wordprocessingShape">
                    <wps:wsp>
                      <wps:cNvSpPr txBox="1"/>
                      <wps:spPr>
                        <a:xfrm>
                          <a:off x="2589530" y="9952990"/>
                          <a:ext cx="3164205" cy="5429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2</w:t>
                            </w:r>
                            <w:r>
                              <w:rPr>
                                <w:rFonts w:hint="eastAsia" w:ascii="仿宋_GB2312" w:hAnsi="Times New Roman" w:eastAsia="仿宋_GB2312" w:cs="Wingdings"/>
                                <w:sz w:val="28"/>
                                <w:szCs w:val="28"/>
                              </w:rPr>
                              <w:t>：支出决算构成情况（按支出性质）</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85pt;margin-top:147.4pt;height:42.75pt;width:249.15pt;mso-wrap-distance-bottom:0pt;mso-wrap-distance-top:0pt;z-index:251661312;mso-width-relative:page;mso-height-relative:page;" fillcolor="#FFFFFF" filled="t" stroked="f" coordsize="21600,21600" o:gfxdata="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oCQufWAAAACwEAAA8AAAAAAAAAAQAgAAAAIgAAAGRycy9kb3ducmV2LnhtbFBLAQIUABQAAAAI&#10;AIdO4kCLj8CxYQIAAKsEAAAOAAAAAAAAAAEAIAAAACUBAABkcnMvZTJvRG9jLnhtbFBLBQYAAAAA&#10;BgAGAFkBAAD4BQ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2</w:t>
                      </w:r>
                      <w:r>
                        <w:rPr>
                          <w:rFonts w:hint="eastAsia" w:ascii="仿宋_GB2312" w:hAnsi="Times New Roman" w:eastAsia="仿宋_GB2312" w:cs="Wingdings"/>
                          <w:sz w:val="28"/>
                          <w:szCs w:val="28"/>
                        </w:rPr>
                        <w:t>：支出决算构成情况（按支出性质）</w:t>
                      </w:r>
                    </w:p>
                    <w:p>
                      <w:pPr>
                        <w:spacing w:after="160" w:line="480" w:lineRule="auto"/>
                        <w:rPr>
                          <w:rFonts w:ascii="Times New Roman" w:hAnsi="Times New Roman" w:eastAsia="宋体" w:cs="Times New Roman"/>
                          <w:sz w:val="20"/>
                        </w:rPr>
                      </w:pPr>
                    </w:p>
                  </w:txbxContent>
                </v:textbox>
                <w10:wrap type="topAndBottom"/>
              </v:shape>
            </w:pict>
          </mc:Fallback>
        </mc:AlternateContent>
      </w:r>
      <w:r>
        <w:drawing>
          <wp:anchor distT="0" distB="0" distL="114300" distR="114300" simplePos="0" relativeHeight="251669504" behindDoc="0" locked="0" layoutInCell="1" allowOverlap="1">
            <wp:simplePos x="0" y="0"/>
            <wp:positionH relativeFrom="column">
              <wp:posOffset>1333500</wp:posOffset>
            </wp:positionH>
            <wp:positionV relativeFrom="paragraph">
              <wp:posOffset>100330</wp:posOffset>
            </wp:positionV>
            <wp:extent cx="3014345" cy="1644015"/>
            <wp:effectExtent l="5080" t="4445" r="9525" b="8890"/>
            <wp:wrapTopAndBottom/>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861.57</w:t>
      </w:r>
      <w:r>
        <w:rPr>
          <w:rFonts w:hint="eastAsia" w:ascii="仿宋_GB2312" w:hAnsi="Times New Roman" w:eastAsia="仿宋_GB2312" w:cs="Wingdings"/>
          <w:sz w:val="32"/>
          <w:szCs w:val="32"/>
        </w:rPr>
        <w:t>万元,比2019年度减少</w:t>
      </w:r>
      <w:r>
        <w:rPr>
          <w:rFonts w:hint="eastAsia" w:ascii="仿宋_GB2312" w:hAnsi="Times New Roman" w:eastAsia="仿宋_GB2312" w:cs="Wingdings"/>
          <w:sz w:val="32"/>
          <w:szCs w:val="32"/>
          <w:lang w:val="en-US" w:eastAsia="zh-CN"/>
        </w:rPr>
        <w:t>362.79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29.63</w:t>
      </w:r>
      <w:r>
        <w:rPr>
          <w:rFonts w:hint="eastAsia" w:ascii="仿宋_GB2312" w:hAnsi="Times New Roman" w:eastAsia="仿宋_GB2312" w:cs="Wingdings"/>
          <w:sz w:val="32"/>
          <w:szCs w:val="32"/>
        </w:rPr>
        <w:t>%，主要是20</w:t>
      </w:r>
      <w:r>
        <w:rPr>
          <w:rFonts w:hint="eastAsia" w:ascii="仿宋_GB2312" w:hAnsi="Times New Roman" w:eastAsia="仿宋_GB2312" w:cs="Wingdings"/>
          <w:sz w:val="32"/>
          <w:szCs w:val="32"/>
          <w:lang w:val="en-US" w:eastAsia="zh-CN"/>
        </w:rPr>
        <w:t>20</w:t>
      </w:r>
      <w:r>
        <w:rPr>
          <w:rFonts w:hint="eastAsia" w:ascii="仿宋_GB2312" w:hAnsi="Times New Roman" w:eastAsia="仿宋_GB2312" w:cs="Wingdings"/>
          <w:sz w:val="32"/>
          <w:szCs w:val="32"/>
        </w:rPr>
        <w:t>年度人员工资</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861.57</w:t>
      </w:r>
      <w:r>
        <w:rPr>
          <w:rFonts w:hint="eastAsia" w:ascii="仿宋_GB2312" w:hAnsi="Times New Roman" w:eastAsia="仿宋_GB2312" w:cs="Wingdings"/>
          <w:sz w:val="32"/>
          <w:szCs w:val="32"/>
        </w:rPr>
        <w:t>万元，减少</w:t>
      </w:r>
      <w:r>
        <w:rPr>
          <w:rFonts w:hint="eastAsia" w:ascii="仿宋_GB2312" w:hAnsi="Times New Roman" w:eastAsia="仿宋_GB2312" w:cs="Wingdings"/>
          <w:sz w:val="32"/>
          <w:szCs w:val="32"/>
          <w:lang w:val="en-US" w:eastAsia="zh-CN"/>
        </w:rPr>
        <w:t>362.79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29.63</w:t>
      </w:r>
      <w:r>
        <w:rPr>
          <w:rFonts w:hint="eastAsia" w:ascii="仿宋_GB2312" w:hAnsi="Times New Roman" w:eastAsia="仿宋_GB2312" w:cs="Wingdings"/>
          <w:sz w:val="32"/>
          <w:szCs w:val="32"/>
        </w:rPr>
        <w:t>%，主要是20</w:t>
      </w:r>
      <w:r>
        <w:rPr>
          <w:rFonts w:hint="eastAsia" w:ascii="仿宋_GB2312" w:hAnsi="Times New Roman" w:eastAsia="仿宋_GB2312" w:cs="Wingdings"/>
          <w:sz w:val="32"/>
          <w:szCs w:val="32"/>
          <w:lang w:val="en-US" w:eastAsia="zh-CN"/>
        </w:rPr>
        <w:t>20</w:t>
      </w:r>
      <w:r>
        <w:rPr>
          <w:rFonts w:hint="eastAsia" w:ascii="仿宋_GB2312" w:hAnsi="Times New Roman" w:eastAsia="仿宋_GB2312" w:cs="Wingdings"/>
          <w:sz w:val="32"/>
          <w:szCs w:val="32"/>
        </w:rPr>
        <w:t>年度人员工资</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861.57</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90.34</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92.08</w:t>
      </w:r>
      <w:r>
        <w:rPr>
          <w:rFonts w:hint="eastAsia" w:ascii="仿宋_GB2312" w:hAnsi="Times New Roman" w:eastAsia="仿宋_GB2312" w:cs="Wingdings"/>
          <w:sz w:val="32"/>
          <w:szCs w:val="32"/>
        </w:rPr>
        <w:t>万元，决算数小于预算数主要原因是</w:t>
      </w:r>
      <w:r>
        <w:rPr>
          <w:rFonts w:hint="eastAsia" w:ascii="仿宋_GB2312" w:hAnsi="Times New Roman" w:eastAsia="仿宋_GB2312" w:cs="DengXian-Regular"/>
          <w:sz w:val="32"/>
          <w:szCs w:val="32"/>
          <w:lang w:eastAsia="zh-CN"/>
        </w:rPr>
        <w:t>压缩经费开支</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861.57</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90.34</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92.08</w:t>
      </w:r>
      <w:r>
        <w:rPr>
          <w:rFonts w:hint="eastAsia" w:ascii="仿宋_GB2312" w:hAnsi="Times New Roman" w:eastAsia="仿宋_GB2312" w:cs="Wingdings"/>
          <w:sz w:val="32"/>
          <w:szCs w:val="32"/>
        </w:rPr>
        <w:t>万元，决算数</w:t>
      </w:r>
      <w:r>
        <w:rPr>
          <w:rFonts w:hint="eastAsia" w:ascii="仿宋_GB2312" w:hAnsi="Times New Roman" w:eastAsia="仿宋_GB2312" w:cs="Wingdings"/>
          <w:sz w:val="32"/>
          <w:szCs w:val="32"/>
          <w:lang w:eastAsia="zh-CN"/>
        </w:rPr>
        <w:t>小</w:t>
      </w:r>
      <w:r>
        <w:rPr>
          <w:rFonts w:hint="eastAsia" w:ascii="仿宋_GB2312" w:hAnsi="Times New Roman" w:eastAsia="仿宋_GB2312" w:cs="Wingdings"/>
          <w:sz w:val="32"/>
          <w:szCs w:val="32"/>
        </w:rPr>
        <w:t>于预算数主要原因是主要是</w:t>
      </w:r>
      <w:r>
        <w:rPr>
          <w:rFonts w:hint="eastAsia" w:ascii="仿宋_GB2312" w:hAnsi="Times New Roman" w:eastAsia="仿宋_GB2312" w:cs="DengXian-Regular"/>
          <w:sz w:val="32"/>
          <w:szCs w:val="32"/>
          <w:lang w:eastAsia="zh-CN"/>
        </w:rPr>
        <w:t>压缩经费开支</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年度财政拨款支出861.57万元，主要用于以下方面：公共安全类（类）支出741.38万元，占</w:t>
      </w:r>
      <w:r>
        <w:rPr>
          <w:rFonts w:hint="eastAsia" w:ascii="仿宋_GB2312" w:hAnsi="Times New Roman" w:eastAsia="仿宋_GB2312" w:cs="Wingdings"/>
          <w:sz w:val="32"/>
          <w:szCs w:val="32"/>
          <w:lang w:val="en-US" w:eastAsia="zh-CN"/>
        </w:rPr>
        <w:t>86.05</w:t>
      </w:r>
      <w:r>
        <w:rPr>
          <w:rFonts w:hint="eastAsia" w:ascii="仿宋_GB2312" w:hAnsi="Times New Roman" w:eastAsia="仿宋_GB2312" w:cs="Wingdings"/>
          <w:sz w:val="32"/>
          <w:szCs w:val="32"/>
        </w:rPr>
        <w:t>%；社会保障和就业（类）支出 71.11万元，占</w:t>
      </w:r>
      <w:r>
        <w:rPr>
          <w:rFonts w:hint="eastAsia" w:ascii="仿宋_GB2312" w:hAnsi="Times New Roman" w:eastAsia="仿宋_GB2312" w:cs="Wingdings"/>
          <w:sz w:val="32"/>
          <w:szCs w:val="32"/>
          <w:lang w:val="en-US" w:eastAsia="zh-CN"/>
        </w:rPr>
        <w:t>8.25</w:t>
      </w:r>
      <w:r>
        <w:rPr>
          <w:rFonts w:hint="eastAsia" w:ascii="仿宋_GB2312" w:hAnsi="Times New Roman" w:eastAsia="仿宋_GB2312" w:cs="Wingdings"/>
          <w:sz w:val="32"/>
          <w:szCs w:val="32"/>
        </w:rPr>
        <w:t>%；卫生健康支出20.55</w:t>
      </w:r>
      <w:r>
        <w:rPr>
          <w:rFonts w:hint="eastAsia" w:ascii="仿宋_GB2312" w:hAnsi="Times New Roman" w:eastAsia="仿宋_GB2312" w:cs="Wingdings"/>
          <w:sz w:val="32"/>
          <w:szCs w:val="32"/>
          <w:lang w:eastAsia="zh-CN"/>
        </w:rPr>
        <w:t>万元，占</w:t>
      </w:r>
      <w:r>
        <w:rPr>
          <w:rFonts w:hint="eastAsia" w:ascii="仿宋_GB2312" w:hAnsi="Times New Roman" w:eastAsia="仿宋_GB2312" w:cs="Wingdings"/>
          <w:sz w:val="32"/>
          <w:szCs w:val="32"/>
          <w:lang w:val="en-US" w:eastAsia="zh-CN"/>
        </w:rPr>
        <w:t>2.39%，</w:t>
      </w:r>
      <w:r>
        <w:rPr>
          <w:rFonts w:hint="eastAsia" w:ascii="仿宋_GB2312" w:hAnsi="Times New Roman" w:eastAsia="仿宋_GB2312" w:cs="Wingdings"/>
          <w:sz w:val="32"/>
          <w:szCs w:val="32"/>
        </w:rPr>
        <w:t xml:space="preserve">住房保障（类）支出28.53万元，占 </w:t>
      </w:r>
      <w:r>
        <w:rPr>
          <w:rFonts w:hint="eastAsia" w:ascii="仿宋_GB2312" w:hAnsi="Times New Roman" w:eastAsia="仿宋_GB2312" w:cs="Wingdings"/>
          <w:sz w:val="32"/>
          <w:szCs w:val="32"/>
          <w:lang w:val="en-US" w:eastAsia="zh-CN"/>
        </w:rPr>
        <w:t>3.31</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r>
        <w:rPr>
          <w:sz w:val="21"/>
        </w:rPr>
        <mc:AlternateContent>
          <mc:Choice Requires="wps">
            <w:drawing>
              <wp:anchor distT="0" distB="0" distL="114300" distR="114300" simplePos="0" relativeHeight="251663360" behindDoc="0" locked="0" layoutInCell="1" allowOverlap="1">
                <wp:simplePos x="0" y="0"/>
                <wp:positionH relativeFrom="column">
                  <wp:posOffset>1232535</wp:posOffset>
                </wp:positionH>
                <wp:positionV relativeFrom="paragraph">
                  <wp:posOffset>2301875</wp:posOffset>
                </wp:positionV>
                <wp:extent cx="3576320" cy="391795"/>
                <wp:effectExtent l="0" t="0" r="5080" b="8255"/>
                <wp:wrapTopAndBottom/>
                <wp:docPr id="164" name="文本框 32"/>
                <wp:cNvGraphicFramePr/>
                <a:graphic xmlns:a="http://schemas.openxmlformats.org/drawingml/2006/main">
                  <a:graphicData uri="http://schemas.microsoft.com/office/word/2010/wordprocessingShape">
                    <wps:wsp>
                      <wps:cNvSpPr txBox="1"/>
                      <wps:spPr>
                        <a:xfrm>
                          <a:off x="1953260" y="4875530"/>
                          <a:ext cx="3576320" cy="3917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3</w:t>
                            </w:r>
                            <w:r>
                              <w:rPr>
                                <w:rFonts w:hint="eastAsia" w:ascii="仿宋_GB2312" w:hAnsi="Times New Roman" w:eastAsia="仿宋_GB2312" w:cs="Wingdings"/>
                                <w:sz w:val="28"/>
                                <w:szCs w:val="28"/>
                              </w:rPr>
                              <w:t>：财政拨款支出决算结构（按功能分类）</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97.05pt;margin-top:181.25pt;height:30.85pt;width:281.6pt;mso-wrap-distance-bottom:0pt;mso-wrap-distance-top:0pt;z-index:251663360;mso-width-relative:page;mso-height-relative:page;" fillcolor="#FFFFFF" filled="t" stroked="f" coordsize="21600,21600" o:gfxdata="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jV1FNcAAAALAQAADwAAAAAAAAABACAAAAAiAAAAZHJzL2Rvd25yZXYueG1sUEsBAhQAFAAA&#10;AAgAh07iQCdnjKtiAgAArAQAAA4AAAAAAAAAAQAgAAAAJgEAAGRycy9lMm9Eb2MueG1sUEsFBgAA&#10;AAAGAAYAWQEAAPoFA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3</w:t>
                      </w:r>
                      <w:r>
                        <w:rPr>
                          <w:rFonts w:hint="eastAsia" w:ascii="仿宋_GB2312" w:hAnsi="Times New Roman" w:eastAsia="仿宋_GB2312" w:cs="Wingdings"/>
                          <w:sz w:val="28"/>
                          <w:szCs w:val="28"/>
                        </w:rPr>
                        <w:t>：财政拨款支出决算结构（按功能分类）</w:t>
                      </w:r>
                    </w:p>
                    <w:p>
                      <w:pPr>
                        <w:spacing w:after="160" w:line="480" w:lineRule="auto"/>
                        <w:rPr>
                          <w:rFonts w:ascii="Times New Roman" w:hAnsi="Times New Roman" w:eastAsia="宋体" w:cs="Times New Roman"/>
                          <w:sz w:val="20"/>
                        </w:rPr>
                      </w:pPr>
                    </w:p>
                  </w:txbxContent>
                </v:textbox>
                <w10:wrap type="topAndBottom"/>
              </v:shape>
            </w:pict>
          </mc:Fallback>
        </mc:AlternateContent>
      </w:r>
      <w:r>
        <w:drawing>
          <wp:anchor distT="0" distB="0" distL="114300" distR="114300" simplePos="0" relativeHeight="251670528" behindDoc="0" locked="0" layoutInCell="1" allowOverlap="1">
            <wp:simplePos x="0" y="0"/>
            <wp:positionH relativeFrom="column">
              <wp:posOffset>1170305</wp:posOffset>
            </wp:positionH>
            <wp:positionV relativeFrom="paragraph">
              <wp:posOffset>200660</wp:posOffset>
            </wp:positionV>
            <wp:extent cx="3568065" cy="2059940"/>
            <wp:effectExtent l="5080" t="4445" r="8255" b="12065"/>
            <wp:wrapTopAndBottom/>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年度财政拨款基本支出861.57万元，其中：人员经费 613.83万元，主要包括基本工资178.57万元、津贴补贴191.04万元、奖金95.16万元、机关事业单位基本养老保险缴费57.95万元、职工基本医疗保险缴费28.59万元、住房公积金28.53万元、退休费9.36万元、抚恤金17.95万元、其他对个人和家庭的补助支出6.68万元；公用经费170.84万元，主要包括办公费21.2</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万元、水费0.58万元、电费43.62、邮电费31.47万元、差旅费0.63万元、维修（护）费7.21万元、公务接待费0.23万元、劳务费17.78万元、公务用车运行维护费5万元、其他交通费用24.18万元、其他商品和服务支出18.94万元。</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本部门2020年度“三公”经费财政拨款支出预算为30.32万元，支出决算为19.05元，完成预算的</w:t>
      </w:r>
      <w:r>
        <w:rPr>
          <w:rFonts w:hint="eastAsia" w:ascii="仿宋_GB2312" w:hAnsi="Times New Roman" w:eastAsia="仿宋_GB2312" w:cs="Wingdings"/>
          <w:sz w:val="32"/>
          <w:szCs w:val="32"/>
          <w:lang w:val="en-US" w:eastAsia="zh-CN"/>
        </w:rPr>
        <w:t>62.83</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11.27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37.17</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公车改革后，严格控制公务用车运行维护费</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3.83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16.74</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公车改革后，严格控制公务用车运行维护费</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0.00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无本单位组织的出国（境）团组。因公出国（境）费支出较预算增加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支出18.82万元，完成预算的</w:t>
      </w:r>
      <w:r>
        <w:rPr>
          <w:rFonts w:hint="eastAsia" w:ascii="仿宋_GB2312" w:hAnsi="仿宋_GB2312" w:eastAsia="仿宋_GB2312" w:cs="仿宋_GB2312"/>
          <w:b w:val="0"/>
          <w:bCs w:val="0"/>
          <w:sz w:val="32"/>
          <w:szCs w:val="32"/>
          <w:lang w:val="en-US" w:eastAsia="zh-CN"/>
        </w:rPr>
        <w:t>65.35</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9.98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34.65</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严格控制公务用车运行维护费</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4.06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17.74</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严格控制公务用车运行维护费</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DengXian-Regular"/>
          <w:sz w:val="32"/>
          <w:szCs w:val="32"/>
        </w:rPr>
        <w:t>未发生“公务用车购置”经费支出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与年初预算持平</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与2018年度决算支出持平</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9</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,发生运行维护费支出18.82万元，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9.98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34.65</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严格控制公务用车运行维护费</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4.06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17.74</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严格控制公务用车运行维护费</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本部门2020年公务接待费支出</w:t>
      </w:r>
      <w:r>
        <w:rPr>
          <w:rFonts w:hint="eastAsia" w:ascii="仿宋_GB2312" w:hAnsi="仿宋_GB2312" w:eastAsia="仿宋_GB2312" w:cs="仿宋_GB2312"/>
          <w:b w:val="0"/>
          <w:bCs w:val="0"/>
          <w:sz w:val="32"/>
          <w:szCs w:val="32"/>
          <w:lang w:val="en-US" w:eastAsia="zh-CN"/>
        </w:rPr>
        <w:t>0.23</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15.13</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、26人次</w:t>
      </w:r>
      <w:r>
        <w:rPr>
          <w:rFonts w:hint="eastAsia" w:ascii="仿宋_GB2312" w:hAnsi="Times New Roman" w:eastAsia="仿宋_GB2312" w:cs="Wingdings"/>
          <w:sz w:val="32"/>
          <w:szCs w:val="32"/>
        </w:rPr>
        <w:t>。公务接待费支出较预算减少</w:t>
      </w:r>
      <w:r>
        <w:rPr>
          <w:rFonts w:hint="eastAsia" w:ascii="仿宋_GB2312" w:hAnsi="Times New Roman" w:eastAsia="仿宋_GB2312" w:cs="Wingdings"/>
          <w:sz w:val="32"/>
          <w:szCs w:val="32"/>
          <w:lang w:val="en-US" w:eastAsia="zh-CN"/>
        </w:rPr>
        <w:t>1.29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84.87</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；较上年度</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0.23</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个，共涉及资金</w:t>
      </w:r>
      <w:r>
        <w:rPr>
          <w:rFonts w:hint="eastAsia" w:ascii="仿宋_GB2312" w:hAnsi="Times New Roman" w:eastAsia="仿宋_GB2312" w:cs="Wingdings"/>
          <w:sz w:val="32"/>
          <w:szCs w:val="32"/>
        </w:rPr>
        <w:t>76.9</w:t>
      </w:r>
      <w:r>
        <w:rPr>
          <w:rFonts w:hint="eastAsia" w:ascii="仿宋_GB2312" w:hAnsi="Times New Roman" w:eastAsia="仿宋_GB2312" w:cs="Wingdings"/>
          <w:sz w:val="32"/>
          <w:szCs w:val="32"/>
          <w:lang w:val="en-US" w:eastAsia="zh-CN"/>
        </w:rPr>
        <w:t>0</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keepNext w:val="0"/>
        <w:keepLines w:val="0"/>
        <w:widowControl/>
        <w:suppressLineNumbers w:val="0"/>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组织对“办案业务经费”“日常运行经费”“业务装备经费”</w:t>
      </w:r>
      <w:r>
        <w:rPr>
          <w:rFonts w:hint="eastAsia" w:ascii="仿宋_GB2312" w:hAnsi="仿宋_GB2312" w:eastAsia="仿宋_GB2312" w:cs="仿宋_GB2312"/>
          <w:sz w:val="32"/>
          <w:szCs w:val="32"/>
          <w:lang w:eastAsia="zh-CN"/>
        </w:rPr>
        <w:t>“司法救助经费”</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二级</w:t>
      </w:r>
      <w:r>
        <w:rPr>
          <w:rFonts w:hint="eastAsia" w:ascii="仿宋_GB2312" w:hAnsi="仿宋_GB2312" w:eastAsia="仿宋_GB2312" w:cs="仿宋_GB2312"/>
          <w:sz w:val="32"/>
          <w:szCs w:val="32"/>
        </w:rPr>
        <w:t>项目开展了部门评价，涉及一般公共预算支出</w:t>
      </w:r>
      <w:r>
        <w:rPr>
          <w:rFonts w:hint="eastAsia" w:ascii="仿宋_GB2312" w:hAnsi="Times New Roman" w:eastAsia="仿宋_GB2312" w:cs="Wingdings"/>
          <w:sz w:val="32"/>
          <w:szCs w:val="32"/>
        </w:rPr>
        <w:t>76.9</w:t>
      </w:r>
      <w:r>
        <w:rPr>
          <w:rFonts w:hint="eastAsia" w:ascii="仿宋_GB2312" w:hAnsi="Times New Roman" w:eastAsia="仿宋_GB2312" w:cs="Wingdings"/>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未</w:t>
      </w:r>
      <w:r>
        <w:rPr>
          <w:rFonts w:hint="eastAsia" w:ascii="仿宋_GB2312" w:hAnsi="仿宋_GB2312" w:eastAsia="仿宋_GB2312" w:cs="仿宋_GB2312"/>
          <w:sz w:val="32"/>
          <w:szCs w:val="32"/>
        </w:rPr>
        <w:t>委托</w:t>
      </w:r>
      <w:r>
        <w:rPr>
          <w:rFonts w:hint="eastAsia" w:ascii="仿宋_GB2312" w:hAnsi="仿宋_GB2312" w:eastAsia="仿宋_GB2312" w:cs="仿宋_GB2312"/>
          <w:sz w:val="32"/>
          <w:szCs w:val="32"/>
          <w:lang w:eastAsia="zh-CN"/>
        </w:rPr>
        <w:t>评审</w:t>
      </w:r>
      <w:r>
        <w:rPr>
          <w:rFonts w:hint="eastAsia" w:ascii="仿宋_GB2312" w:hAnsi="仿宋_GB2312" w:eastAsia="仿宋_GB2312" w:cs="仿宋_GB2312"/>
          <w:sz w:val="32"/>
          <w:szCs w:val="32"/>
        </w:rPr>
        <w:t>机构开展绩效评价。从评价情况来看，2020年在强化法律监督工作、服务保障民营经济工作、扫黑除恶工作等方面成效显著，</w:t>
      </w:r>
      <w:r>
        <w:rPr>
          <w:rFonts w:ascii="仿宋" w:hAnsi="仿宋" w:eastAsia="仿宋" w:cs="仿宋"/>
          <w:color w:val="000000"/>
          <w:kern w:val="0"/>
          <w:sz w:val="31"/>
          <w:szCs w:val="31"/>
          <w:lang w:val="en-US" w:eastAsia="zh-CN" w:bidi="ar"/>
        </w:rPr>
        <w:t>评价结果为优。</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办案业务经费”</w:t>
      </w:r>
      <w:r>
        <w:rPr>
          <w:rFonts w:hint="eastAsia" w:ascii="仿宋_GB2312" w:hAnsi="仿宋_GB2312" w:eastAsia="仿宋_GB2312" w:cs="仿宋_GB2312"/>
          <w:sz w:val="32"/>
          <w:szCs w:val="32"/>
          <w:lang w:eastAsia="zh-CN"/>
        </w:rPr>
        <w:t>和“司法救助经费”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0"/>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）司法救助经费</w:t>
      </w:r>
      <w:r>
        <w:rPr>
          <w:rFonts w:hint="eastAsia" w:ascii="仿宋_GB2312" w:hAnsi="仿宋_GB2312" w:eastAsia="仿宋_GB2312" w:cs="仿宋_GB2312"/>
          <w:sz w:val="32"/>
          <w:szCs w:val="32"/>
        </w:rPr>
        <w:t>绩效自评综述：根据年初设定的绩效目标，办案业务经费项目绩效自评得分为</w:t>
      </w: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42.86%</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按照上级院和本院实际情况需求，救助</w:t>
      </w:r>
      <w:r>
        <w:rPr>
          <w:rFonts w:hint="eastAsia" w:ascii="仿宋_GB2312" w:hAnsi="仿宋_GB2312" w:eastAsia="仿宋_GB2312" w:cs="仿宋_GB2312"/>
          <w:sz w:val="32"/>
          <w:szCs w:val="32"/>
          <w:lang w:val="en-US" w:eastAsia="zh-CN"/>
        </w:rPr>
        <w:t>1案1人，做到司法救助金及时发放到贫困难家庭</w:t>
      </w:r>
      <w:r>
        <w:rPr>
          <w:rFonts w:hint="eastAsia" w:ascii="仿宋_GB2312" w:hAnsi="仿宋_GB2312" w:eastAsia="仿宋_GB2312" w:cs="仿宋_GB2312"/>
          <w:sz w:val="32"/>
          <w:szCs w:val="32"/>
        </w:rPr>
        <w:t>。发现的主要问题及原因的群众对国家司法救助概念模糊，一些符合司法救助条件的当事人没有申请，而一些不符合条件的自认为可以，上访要求司法救助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严格执行司法救助办法规定，认真审查提交的申请材料</w:t>
      </w:r>
      <w:r>
        <w:rPr>
          <w:rFonts w:hint="eastAsia" w:ascii="仿宋_GB2312" w:hAnsi="仿宋_GB2312" w:eastAsia="仿宋_GB2312" w:cs="仿宋_GB2312"/>
          <w:sz w:val="32"/>
          <w:szCs w:val="32"/>
          <w:lang w:eastAsia="zh-CN"/>
        </w:rPr>
        <w:t>，二是加大国家司法救助宣传力度，推动司法救助工作向纵深发展。</w:t>
      </w:r>
    </w:p>
    <w:p>
      <w:pPr>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（三）财政评价项目绩效评价结果</w:t>
      </w:r>
    </w:p>
    <w:p>
      <w:pPr>
        <w:keepNext/>
        <w:keepLines/>
        <w:snapToGrid w:val="0"/>
        <w:spacing w:line="600" w:lineRule="exact"/>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我单位无财政评价项目绩效</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170.84</w:t>
      </w:r>
      <w:r>
        <w:rPr>
          <w:rFonts w:hint="eastAsia" w:ascii="仿宋_GB2312" w:hAnsi="仿宋_GB2312" w:eastAsia="仿宋_GB2312" w:cs="仿宋_GB2312"/>
          <w:sz w:val="32"/>
          <w:szCs w:val="32"/>
        </w:rPr>
        <w:t>万元，比2019年度增加</w:t>
      </w:r>
      <w:r>
        <w:rPr>
          <w:rFonts w:hint="eastAsia" w:ascii="仿宋_GB2312" w:hAnsi="仿宋_GB2312" w:eastAsia="仿宋_GB2312" w:cs="仿宋_GB2312"/>
          <w:sz w:val="32"/>
          <w:szCs w:val="32"/>
          <w:lang w:val="en-US" w:eastAsia="zh-CN"/>
        </w:rPr>
        <w:t>2.74</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1.63</w:t>
      </w:r>
      <w:r>
        <w:rPr>
          <w:rFonts w:hint="eastAsia" w:ascii="仿宋_GB2312" w:hAnsi="仿宋_GB2312" w:eastAsia="仿宋_GB2312" w:cs="仿宋_GB2312"/>
          <w:sz w:val="32"/>
          <w:szCs w:val="32"/>
        </w:rPr>
        <w:t>%。主要原因是</w:t>
      </w:r>
      <w:r>
        <w:rPr>
          <w:rFonts w:hint="eastAsia" w:ascii="仿宋_GB2312" w:hAnsi="Times New Roman" w:eastAsia="仿宋_GB2312" w:cs="DengXian-Regular"/>
          <w:sz w:val="32"/>
          <w:szCs w:val="32"/>
          <w:lang w:val="en-US" w:eastAsia="zh-CN"/>
        </w:rPr>
        <w:t>2020年度商品和服务支出增加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58.85</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58.85</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58.85</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eastAsia="仿宋_GB2312" w:cs="DengXian-Regular"/>
          <w:sz w:val="32"/>
          <w:szCs w:val="32"/>
        </w:rPr>
        <w:t>厉行节约，压减开支</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eastAsia="仿宋_GB2312" w:cs="DengXian-Regular"/>
          <w:sz w:val="32"/>
          <w:szCs w:val="32"/>
        </w:rPr>
        <w:t>厉行节约，压减开支</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本部门2020年度未发生政府性基金预算、国有资金经营预算收支及结转结余情况，故政府性基金预算、国有资金经营预算等表以空表列示。</w:t>
      </w:r>
    </w:p>
    <w:p>
      <w:pPr>
        <w:adjustRightInd w:val="0"/>
        <w:snapToGrid w:val="0"/>
        <w:spacing w:line="600" w:lineRule="exact"/>
        <w:ind w:firstLine="640" w:firstLineChars="200"/>
        <w:rPr>
          <w:rFonts w:ascii="仿宋_GB2312" w:hAnsi="宋体" w:eastAsia="仿宋_GB2312" w:cs="Arial Black"/>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2336"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2336;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5"/>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sectPr>
          <w:headerReference r:id="rId12" w:type="default"/>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8480;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5"/>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部门：保定市满城区人民检察院</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861.57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741.38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71.11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20.55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28.53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861.57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76.94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76.94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938.51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938.51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6"/>
        <w:tblW w:w="9684" w:type="dxa"/>
        <w:jc w:val="center"/>
        <w:tblLayout w:type="fixed"/>
        <w:tblCellMar>
          <w:top w:w="0" w:type="dxa"/>
          <w:left w:w="0" w:type="dxa"/>
          <w:bottom w:w="0" w:type="dxa"/>
          <w:right w:w="0" w:type="dxa"/>
        </w:tblCellMar>
      </w:tblPr>
      <w:tblGrid>
        <w:gridCol w:w="784"/>
        <w:gridCol w:w="45"/>
        <w:gridCol w:w="45"/>
        <w:gridCol w:w="2774"/>
        <w:gridCol w:w="1182"/>
        <w:gridCol w:w="1182"/>
        <w:gridCol w:w="734"/>
        <w:gridCol w:w="734"/>
        <w:gridCol w:w="734"/>
        <w:gridCol w:w="734"/>
        <w:gridCol w:w="736"/>
      </w:tblGrid>
      <w:tr>
        <w:tblPrEx>
          <w:tblCellMar>
            <w:top w:w="0" w:type="dxa"/>
            <w:left w:w="0" w:type="dxa"/>
            <w:bottom w:w="0" w:type="dxa"/>
            <w:right w:w="0" w:type="dxa"/>
          </w:tblCellMar>
        </w:tblPrEx>
        <w:trPr>
          <w:trHeight w:val="670" w:hRule="atLeast"/>
          <w:jc w:val="center"/>
        </w:trPr>
        <w:tc>
          <w:tcPr>
            <w:tcW w:w="9684"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7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7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7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78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7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保定市满城区人民检察院</w:t>
            </w:r>
          </w:p>
        </w:tc>
        <w:tc>
          <w:tcPr>
            <w:tcW w:w="11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204"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36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1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7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7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7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7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73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87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774"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7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77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7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77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6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18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18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7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7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7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7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7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36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bCs/>
                <w:i w:val="0"/>
                <w:iCs w:val="0"/>
                <w:color w:val="000000"/>
                <w:kern w:val="0"/>
                <w:sz w:val="22"/>
                <w:szCs w:val="22"/>
                <w:u w:val="none"/>
                <w:lang w:val="en-US" w:eastAsia="zh-CN" w:bidi="ar"/>
              </w:rPr>
              <w:t>861.57</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bCs/>
                <w:i w:val="0"/>
                <w:iCs w:val="0"/>
                <w:color w:val="000000"/>
                <w:kern w:val="0"/>
                <w:sz w:val="22"/>
                <w:szCs w:val="22"/>
                <w:u w:val="none"/>
                <w:lang w:val="en-US" w:eastAsia="zh-CN" w:bidi="ar"/>
              </w:rPr>
              <w:t>861.57</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公共安全支出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741.38</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741.38</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20404</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检察</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741.38</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741.38</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2040401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660.42</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660.42</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2040402</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28.75</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28.75</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2040499</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其他检察支出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52.20</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52.20</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71.11</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71.11</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71.11</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71.11</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2080501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13.16</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13.16</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2080505</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57.95</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57.95</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卫生健康支出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21011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行政事业单位医疗</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2101101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20.55</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住房保障支出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住房改革支出</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2"/>
              </w:rPr>
            </w:pPr>
            <w:r>
              <w:rPr>
                <w:rFonts w:hint="eastAsia" w:ascii="宋体" w:hAnsi="宋体" w:eastAsia="宋体" w:cs="宋体"/>
                <w:color w:val="000000"/>
                <w:sz w:val="22"/>
              </w:rPr>
              <w:t>2210201</w:t>
            </w:r>
          </w:p>
        </w:tc>
        <w:tc>
          <w:tcPr>
            <w:tcW w:w="27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11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28.53</w:t>
            </w: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7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684"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2385"/>
        <w:gridCol w:w="1245"/>
        <w:gridCol w:w="1170"/>
        <w:gridCol w:w="1155"/>
        <w:gridCol w:w="1200"/>
        <w:gridCol w:w="555"/>
        <w:gridCol w:w="865"/>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8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0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65"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8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Arial" w:hAnsi="Arial" w:cs="Arial"/>
                <w:color w:val="000000"/>
                <w:sz w:val="18"/>
                <w:szCs w:val="18"/>
              </w:rPr>
              <w:t>保定市满城区人民检察院</w:t>
            </w:r>
          </w:p>
        </w:tc>
        <w:tc>
          <w:tcPr>
            <w:tcW w:w="124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7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0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2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34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24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20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5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86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38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2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2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2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2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2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2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349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24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2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5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8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349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861.57</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784.67</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76.90</w:t>
            </w: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公共安全支出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741.38</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664.48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76.90</w:t>
            </w: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检察</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741.38</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664.48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76.90</w:t>
            </w: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2040401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660.42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660.42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2040402</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28.75</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4.05</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24.70</w:t>
            </w: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2040499</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其他检察支出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52.20</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0.00</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52.20</w:t>
            </w: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13.16</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13.16</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2080505</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57.95</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57.95</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卫生健康支出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行政事业单位医疗</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2101101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2210201</w:t>
            </w:r>
          </w:p>
        </w:tc>
        <w:tc>
          <w:tcPr>
            <w:tcW w:w="2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24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2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2022"/>
        <w:gridCol w:w="2002"/>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456"/>
              <w:gridCol w:w="446"/>
              <w:gridCol w:w="693"/>
              <w:gridCol w:w="765"/>
              <w:gridCol w:w="741"/>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9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59"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部门：保定市满城区人民检察院</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9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94"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69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4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9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861.57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741.38</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r>
                    <w:rPr>
                      <w:rFonts w:hint="eastAsia" w:ascii="Times New Roman" w:hAnsi="Times New Roman" w:eastAsia="Times New Roman" w:cs="Times New Roman"/>
                      <w:kern w:val="0"/>
                      <w:sz w:val="15"/>
                      <w:szCs w:val="15"/>
                    </w:rPr>
                    <w:t>741.38</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71.11</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rPr>
                    <w:t>71.11</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20.55</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rPr>
                    <w:t>20.55</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28.53</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r>
                    <w:rPr>
                      <w:rFonts w:hint="eastAsia" w:ascii="Times New Roman" w:hAnsi="Times New Roman" w:eastAsia="Times New Roman" w:cs="Times New Roman"/>
                      <w:kern w:val="0"/>
                      <w:sz w:val="15"/>
                      <w:szCs w:val="15"/>
                    </w:rPr>
                    <w:t>28.53</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861.57</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861.57</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rPr>
                    <w:t>861.57</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21.29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21.29</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rPr>
                    <w:t>21.29</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21.29</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882.86</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69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882.86</w:t>
                  </w:r>
                </w:p>
              </w:tc>
              <w:tc>
                <w:tcPr>
                  <w:tcW w:w="7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lang w:val="en-US" w:eastAsia="zh-CN" w:bidi="ar-SA"/>
                    </w:rPr>
                  </w:pPr>
                  <w:r>
                    <w:rPr>
                      <w:rFonts w:hint="eastAsia" w:ascii="宋体" w:hAnsi="宋体" w:eastAsia="宋体" w:cs="Arial"/>
                      <w:color w:val="000000"/>
                      <w:kern w:val="0"/>
                      <w:sz w:val="15"/>
                      <w:szCs w:val="15"/>
                    </w:rPr>
                    <w:t>882.86</w:t>
                  </w:r>
                </w:p>
              </w:tc>
              <w:tc>
                <w:tcPr>
                  <w:tcW w:w="7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0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Arial" w:hAnsi="Arial" w:cs="Arial"/>
                <w:color w:val="000000"/>
                <w:sz w:val="18"/>
                <w:szCs w:val="18"/>
              </w:rPr>
              <w:t>保定市满城区人民检察院</w:t>
            </w:r>
          </w:p>
        </w:tc>
        <w:tc>
          <w:tcPr>
            <w:tcW w:w="200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33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660"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0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00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00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00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33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33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861.57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784.67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76.90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公共安全支出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741.38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664.48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76.90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检察</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741.38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664.48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76.90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2040401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660.42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660.42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2040402</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28.75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4.05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24.70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2040499</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其他检察支出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52.20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52.20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71.11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13.16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13.16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2080505</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57.95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57.95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卫生健康支出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行政事业单位医疗</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2101101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2210201</w:t>
            </w:r>
          </w:p>
        </w:tc>
        <w:tc>
          <w:tcPr>
            <w:tcW w:w="20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0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28.53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r>
              <w:rPr>
                <w:rFonts w:hint="eastAsia" w:ascii="Arial" w:hAnsi="Arial" w:cs="Arial"/>
                <w:color w:val="000000"/>
                <w:sz w:val="16"/>
                <w:szCs w:val="16"/>
              </w:rPr>
              <w:t>保定市满城区人民检察院</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579.84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170.84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178.57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21.2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191.04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95.16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57.95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43.62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31.47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28.59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0.63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28.53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7.21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33.99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0.23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17.78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6.68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24.18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18.94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613.83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170.84</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Arial" w:hAnsi="Arial" w:cs="Arial"/>
                <w:color w:val="000000"/>
                <w:sz w:val="18"/>
                <w:szCs w:val="18"/>
              </w:rPr>
              <w:t>保定市满城区人民检察院</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30.32</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28.8</w:t>
            </w:r>
            <w:r>
              <w:rPr>
                <w:rFonts w:hint="eastAsia" w:ascii="宋体" w:hAnsi="宋体" w:eastAsia="宋体" w:cs="宋体"/>
                <w:color w:val="000000"/>
                <w:szCs w:val="22"/>
                <w:lang w:val="en-US" w:eastAsia="zh-CN"/>
              </w:rPr>
              <w:t>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hint="eastAsia" w:ascii="宋体" w:hAnsi="宋体" w:eastAsia="宋体" w:cs="宋体"/>
                <w:color w:val="000000"/>
                <w:szCs w:val="22"/>
              </w:rPr>
              <w:t>28.8</w:t>
            </w:r>
            <w:r>
              <w:rPr>
                <w:rFonts w:hint="eastAsia" w:ascii="宋体" w:hAnsi="宋体" w:eastAsia="宋体" w:cs="宋体"/>
                <w:color w:val="000000"/>
                <w:szCs w:val="22"/>
                <w:lang w:val="en-US" w:eastAsia="zh-CN"/>
              </w:rPr>
              <w:t>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1.52</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19.05</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18.82</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18.82</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0.23</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fixed"/>
        <w:tblCellMar>
          <w:top w:w="0" w:type="dxa"/>
          <w:left w:w="0" w:type="dxa"/>
          <w:bottom w:w="0" w:type="dxa"/>
          <w:right w:w="0" w:type="dxa"/>
        </w:tblCellMar>
      </w:tblPr>
      <w:tblGrid>
        <w:gridCol w:w="570"/>
        <w:gridCol w:w="36"/>
        <w:gridCol w:w="36"/>
        <w:gridCol w:w="2010"/>
        <w:gridCol w:w="1143"/>
        <w:gridCol w:w="1143"/>
        <w:gridCol w:w="1143"/>
        <w:gridCol w:w="1143"/>
        <w:gridCol w:w="1143"/>
        <w:gridCol w:w="1143"/>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57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1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286"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570"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3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1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Arial" w:hAnsi="Arial" w:cs="Arial"/>
                <w:color w:val="000000"/>
                <w:sz w:val="18"/>
                <w:szCs w:val="18"/>
              </w:rPr>
              <w:t>保定市满城区人民检察院</w:t>
            </w: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4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286"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265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4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4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2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4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64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1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4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4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6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1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64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1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4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26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26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6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64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1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widowControl/>
        <w:spacing w:after="0" w:line="560" w:lineRule="exact"/>
        <w:jc w:val="left"/>
        <w:rPr>
          <w:b/>
          <w:sz w:val="20"/>
          <w:szCs w:val="22"/>
          <w:highlight w:val="yellow"/>
        </w:rPr>
      </w:pPr>
      <w:r>
        <w:rPr>
          <w:rFonts w:hint="eastAsia" w:ascii="宋体" w:hAnsi="宋体" w:eastAsia="宋体" w:cs="宋体"/>
          <w:sz w:val="20"/>
          <w:szCs w:val="22"/>
        </w:rPr>
        <w:t>注：</w:t>
      </w:r>
      <w:r>
        <w:rPr>
          <w:rFonts w:hint="eastAsia" w:ascii="宋体" w:hAnsi="宋体" w:eastAsia="宋体" w:cs="宋体"/>
          <w:sz w:val="20"/>
          <w:szCs w:val="22"/>
          <w:lang w:eastAsia="zh-CN"/>
        </w:rPr>
        <w:t>本</w:t>
      </w:r>
      <w:r>
        <w:rPr>
          <w:rFonts w:hint="eastAsia" w:ascii="宋体" w:hAnsi="宋体" w:eastAsia="宋体" w:cs="宋体"/>
          <w:sz w:val="20"/>
          <w:szCs w:val="22"/>
        </w:rPr>
        <w:t>部门本年度</w:t>
      </w:r>
      <w:r>
        <w:rPr>
          <w:rFonts w:hint="eastAsia" w:ascii="宋体" w:hAnsi="宋体" w:eastAsia="宋体" w:cs="宋体"/>
          <w:sz w:val="20"/>
          <w:szCs w:val="22"/>
          <w:lang w:eastAsia="zh-CN"/>
        </w:rPr>
        <w:t>无</w:t>
      </w:r>
      <w:r>
        <w:rPr>
          <w:rFonts w:hint="eastAsia" w:ascii="宋体" w:hAnsi="宋体" w:eastAsia="宋体" w:cs="宋体"/>
          <w:sz w:val="20"/>
          <w:szCs w:val="22"/>
        </w:rPr>
        <w:t>政府性基金预算财政拨款收入、支出及结转结余情况</w:t>
      </w:r>
      <w:r>
        <w:rPr>
          <w:rFonts w:hint="eastAsia" w:ascii="宋体" w:hAnsi="宋体" w:eastAsia="宋体" w:cs="宋体"/>
          <w:sz w:val="20"/>
          <w:szCs w:val="22"/>
          <w:lang w:eastAsia="zh-CN"/>
        </w:rPr>
        <w:t>，按要求空表列示。</w:t>
      </w:r>
      <w:r>
        <w:rPr>
          <w:b/>
          <w:sz w:val="20"/>
          <w:szCs w:val="22"/>
          <w:highlight w:val="yellow"/>
        </w:rPr>
        <w:br w:type="page"/>
      </w:r>
    </w:p>
    <w:tbl>
      <w:tblPr>
        <w:tblStyle w:val="6"/>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保定市满城区人民检察院</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w:t>
      </w:r>
      <w:r>
        <w:rPr>
          <w:rFonts w:hint="eastAsia" w:ascii="宋体" w:hAnsi="宋体" w:eastAsia="宋体" w:cs="宋体"/>
          <w:lang w:eastAsia="zh-CN"/>
        </w:rPr>
        <w:t>本</w:t>
      </w:r>
      <w:r>
        <w:rPr>
          <w:rFonts w:hint="eastAsia" w:ascii="宋体" w:hAnsi="宋体" w:eastAsia="宋体" w:cs="宋体"/>
        </w:rPr>
        <w:t>部门本年度</w:t>
      </w:r>
      <w:r>
        <w:rPr>
          <w:rFonts w:hint="eastAsia" w:ascii="宋体" w:hAnsi="宋体" w:eastAsia="宋体" w:cs="宋体"/>
          <w:lang w:eastAsia="zh-CN"/>
        </w:rPr>
        <w:t>无</w:t>
      </w:r>
      <w:r>
        <w:rPr>
          <w:rFonts w:hint="eastAsia" w:ascii="宋体" w:hAnsi="宋体" w:eastAsia="宋体" w:cs="宋体"/>
        </w:rPr>
        <w:t>国有资本经营预算财政拨款收入、支出及结转结余情况</w:t>
      </w:r>
      <w:r>
        <w:rPr>
          <w:rFonts w:hint="eastAsia" w:ascii="宋体" w:hAnsi="宋体" w:eastAsia="宋体" w:cs="宋体"/>
          <w:sz w:val="20"/>
          <w:szCs w:val="22"/>
          <w:lang w:eastAsia="zh-CN"/>
        </w:rPr>
        <w:t>，</w:t>
      </w:r>
      <w:r>
        <w:rPr>
          <w:rFonts w:hint="eastAsia" w:ascii="宋体" w:hAnsi="宋体" w:eastAsia="宋体" w:cs="宋体"/>
          <w:lang w:eastAsia="zh-CN"/>
        </w:rPr>
        <w:t>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7456;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27500"/>
    <w:rsid w:val="00293E7B"/>
    <w:rsid w:val="002D1F4F"/>
    <w:rsid w:val="00366D90"/>
    <w:rsid w:val="003D678E"/>
    <w:rsid w:val="00801F66"/>
    <w:rsid w:val="009334BF"/>
    <w:rsid w:val="058B71E0"/>
    <w:rsid w:val="05D97171"/>
    <w:rsid w:val="07C51B64"/>
    <w:rsid w:val="07ED33A2"/>
    <w:rsid w:val="0A491E9D"/>
    <w:rsid w:val="0EA325C9"/>
    <w:rsid w:val="13152F07"/>
    <w:rsid w:val="13CB16EC"/>
    <w:rsid w:val="16090A6D"/>
    <w:rsid w:val="18C03970"/>
    <w:rsid w:val="21FF3921"/>
    <w:rsid w:val="27A06CBA"/>
    <w:rsid w:val="2FB96948"/>
    <w:rsid w:val="2FFF2E22"/>
    <w:rsid w:val="3327616A"/>
    <w:rsid w:val="34C45458"/>
    <w:rsid w:val="35C83C42"/>
    <w:rsid w:val="37963C5D"/>
    <w:rsid w:val="38C7106F"/>
    <w:rsid w:val="3C8F2A1B"/>
    <w:rsid w:val="44410974"/>
    <w:rsid w:val="460A40BA"/>
    <w:rsid w:val="4CD9308F"/>
    <w:rsid w:val="4F6440E3"/>
    <w:rsid w:val="502278F5"/>
    <w:rsid w:val="53C01F68"/>
    <w:rsid w:val="576F6295"/>
    <w:rsid w:val="5D0C63C4"/>
    <w:rsid w:val="5D11292F"/>
    <w:rsid w:val="6349401B"/>
    <w:rsid w:val="646B6100"/>
    <w:rsid w:val="696F3695"/>
    <w:rsid w:val="6A0369FF"/>
    <w:rsid w:val="6A5F4053"/>
    <w:rsid w:val="6A6F7E86"/>
    <w:rsid w:val="71810C63"/>
    <w:rsid w:val="71DB644D"/>
    <w:rsid w:val="73D824BD"/>
    <w:rsid w:val="761D2516"/>
    <w:rsid w:val="78030AE2"/>
    <w:rsid w:val="799B3120"/>
    <w:rsid w:val="7C124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pPr>
    <w:rPr>
      <w:kern w:val="0"/>
      <w:sz w:val="24"/>
      <w:lang w:val="en-US" w:eastAsia="zh-CN" w:bidi="ar"/>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9">
    <w:name w:val="FollowedHyperlink"/>
    <w:basedOn w:val="8"/>
    <w:qFormat/>
    <w:uiPriority w:val="0"/>
    <w:rPr>
      <w:color w:val="333333"/>
      <w:u w:val="none"/>
    </w:rPr>
  </w:style>
  <w:style w:type="character" w:styleId="10">
    <w:name w:val="Hyperlink"/>
    <w:basedOn w:val="8"/>
    <w:qFormat/>
    <w:uiPriority w:val="0"/>
    <w:rPr>
      <w:color w:val="515151"/>
      <w:sz w:val="18"/>
      <w:szCs w:val="18"/>
      <w:u w:val="none"/>
    </w:rPr>
  </w:style>
  <w:style w:type="character" w:customStyle="1" w:styleId="11">
    <w:name w:val="on"/>
    <w:basedOn w:val="8"/>
    <w:qFormat/>
    <w:uiPriority w:val="0"/>
    <w:rPr>
      <w:shd w:val="clear" w:fill="FFFFFF"/>
    </w:rPr>
  </w:style>
  <w:style w:type="character" w:customStyle="1" w:styleId="12">
    <w:name w:val="f"/>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2.bmp"/><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H:\&#24037;&#20316;\&#36130;&#21153;\&#39044;&#20915;&#31639;&#20844;&#24320;\&#20915;&#31639;\2020&#20915;&#31639;\&#20915;&#31639;&#20844;&#24320;\&#22270;&#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H:\&#24037;&#20316;\&#36130;&#21153;\&#39044;&#20915;&#31639;&#20844;&#24320;\&#20915;&#31639;\2020&#20915;&#31639;\&#20915;&#31639;&#20844;&#24320;\&#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t>1301.30</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t>938.51</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6000</c:v>
                </c:pt>
                <c:pt idx="1">
                  <c:v>8000</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 基本支出91%</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 项目支出9%</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[图表.xls]Sheet1!$B$5:$C$6</c:f>
              <c:multiLvlStrCache>
                <c:ptCount val="2"/>
                <c:lvl>
                  <c:pt idx="0">
                    <c:v>基本支出</c:v>
                  </c:pt>
                  <c:pt idx="1">
                    <c:v>项目支出</c:v>
                  </c:pt>
                </c:lvl>
                <c:lvl>
                  <c:pt idx="0">
                    <c:v>861.57</c:v>
                  </c:pt>
                </c:lvl>
              </c:multiLvlStrCache>
            </c:multiLvlStrRef>
          </c:cat>
          <c:val>
            <c:numRef>
              <c:f>[图表.xls]Sheet1!$D$5:$D$6</c:f>
              <c:numCache>
                <c:formatCode>General</c:formatCode>
                <c:ptCount val="2"/>
                <c:pt idx="0">
                  <c:v>784.67</c:v>
                </c:pt>
                <c:pt idx="1">
                  <c:v>76.9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[图表.xls]Sheet2!$A$1:$A$4</c:f>
              <c:strCache>
                <c:ptCount val="4"/>
                <c:pt idx="0">
                  <c:v>公共安全类</c:v>
                </c:pt>
                <c:pt idx="1">
                  <c:v>社会保障和就业</c:v>
                </c:pt>
                <c:pt idx="2">
                  <c:v>卫生健康</c:v>
                </c:pt>
                <c:pt idx="3">
                  <c:v>住房保障</c:v>
                </c:pt>
              </c:strCache>
            </c:strRef>
          </c:cat>
          <c:val>
            <c:numRef>
              <c:f>[图表.xls]Sheet2!$B$1:$B$4</c:f>
              <c:numCache>
                <c:formatCode>General</c:formatCode>
                <c:ptCount val="4"/>
                <c:pt idx="0">
                  <c:v>741.38</c:v>
                </c:pt>
                <c:pt idx="1">
                  <c:v>71.11</c:v>
                </c:pt>
                <c:pt idx="2">
                  <c:v>20.55</c:v>
                </c:pt>
                <c:pt idx="3">
                  <c:v>28.53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14</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cp:lastPrinted>2021-10-13T02:46:00Z</cp:lastPrinted>
  <dcterms:modified xsi:type="dcterms:W3CDTF">2022-03-14T06:58:07Z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6E1982A8C1D84A07AA6707F834B03EA0</vt:lpwstr>
  </property>
</Properties>
</file>