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bookmarkStart w:id="0" w:name="_GoBack"/>
      <w:bookmarkEnd w:id="0"/>
      <w:r>
        <w:pict>
          <v:group id="_x0000_s1037" o:spid="_x0000_s1037" o:spt="203" style="position:absolute;left:0pt;margin-left:1.25pt;margin-top:821.7pt;height:21.45pt;width:595.25pt;z-index:251660288;mso-width-relative:page;mso-height-relative:page;" coordorigin="1483,16692" coordsize="11905,429203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rect id="矩形 11" o:spid="_x0000_s1043" o:spt="1" style="position:absolute;left:0pt;margin-left:184.75pt;margin-top:286.6pt;height:31.25pt;width:339.65pt;mso-wrap-style:none;z-index:251661312;mso-width-relative:page;mso-height-relative:page;" filled="f" stroked="f" coordsize="21600,21600">
            <v:path/>
            <v:fill on="f" focussize="0,0"/>
            <v:stroke on="f"/>
            <v:imagedata o:title=""/>
            <o:lock v:ext="edit"/>
            <v:textbox style="mso-fit-shape-to-text:t;">
              <w:txbxContent>
                <w:p/>
              </w:txbxContent>
            </v:textbox>
          </v:rect>
        </w:pict>
      </w:r>
    </w:p>
    <w:p>
      <w:pPr>
        <w:rPr>
          <w:rFonts w:ascii="黑体" w:hAnsi="Times New Roman" w:eastAsia="黑体"/>
          <w:sz w:val="48"/>
          <w:szCs w:val="48"/>
        </w:rPr>
      </w:pP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p>
    <w:p>
      <w:pPr>
        <w:rPr>
          <w:rFonts w:ascii="黑体" w:hAnsi="黑体" w:eastAsia="黑体" w:cs="黑体"/>
          <w:b/>
          <w:bCs/>
          <w:sz w:val="72"/>
          <w:szCs w:val="96"/>
        </w:rPr>
      </w:pPr>
      <w:r>
        <w:pict>
          <v:rect id="矩形 14" o:spid="_x0000_s1111" o:spt="1" style="position:absolute;left:0pt;margin-left:-43.7pt;margin-top:44.8pt;height:69.6pt;width:160.65pt;z-index:25166950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w:t>
                  </w:r>
                  <w:r>
                    <w:drawing>
                      <wp:inline distT="0" distB="0" distL="0" distR="0">
                        <wp:extent cx="1352550" cy="13525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srcRect/>
                                <a:stretch>
                                  <a:fillRect/>
                                </a:stretch>
                              </pic:blipFill>
                              <pic:spPr>
                                <a:xfrm>
                                  <a:off x="0" y="0"/>
                                  <a:ext cx="1352550" cy="1352550"/>
                                </a:xfrm>
                                <a:prstGeom prst="rect">
                                  <a:avLst/>
                                </a:prstGeom>
                                <a:noFill/>
                                <a:ln w="9525">
                                  <a:noFill/>
                                  <a:miter lim="800000"/>
                                  <a:headEnd/>
                                  <a:tailEnd/>
                                </a:ln>
                              </pic:spPr>
                            </pic:pic>
                          </a:graphicData>
                        </a:graphic>
                      </wp:inline>
                    </w:drawing>
                  </w:r>
                  <w:r>
                    <w:rPr>
                      <w:rFonts w:ascii="Yu Gothic UI Semibold" w:hAnsi="Yu Gothic UI Semibold" w:eastAsia="宋体"/>
                      <w:color w:val="FFFFFF"/>
                      <w:kern w:val="24"/>
                      <w:sz w:val="72"/>
                      <w:szCs w:val="72"/>
                    </w:rPr>
                    <w:t>019</w:t>
                  </w:r>
                </w:p>
              </w:txbxContent>
            </v:textbox>
          </v:rect>
        </w:pict>
      </w:r>
      <w:r>
        <w:pict>
          <v:group id="_x0000_s1106" o:spid="_x0000_s1106" o:spt="203" style="position:absolute;left:0pt;margin-left:-79.05pt;margin-top:-190.55pt;height:69.6pt;width:600.25pt;z-index:-251654144;mso-width-relative:page;mso-height-relative:page;" coordorigin="13622,-66719" coordsize="12005,1392046203">
            <o:lock v:ext="edit"/>
            <v:rect id="矩形 5" o:spid="_x0000_s1107" o:spt="1" style="position:absolute;left:13622;top:283;height:6170;width:12005;v-text-anchor:middle;" fillcolor="#FDBC11" filled="t" stroked="f" coordsize="21600,21600">
              <v:path/>
              <v:fill on="t" focussize="0,0"/>
              <v:stroke on="f" weight="1pt"/>
              <v:imagedata o:title=""/>
              <o:lock v:ext="edit"/>
            </v:rect>
            <v:shape id="_x0000_s1108" o:spid="_x0000_s1108"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p>
    <w:p>
      <w:pPr>
        <w:spacing w:line="360" w:lineRule="auto"/>
        <w:jc w:val="center"/>
        <w:rPr>
          <w:kern w:val="0"/>
          <w:sz w:val="28"/>
          <w:szCs w:val="28"/>
        </w:rPr>
      </w:pPr>
      <w:r>
        <w:pict>
          <v:rect id="_x0000_s1113" o:spid="_x0000_s1113" o:spt="1" style="position:absolute;left:0pt;margin-left:-24.95pt;margin-top:19.75pt;height:55.35pt;width:141.9pt;z-index:251670528;mso-width-relative:page;mso-height-relative:page;" filled="f" stroked="f" coordsize="21600,21600">
            <v:path/>
            <v:fill on="f" focussize="0,0"/>
            <v:stroke on="f"/>
            <v:imagedata o:title=""/>
            <o:lock v:ext="edit"/>
            <v:textbo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rPr>
          <w:rFonts w:ascii="Yu Gothic UI Semibold" w:hAnsi="Yu Gothic UI Semibold" w:eastAsia="宋体"/>
          <w:color w:val="FFFFFF"/>
          <w:kern w:val="24"/>
          <w:sz w:val="72"/>
          <w:szCs w:val="72"/>
        </w:rPr>
        <w:t>219</w:t>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jc w:val="center"/>
      </w:pPr>
      <w:r>
        <w:rPr>
          <w:szCs w:val="21"/>
        </w:rPr>
        <w:drawing>
          <wp:inline distT="0" distB="0" distL="0" distR="0">
            <wp:extent cx="5133975" cy="4953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20"/>
                    <a:srcRect/>
                    <a:stretch>
                      <a:fillRect/>
                    </a:stretch>
                  </pic:blipFill>
                  <pic:spPr>
                    <a:xfrm>
                      <a:off x="0" y="0"/>
                      <a:ext cx="5133975" cy="495300"/>
                    </a:xfrm>
                    <a:prstGeom prst="rect">
                      <a:avLst/>
                    </a:prstGeom>
                    <a:noFill/>
                    <a:ln w="9525">
                      <a:noFill/>
                      <a:miter lim="800000"/>
                      <a:headEnd/>
                      <a:tailEnd/>
                    </a:ln>
                  </pic:spPr>
                </pic:pic>
              </a:graphicData>
            </a:graphic>
          </wp:inline>
        </w:drawing>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rPr>
          <w:rFonts w:hint="eastAsia" w:ascii="黑体" w:hAnsi="黑体" w:eastAsia="黑体" w:cs="黑体"/>
          <w:sz w:val="56"/>
          <w:szCs w:val="72"/>
        </w:rPr>
      </w:pPr>
    </w:p>
    <w:p>
      <w:pPr>
        <w:spacing w:line="480" w:lineRule="auto"/>
        <w:rPr>
          <w:rFonts w:hint="eastAsia" w:ascii="黑体" w:hAnsi="黑体" w:eastAsia="黑体" w:cs="黑体"/>
          <w:sz w:val="56"/>
          <w:szCs w:val="72"/>
        </w:rPr>
      </w:pPr>
    </w:p>
    <w:p>
      <w:pPr>
        <w:spacing w:line="480" w:lineRule="auto"/>
        <w:rPr>
          <w:rFonts w:hint="eastAsia" w:ascii="黑体" w:hAnsi="黑体" w:eastAsia="黑体" w:cs="黑体"/>
          <w:sz w:val="56"/>
          <w:szCs w:val="72"/>
        </w:rPr>
      </w:pPr>
    </w:p>
    <w:p>
      <w:pPr>
        <w:spacing w:line="480" w:lineRule="auto"/>
        <w:rPr>
          <w:rFonts w:hint="eastAsia" w:ascii="黑体" w:hAnsi="黑体" w:eastAsia="黑体" w:cs="黑体"/>
          <w:sz w:val="56"/>
          <w:szCs w:val="72"/>
        </w:rPr>
      </w:pPr>
    </w:p>
    <w:p>
      <w:pPr>
        <w:spacing w:line="480" w:lineRule="auto"/>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ind w:firstLine="1760" w:firstLineChars="400"/>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中共保定市满城区委组织部</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420" w:firstLineChars="200"/>
        <w:rPr>
          <w:rFonts w:eastAsia="黑体"/>
          <w:sz w:val="32"/>
          <w:szCs w:val="32"/>
        </w:rPr>
      </w:pPr>
      <w:r>
        <w:pict>
          <v:shape id="_x0000_s1053" o:spid="_x0000_s1053" o:spt="202" type="#_x0000_t202" style="position:absolute;left:0pt;margin-left:-94.1pt;margin-top:15.9pt;height:263.1pt;width:613.65pt;z-index:251663360;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rPr>
          <w:rFonts w:ascii="黑体" w:eastAsia="黑体" w:cs="黑体"/>
          <w:kern w:val="0"/>
          <w:sz w:val="32"/>
          <w:szCs w:val="32"/>
        </w:rPr>
      </w:pPr>
      <w:r>
        <w:br w:type="page"/>
      </w:r>
      <w:r>
        <w:rPr>
          <w:rFonts w:hint="eastAsia" w:ascii="黑体" w:eastAsia="黑体" w:cs="黑体"/>
          <w:kern w:val="0"/>
          <w:sz w:val="32"/>
          <w:szCs w:val="32"/>
        </w:rPr>
        <w:t>一、部门职责</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我单位行政编制数23个。实有在职人员18 人，退休人员 10人。</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根据中共满城县委办公室《关于印发〈中共满城县委组织部职能配置、内设机构和人员编制规定〉的通知》（满办字[2002]75号），现将我部部门概况说明如下：</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（一）指导党的基层组织建设，探索各类新的经济组织中党组织的设置和活动方式；负责党员的管理教育和发展工作。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二）提出关于乡（镇）和县直和部门领导班子调整、配备的意见和建议；负责区委管理干部的考察和办理任免、工资待遇、退（离）休审批手续；指导领导班子的思想作风建设；负责干部队伍宏观管理工作，承办干部的调配交流和安置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（三）负责全区科级后备干部的培养、选拔、管理、考察工作；负责妇女干部、党外干部、少数民族干部的培养、选拔、管理和推荐工作。</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（四）研究探索干部人事制度改革，制定全区组织、干部、人事工作的重要政策和制度。</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（五）负责全区组织工作、干部工作、干部人事纪律、班子建设等方面的检查督促，及时向区委反映情况，提出建议。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（六）负责全区党政领导班子和领导干部考核、奖惩工作。依据考核结果，向区委提出干部奖惩、任免、使用情况。</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（七）负责全区的干部教育工作，制订干部教育工作规划和措施，对全区干部教育进行宏观管理、指导和协调。</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（八）督促检查知识分子政策的贯彻落实，选拔推荐优秀知识分子，负责科技副乡（镇）长的选拔、考察和管理。</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（九）负责贯彻落实上级和区委关于离退休干部工作的方针、政策。组织协调有关部门共同做好离退休干部工作，依据政策安排好他们的工作、生活、学习。</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（十）完成区委交办的其它工作任务。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年度本部门决算汇编范围的独立核算单位（以下简称“单位”）共9个，具体情况如下：</w:t>
      </w:r>
    </w:p>
    <w:tbl>
      <w:tblPr>
        <w:tblStyle w:val="6"/>
        <w:tblpPr w:leftFromText="180" w:rightFromText="180" w:vertAnchor="text" w:horzAnchor="page" w:tblpXSpec="center" w:tblpY="10"/>
        <w:tblOverlap w:val="never"/>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324"/>
        <w:gridCol w:w="233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324"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33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54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办公室</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2</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干部科</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3</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人才科</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4</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组织科</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5</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组织员办公室</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6</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考核科</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7</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电教室</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8</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党建科</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9</w:t>
            </w:r>
          </w:p>
        </w:tc>
        <w:tc>
          <w:tcPr>
            <w:tcW w:w="3324" w:type="dxa"/>
          </w:tcPr>
          <w:p>
            <w:pPr>
              <w:spacing w:line="560" w:lineRule="exact"/>
              <w:rPr>
                <w:rFonts w:ascii="仿宋_GB2312" w:hAnsi="Calibri" w:eastAsia="仿宋_GB2312" w:cs="ArialUnicodeMS"/>
                <w:kern w:val="0"/>
                <w:sz w:val="28"/>
                <w:szCs w:val="28"/>
              </w:rPr>
            </w:pPr>
            <w:r>
              <w:rPr>
                <w:rFonts w:hint="eastAsia" w:ascii="仿宋_GB2312" w:hAnsi="仿宋" w:eastAsia="仿宋_GB2312"/>
                <w:sz w:val="28"/>
                <w:szCs w:val="28"/>
              </w:rPr>
              <w:t>公务员科</w:t>
            </w:r>
          </w:p>
        </w:tc>
        <w:tc>
          <w:tcPr>
            <w:tcW w:w="233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54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7"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sectPr>
          <w:headerReference r:id="rId13" w:type="first"/>
          <w:footerReference r:id="rId15" w:type="first"/>
          <w:headerReference r:id="rId12" w:type="default"/>
          <w:footerReference r:id="rId14" w:type="default"/>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317.65pt;height:93.75pt;width:613.65pt;z-index:25166438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p>
              </w:txbxContent>
            </v:textbox>
          </v:shape>
        </w:pict>
      </w:r>
    </w:p>
    <w:p>
      <w:pP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6745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2019年度收入总计294.17万元，其中：财政拨款收入294.17万元。比上年减少244.76万元，降低244.76%，原因是本年收入减少较多，主要是村干部工资和保险费用，以及大学生村官保险费用转到乡镇支出，因此减少了收入。</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2019年度支出总计294.17万元。比上年减少244.76万元，降低244.76%，原因是本年支出减少较多，主要是村干部工资和保险费用，以及大学生村官保险费用转到乡镇支出，因此减少了支出。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spacing w:line="580" w:lineRule="exact"/>
        <w:ind w:firstLine="640" w:firstLineChars="200"/>
        <w:rPr>
          <w:rFonts w:ascii="仿宋_GB2312" w:hAnsi="Calibri" w:eastAsia="仿宋_GB2312" w:cs="ArialUnicodeMS"/>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年度本年收入合计294.17万元，其中：财政拨款收入294.17万元，占100</w:t>
      </w:r>
      <w:r>
        <w:rPr>
          <w:rFonts w:ascii="仿宋_GB2312" w:hAnsi="Times New Roman" w:eastAsia="仿宋_GB2312" w:cs="DengXian-Regular"/>
          <w:sz w:val="32"/>
          <w:szCs w:val="32"/>
        </w:rPr>
        <w:t>%</w:t>
      </w:r>
      <w:r>
        <w:rPr>
          <w:rFonts w:ascii="仿宋_GB2312" w:hAnsi="Calibri" w:eastAsia="仿宋_GB2312" w:cs="ArialUnicodeMS"/>
          <w:kern w:val="0"/>
          <w:sz w:val="32"/>
          <w:szCs w:val="32"/>
        </w:rPr>
        <w:pict>
          <v:group id="_x0000_s1115" o:spid="_x0000_s1115" o:spt="203" style="position:absolute;left:0pt;margin-left:71.65pt;margin-top:19.55pt;height:217.5pt;width:308.75pt;z-index:251672576;mso-width-relative:page;mso-height-relative:page;" coordorigin="6817,180284" coordsize="5156,-2147483648">
            <o:lock v:ext="edit"/>
            <v:shape id="图片 1" o:spid="_x0000_s1116" o:spt="75" type="#_x0000_t75" style="position:absolute;left:6817;top:180284;height:2988;width:5156;" filled="f" o:preferrelative="t" stroked="f" coordsize="21600,21600">
              <v:path/>
              <v:fill on="f" focussize="0,0"/>
              <v:stroke on="f" joinstyle="miter"/>
              <v:imagedata r:id="rId21" cropleft="2131f" croptop="1490f" cropright="1218f" cropbottom="5217f" o:title=""/>
              <o:lock v:ext="edit" aspectratio="t"/>
            </v:shape>
            <v:shape id="文本框 32" o:spid="_x0000_s1117"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仿宋_GB2312" w:hAnsi="Calibri" w:eastAsia="仿宋_GB2312" w:cs="ArialUnicodeMS"/>
          <w:kern w:val="0"/>
          <w:sz w:val="32"/>
          <w:szCs w:val="32"/>
        </w:rPr>
        <w:pict>
          <v:group id="_x0000_s1063" o:spid="_x0000_s1063" o:spt="203" style="position:absolute;left:0pt;margin-left:71.65pt;margin-top:19.55pt;height:217.5pt;width:308.75pt;z-index:251665408;mso-width-relative:page;mso-height-relative:page;" coordorigin="6817,180284" coordsize="5156,-2147483648">
            <o:lock v:ext="edit"/>
            <v:shape id="图片 1" o:spid="_x0000_s1064" o:spt="75" type="#_x0000_t75" style="position:absolute;left:6817;top:180284;height:2988;width:5156;" filled="f" o:preferrelative="t" stroked="f" coordsize="21600,21600">
              <v:path/>
              <v:fill on="f" focussize="0,0"/>
              <v:stroke on="f" joinstyle="miter"/>
              <v:imagedata r:id="rId21"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p>
    <w:p>
      <w:pPr>
        <w:keepNext/>
        <w:keepLines/>
        <w:numPr>
          <w:ilvl w:val="0"/>
          <w:numId w:val="1"/>
        </w:numPr>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支出决算情况说明</w:t>
      </w:r>
    </w:p>
    <w:p>
      <w:pPr>
        <w:keepNext/>
        <w:keepLines/>
        <w:snapToGrid w:val="0"/>
        <w:spacing w:line="580" w:lineRule="exact"/>
        <w:ind w:firstLine="640" w:firstLineChars="200"/>
        <w:outlineLvl w:val="1"/>
        <w:rPr>
          <w:rFonts w:ascii="黑体" w:hAnsi="Calibri" w:eastAsia="黑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年度本年支出合计294.17万元，其中：基本支出294.17万元，占100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。项目支出0万元，占0%；经营支出0万元，占0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2019年度财政拨款支出比2018年度财政拨款支出预算数增加了60.54万元，增长了25.91%。其中：一般公共预算财政拨款增加了60.54万元，增长了25.91%、政府性基金预算财政拨款减少了0万元，减少了0%、年末财政拨款结转和结余减少了0 万元，减少了0%。</w:t>
      </w:r>
    </w:p>
    <w:p>
      <w:pPr>
        <w:spacing w:line="580" w:lineRule="exact"/>
        <w:ind w:firstLine="640" w:firstLineChars="200"/>
        <w:rPr>
          <w:rFonts w:ascii="楷体_GB2312" w:hAnsi="Times New Roman" w:eastAsia="楷体_GB2312" w:cs="DengXian-Bold"/>
          <w:b/>
          <w:bCs/>
          <w:sz w:val="32"/>
          <w:szCs w:val="32"/>
        </w:rPr>
      </w:pPr>
      <w:r>
        <w:rPr>
          <w:rFonts w:hint="eastAsia" w:ascii="仿宋_GB2312" w:hAnsi="Calibri" w:eastAsia="仿宋_GB2312" w:cs="ArialUnicodeMS"/>
          <w:kern w:val="0"/>
          <w:sz w:val="32"/>
          <w:szCs w:val="32"/>
        </w:rPr>
        <w:t>增支原因：工资调标补发和增加对农村补助支出。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2019年度财政拨款支出年初预算数总计233.63万元，其中：一般公共预算财政拨款 233.63万元、政府性基金预算财政拨款   0万元、年末财政拨款结转和结余0元。</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spacing w:line="560" w:lineRule="exact"/>
        <w:ind w:firstLine="640" w:firstLineChars="200"/>
        <w:rPr>
          <w:rFonts w:ascii="仿宋_GB2312" w:hAnsi="Calibri" w:eastAsia="仿宋_GB2312" w:cs="ArialUnicodeMS"/>
          <w:kern w:val="0"/>
          <w:sz w:val="32"/>
          <w:szCs w:val="32"/>
        </w:rPr>
      </w:pPr>
      <w:r>
        <w:rPr>
          <w:rFonts w:ascii="仿宋_GB2312" w:hAnsi="Calibri" w:eastAsia="仿宋_GB2312" w:cs="ArialUnicodeMS"/>
          <w:kern w:val="0"/>
          <w:sz w:val="32"/>
          <w:szCs w:val="32"/>
        </w:rPr>
        <w:pict>
          <v:group id="_x0000_s1069" o:spid="_x0000_s1069" o:spt="203" style="position:absolute;left:0pt;margin-left:77.25pt;margin-top:16.6pt;height:173.95pt;width:281.6pt;z-index:-251650048;mso-width-relative:page;mso-height-relative:page;" coordorigin="6921,180284" coordsize="5065,-2147483648">
            <o:lock v:ext="edit"/>
            <v:shape id="图片 1" o:spid="_x0000_s1070" o:spt="75" type="#_x0000_t75" style="position:absolute;left:7157;top:180284;height:2988;width:4586;" filled="f" o:preferrelative="t" stroked="f" coordsize="21600,21600">
              <v:path/>
              <v:fill on="f" focussize="0,0"/>
              <v:stroke on="f" joinstyle="miter"/>
              <v:imagedata r:id="rId21"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r>
        <w:rPr>
          <w:rFonts w:hint="eastAsia" w:ascii="仿宋_GB2312" w:hAnsi="仿宋_GB2312" w:eastAsia="仿宋_GB2312" w:cs="仿宋_GB2312"/>
          <w:sz w:val="32"/>
          <w:szCs w:val="32"/>
        </w:rPr>
        <w:t>2019年财政拨款支出294.17万元，主要用于一下方面：一般公共服务支出217.53万元，占73.95%，社会保障和就业支出61.33万元，占20.85%，卫生健康支出6.33万元，占2.15%，住房保障支出8.98万元，占3.05%。</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294.17万元，其中：人员经费237.64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56.53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年度“三公”经费支出共计2.46万元，完成预算的44.89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，较预算减少3.02万元，降低55.11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年度减少0.03万元，降低1.20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精神和厉行节约要求，从严控制“三公”经费开支，2019年全年实际支出较2018年有所降低</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未发生“因公出国（境）费”经费支出。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color w:val="000000" w:themeColor="text1"/>
          <w:sz w:val="32"/>
          <w:szCs w:val="32"/>
        </w:rPr>
        <w:t>（二）公务用车购置及运行维护费支出2.25万元。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年度公务用车购置及运行维护费较预算减少2.75万元，降低55.00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精神和厉行节约要求，从严控制“公务用车购置及运行维护费”经费开支，全年实际支出比预算有所节约</w:t>
      </w:r>
      <w:r>
        <w:rPr>
          <w:rFonts w:hint="eastAsia" w:ascii="仿宋_GB2312" w:hAnsi="Times New Roman" w:eastAsia="仿宋_GB2312" w:cs="DengXian-Regular"/>
          <w:sz w:val="32"/>
          <w:szCs w:val="32"/>
        </w:rPr>
        <w:t>；较上年减少0.17万元，降低7.02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精神和厉行节约要求，从严控制“公务用车购置及运行维护费”经费开支，2019年全年实际支出比2018年有所降低。</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eastAsia="仿宋_GB2312" w:cs="DengXian-Regular"/>
          <w:color w:val="000000"/>
          <w:sz w:val="32"/>
          <w:szCs w:val="32"/>
        </w:rPr>
        <w:t>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color w:val="000000" w:themeColor="text1"/>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年度单位公务用车保有量1辆。</w:t>
      </w:r>
      <w:r>
        <w:rPr>
          <w:rFonts w:hint="eastAsia" w:ascii="仿宋_GB2312" w:hAnsi="Times New Roman" w:eastAsia="仿宋_GB2312" w:cs="DengXian-Regular"/>
          <w:color w:val="000000" w:themeColor="text1"/>
          <w:sz w:val="32"/>
          <w:szCs w:val="32"/>
        </w:rPr>
        <w:t>公车运行维护费支出较预算减少2.75万元，</w:t>
      </w:r>
      <w:r>
        <w:rPr>
          <w:rFonts w:hint="eastAsia" w:ascii="仿宋_GB2312" w:hAnsi="Times New Roman" w:eastAsia="仿宋_GB2312" w:cs="DengXian-Regular"/>
          <w:sz w:val="32"/>
          <w:szCs w:val="32"/>
        </w:rPr>
        <w:t>降低55.00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精神和厉行节约要求，从严控制“公务用车运行维护费”经费开支，全年实际支出比预算有所节约</w:t>
      </w:r>
      <w:r>
        <w:rPr>
          <w:rFonts w:hint="eastAsia" w:ascii="仿宋_GB2312" w:hAnsi="Times New Roman" w:eastAsia="仿宋_GB2312" w:cs="DengXian-Regular"/>
          <w:sz w:val="32"/>
          <w:szCs w:val="32"/>
        </w:rPr>
        <w:t>；较上年减少0.17万元，降低7.02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精神和厉行节约要求，从严控制“公务用车运行维护费”经费开支，2019年全年实际支出比2018年有所降低。</w:t>
      </w:r>
    </w:p>
    <w:p>
      <w:pPr>
        <w:adjustRightInd w:val="0"/>
        <w:snapToGrid w:val="0"/>
        <w:spacing w:line="580" w:lineRule="exact"/>
        <w:ind w:firstLine="643" w:firstLineChars="200"/>
        <w:rPr>
          <w:rFonts w:ascii="仿宋_GB2312" w:hAnsi="仿宋_GB2312" w:eastAsia="仿宋_GB2312" w:cs="仿宋_GB2312"/>
          <w:sz w:val="28"/>
          <w:szCs w:val="28"/>
        </w:rPr>
      </w:pPr>
      <w:r>
        <w:rPr>
          <w:rFonts w:hint="eastAsia" w:ascii="楷体_GB2312" w:hAnsi="Times New Roman" w:eastAsia="楷体_GB2312" w:cs="DengXian-Bold"/>
          <w:b/>
          <w:bCs/>
          <w:sz w:val="32"/>
          <w:szCs w:val="32"/>
        </w:rPr>
        <w:t>（三）公务接待费支出0.22万元。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年度公务接待共2批次、24人次。公务接待费支出较预算减少0.26万元，降低54.17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w:t>
      </w:r>
      <w:r>
        <w:rPr>
          <w:rFonts w:hint="eastAsia" w:ascii="仿宋_GB2312" w:hAnsi="仿宋_GB2312" w:eastAsia="仿宋_GB2312" w:cs="仿宋_GB2312"/>
          <w:sz w:val="32"/>
          <w:szCs w:val="32"/>
        </w:rPr>
        <w:t>公务接待费</w:t>
      </w:r>
      <w:r>
        <w:rPr>
          <w:rFonts w:hint="eastAsia" w:ascii="仿宋_GB2312" w:eastAsia="仿宋_GB2312" w:cs="DengXian-Regular"/>
          <w:sz w:val="32"/>
          <w:szCs w:val="32"/>
        </w:rPr>
        <w:t>”经费开支，全年实际支出比预算有所节约</w:t>
      </w:r>
      <w:r>
        <w:rPr>
          <w:rFonts w:hint="eastAsia" w:ascii="仿宋_GB2312" w:hAnsi="Times New Roman" w:eastAsia="仿宋_GB2312" w:cs="DengXian-Regular"/>
          <w:sz w:val="32"/>
          <w:szCs w:val="32"/>
        </w:rPr>
        <w:t>；较上年度增加0.15万元，增长214.00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，主要是接待批次数和人次数增加。</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numPr>
          <w:ilvl w:val="0"/>
          <w:numId w:val="3"/>
        </w:num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numPr>
          <w:ilvl w:val="0"/>
          <w:numId w:val="3"/>
        </w:num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left="630" w:leftChars="300"/>
        <w:rPr>
          <w:rFonts w:ascii="仿宋_GB2312" w:hAnsi="Calibri" w:eastAsia="仿宋_GB2312" w:cs="ArialUnicodeMS"/>
          <w:kern w:val="0"/>
          <w:sz w:val="32"/>
          <w:szCs w:val="32"/>
        </w:rPr>
      </w:pPr>
      <w:r>
        <w:rPr>
          <w:rFonts w:hint="eastAsia" w:ascii="仿宋_GB2312" w:hAnsi="仿宋_GB2312" w:eastAsia="仿宋_GB2312" w:cs="仿宋_GB2312"/>
          <w:sz w:val="32"/>
          <w:szCs w:val="32"/>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（一）机关运行经费情况</w:t>
      </w:r>
    </w:p>
    <w:p>
      <w:pPr>
        <w:ind w:firstLine="640" w:firstLineChars="200"/>
        <w:rPr>
          <w:rFonts w:ascii="仿宋_GB2312" w:hAnsi="仿宋_GB2312" w:eastAsia="仿宋_GB2312" w:cs="仿宋_GB2312"/>
          <w:sz w:val="28"/>
          <w:szCs w:val="28"/>
        </w:rPr>
      </w:pPr>
      <w:r>
        <w:rPr>
          <w:rFonts w:hint="eastAsia" w:ascii="仿宋_GB2312" w:hAnsi="Calibri" w:eastAsia="仿宋_GB2312" w:cs="ArialUnicodeMS"/>
          <w:kern w:val="0"/>
          <w:sz w:val="32"/>
          <w:szCs w:val="32"/>
        </w:rPr>
        <w:t>2019年度公用经费总支出55.23万元，比上年减少7.11万元，减少11.17%。比年初预算增加28.72万元，增加103.00%。原因是本年新招录人员。</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Calibri" w:eastAsia="仿宋_GB2312" w:cs="ArialUnicodeMS"/>
          <w:kern w:val="0"/>
          <w:sz w:val="32"/>
          <w:szCs w:val="32"/>
        </w:rPr>
        <w:t>我单位2019年末固定资产总额为40.50 万元，主要包括车辆1辆价值16万元及其他固定资产24.50万元。</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ind w:firstLine="640" w:firstLineChars="200"/>
        <w:rPr>
          <w:rFonts w:ascii="仿宋_GB2312" w:hAnsi="Calibri" w:eastAsia="仿宋_GB2312" w:cs="ArialUnicodeMS"/>
          <w:kern w:val="0"/>
          <w:sz w:val="32"/>
          <w:szCs w:val="32"/>
        </w:rPr>
      </w:pPr>
    </w:p>
    <w:p>
      <w:pPr>
        <w:adjustRightInd w:val="0"/>
        <w:snapToGrid w:val="0"/>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年度政府性基金预算财政拨款收入支出决算表和国有资本经营预算财政拨款支出决算表无收支及结转结余情况，故政府性基金预算财政拨款收入支出决算表和国有资本经营预算财政拨款支出决算表以空表列示。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ind w:firstLine="640" w:firstLineChars="200"/>
        <w:rPr>
          <w:rFonts w:ascii="仿宋_GB2312" w:hAnsi="Calibri" w:eastAsia="仿宋_GB2312" w:cs="ArialUnicodeMS"/>
          <w:kern w:val="0"/>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68480;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Pr>
        <w:rPr>
          <w:rFonts w:ascii="仿宋_GB2312" w:hAnsi="宋体" w:eastAsia="仿宋_GB2312" w:cs="ArialUnicodeMS"/>
          <w:sz w:val="32"/>
          <w:szCs w:val="32"/>
          <w:highlight w:val="yellow"/>
        </w:rPr>
      </w:pPr>
    </w:p>
    <w:p>
      <w:pPr>
        <w:ind w:firstLine="640" w:firstLineChars="200"/>
        <w:rPr>
          <w:rFonts w:ascii="仿宋_GB2312" w:hAnsi="Calibri" w:eastAsia="仿宋_GB2312" w:cs="ArialUnicodeMS"/>
          <w:kern w:val="0"/>
          <w:sz w:val="32"/>
          <w:szCs w:val="32"/>
        </w:rPr>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17" w:type="default"/>
          <w:pgSz w:w="11906" w:h="16838"/>
          <w:pgMar w:top="2098" w:right="1474" w:bottom="1985" w:left="1588" w:header="851" w:footer="992" w:gutter="0"/>
          <w:pgNumType w:fmt="numberInDash"/>
          <w:cols w:space="425" w:num="1"/>
          <w:docGrid w:type="lines" w:linePitch="312" w:charSpace="0"/>
        </w:sectPr>
      </w:pPr>
    </w:p>
    <w:p>
      <w:pPr>
        <w:tabs>
          <w:tab w:val="left" w:pos="886"/>
        </w:tabs>
        <w:jc w:val="left"/>
        <w:sectPr>
          <w:pgSz w:w="11906" w:h="16838"/>
          <w:pgMar w:top="1701" w:right="1417" w:bottom="1281" w:left="1417" w:header="851" w:footer="992" w:gutter="0"/>
          <w:pgNumType w:fmt="numberInDash"/>
          <w:cols w:space="0" w:num="1"/>
          <w:docGrid w:type="lines" w:linePitch="312" w:charSpace="0"/>
        </w:sectPr>
      </w:pPr>
      <w:r>
        <w:pict>
          <v:shape id="_x0000_s1089" o:spid="_x0000_s1089" o:spt="202" type="#_x0000_t202" style="position:absolute;left:0pt;margin-left:-79.5pt;margin-top:170pt;height:263.1pt;width:613.65pt;z-index:-25165721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217.53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61.33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6.33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8.98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294.17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294.17</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1123"/>
        <w:gridCol w:w="65"/>
        <w:gridCol w:w="65"/>
        <w:gridCol w:w="2034"/>
        <w:gridCol w:w="1280"/>
        <w:gridCol w:w="1280"/>
        <w:gridCol w:w="814"/>
        <w:gridCol w:w="814"/>
        <w:gridCol w:w="814"/>
        <w:gridCol w:w="814"/>
        <w:gridCol w:w="816"/>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bCs/>
                <w:color w:val="000000"/>
                <w:kern w:val="0"/>
                <w:sz w:val="22"/>
              </w:rPr>
              <w:t>29.42</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bCs/>
                <w:color w:val="000000"/>
                <w:kern w:val="0"/>
                <w:sz w:val="22"/>
              </w:rPr>
              <w:t>29.42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一般公共服务支出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组织事务</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行政运行</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184.83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2013299</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其他组织事务支出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32.70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32.70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61.33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21.49</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归口管理的行政单位离退休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3.10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机关事业单位基本养老保险缴费支出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18.39</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抚恤</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2080899</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其他优抚支出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住房公积金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bCs/>
                <w:color w:val="000000"/>
                <w:kern w:val="0"/>
                <w:sz w:val="22"/>
              </w:rPr>
              <w:t>29.42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bCs/>
                <w:color w:val="000000"/>
                <w:kern w:val="0"/>
                <w:sz w:val="22"/>
              </w:rPr>
              <w:t>29.42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组织事务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184.83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184.83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其他组织事务支出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32.70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32.70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3.10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3.10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抚恤</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2080899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其他优抚支出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784"/>
        <w:gridCol w:w="2824"/>
        <w:gridCol w:w="438"/>
        <w:gridCol w:w="745"/>
        <w:gridCol w:w="828"/>
        <w:gridCol w:w="554"/>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2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2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3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389"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8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82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3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4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5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82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2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5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217.53</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217.53</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61.33</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61.33</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6.33</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8.98</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7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28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294.17</w:t>
            </w:r>
          </w:p>
        </w:tc>
        <w:tc>
          <w:tcPr>
            <w:tcW w:w="5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98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9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b/>
                <w:color w:val="000000"/>
                <w:sz w:val="22"/>
              </w:rPr>
            </w:pPr>
            <w:r>
              <w:rPr>
                <w:rFonts w:ascii="Arial" w:hAnsi="Arial" w:eastAsia="宋体" w:cs="Arial"/>
                <w:color w:val="000000"/>
                <w:kern w:val="0"/>
                <w:sz w:val="20"/>
                <w:szCs w:val="20"/>
              </w:rPr>
              <w:t>294.17</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b/>
                <w:color w:val="000000"/>
                <w:sz w:val="22"/>
              </w:rPr>
            </w:pPr>
            <w:r>
              <w:rPr>
                <w:rFonts w:ascii="Arial" w:hAnsi="Arial" w:eastAsia="宋体" w:cs="Arial"/>
                <w:color w:val="000000"/>
                <w:kern w:val="0"/>
                <w:sz w:val="20"/>
                <w:szCs w:val="20"/>
              </w:rPr>
              <w:t>294.17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一般公共服务支出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217.53</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217.53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组织事务</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217.53</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217.53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2013201</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行政运行</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184.83</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184.83</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2013299</w:t>
            </w:r>
          </w:p>
        </w:tc>
        <w:tc>
          <w:tcPr>
            <w:tcW w:w="16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其他组织事务支出</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32.7</w:t>
            </w:r>
          </w:p>
        </w:tc>
        <w:tc>
          <w:tcPr>
            <w:tcW w:w="2329"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32.7</w:t>
            </w:r>
          </w:p>
        </w:tc>
        <w:tc>
          <w:tcPr>
            <w:tcW w:w="23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69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2329" w:type="dxa"/>
            <w:tcBorders>
              <w:top w:val="nil"/>
              <w:left w:val="nil"/>
              <w:bottom w:val="single" w:color="auto"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61.33</w:t>
            </w:r>
          </w:p>
        </w:tc>
        <w:tc>
          <w:tcPr>
            <w:tcW w:w="2329" w:type="dxa"/>
            <w:tcBorders>
              <w:top w:val="nil"/>
              <w:left w:val="nil"/>
              <w:bottom w:val="single" w:color="auto" w:sz="4" w:space="0"/>
              <w:right w:val="single" w:color="000000"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61.33</w:t>
            </w:r>
          </w:p>
        </w:tc>
        <w:tc>
          <w:tcPr>
            <w:tcW w:w="2329"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21.49</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21.49</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2080501</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归口管理的行政单位离退休</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3.1</w:t>
            </w:r>
            <w:r>
              <w:rPr>
                <w:rFonts w:hint="eastAsia" w:ascii="Arial" w:hAnsi="Arial" w:eastAsia="宋体" w:cs="Arial"/>
                <w:color w:val="000000"/>
                <w:kern w:val="0"/>
                <w:sz w:val="20"/>
                <w:szCs w:val="20"/>
              </w:rPr>
              <w:t>0</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3.1</w:t>
            </w:r>
            <w:r>
              <w:rPr>
                <w:rFonts w:hint="eastAsia" w:ascii="Arial" w:hAnsi="Arial" w:eastAsia="宋体" w:cs="Arial"/>
                <w:color w:val="000000"/>
                <w:kern w:val="0"/>
                <w:sz w:val="20"/>
                <w:szCs w:val="20"/>
              </w:rPr>
              <w:t>0</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机关事业单位基本养老保险缴费支出</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18.39</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18.39</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20808</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抚恤</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39.84</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39.84</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2080899</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其他优抚支出</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39.84</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39.84</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6.33</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6.33</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6.33</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6.33</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行政单位医疗</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6.33</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6.33</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8.98</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8.98</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8.98</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8.98</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16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住房公积金</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8.98</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right"/>
              <w:textAlignment w:val="bottom"/>
              <w:rPr>
                <w:rFonts w:ascii="宋体" w:hAnsi="宋体" w:eastAsia="宋体" w:cs="宋体"/>
                <w:color w:val="000000"/>
                <w:sz w:val="22"/>
              </w:rPr>
            </w:pPr>
            <w:r>
              <w:rPr>
                <w:rFonts w:ascii="Arial" w:hAnsi="Arial" w:eastAsia="宋体" w:cs="Arial"/>
                <w:color w:val="000000"/>
                <w:kern w:val="0"/>
                <w:sz w:val="20"/>
                <w:szCs w:val="20"/>
              </w:rPr>
              <w:t>8.98</w:t>
            </w:r>
          </w:p>
        </w:tc>
        <w:tc>
          <w:tcPr>
            <w:tcW w:w="23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990" w:type="dxa"/>
            <w:gridSpan w:val="7"/>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注：本表反映部门本年度一般公共预算财政拨款支出情况。</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158.15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56.53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158.15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51.86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9.12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44.86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12.28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27.74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18.39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6.91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6.33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1.30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8.98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8.20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79.49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3.06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3.28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0.22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76.12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0.09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2.25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9.87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3.33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627" w:hRule="atLeast"/>
          <w:jc w:val="center"/>
        </w:trPr>
        <w:tc>
          <w:tcPr>
            <w:tcW w:w="2828" w:type="dxa"/>
            <w:gridSpan w:val="2"/>
            <w:tcBorders>
              <w:top w:val="nil"/>
              <w:left w:val="single" w:color="000000" w:sz="4" w:space="0"/>
              <w:bottom w:val="nil"/>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nil"/>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237.64</w:t>
            </w:r>
          </w:p>
        </w:tc>
        <w:tc>
          <w:tcPr>
            <w:tcW w:w="5657" w:type="dxa"/>
            <w:gridSpan w:val="5"/>
            <w:tcBorders>
              <w:top w:val="nil"/>
              <w:left w:val="nil"/>
              <w:bottom w:val="nil"/>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nil"/>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56.53</w:t>
            </w:r>
          </w:p>
        </w:tc>
      </w:tr>
      <w:tr>
        <w:tblPrEx>
          <w:tblCellMar>
            <w:top w:w="0" w:type="dxa"/>
            <w:left w:w="0" w:type="dxa"/>
            <w:bottom w:w="0" w:type="dxa"/>
            <w:right w:w="0" w:type="dxa"/>
          </w:tblCellMar>
        </w:tblPrEx>
        <w:trPr>
          <w:trHeight w:val="317" w:hRule="atLeast"/>
          <w:jc w:val="center"/>
        </w:trPr>
        <w:tc>
          <w:tcPr>
            <w:tcW w:w="10000" w:type="dxa"/>
            <w:gridSpan w:val="9"/>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注：本表反映部门本年度一般公共预算财政拨款基本支出明细情况。</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5.48</w:t>
            </w:r>
          </w:p>
        </w:tc>
        <w:tc>
          <w:tcPr>
            <w:tcW w:w="1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5.00</w:t>
            </w: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5.00</w:t>
            </w:r>
          </w:p>
        </w:tc>
        <w:tc>
          <w:tcPr>
            <w:tcW w:w="1572" w:type="dxa"/>
            <w:tcBorders>
              <w:top w:val="nil"/>
              <w:left w:val="nil"/>
              <w:bottom w:val="single" w:color="000000" w:sz="4" w:space="0"/>
              <w:right w:val="single" w:color="auto"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0.48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2.46</w:t>
            </w:r>
          </w:p>
        </w:tc>
        <w:tc>
          <w:tcPr>
            <w:tcW w:w="1686"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2.25</w:t>
            </w: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2.25</w:t>
            </w:r>
          </w:p>
        </w:tc>
        <w:tc>
          <w:tcPr>
            <w:tcW w:w="1572" w:type="dxa"/>
            <w:tcBorders>
              <w:top w:val="nil"/>
              <w:left w:val="nil"/>
              <w:bottom w:val="single" w:color="auto" w:sz="4" w:space="0"/>
              <w:right w:val="single" w:color="auto"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0.22</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31"/>
        <w:gridCol w:w="59"/>
        <w:gridCol w:w="5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nil"/>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10" w:type="dxa"/>
            <w:gridSpan w:val="10"/>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sz w:val="22"/>
              </w:rPr>
              <w:t>本部门本年度无相关收入（或支出、收支及结转结余等）情况，按要求空表列示。</w:t>
            </w:r>
          </w:p>
        </w:tc>
      </w:tr>
    </w:tbl>
    <w:p>
      <w:r>
        <w:br w:type="page"/>
      </w:r>
    </w:p>
    <w:tbl>
      <w:tblPr>
        <w:tblStyle w:val="6"/>
        <w:tblW w:w="9915" w:type="dxa"/>
        <w:jc w:val="center"/>
        <w:tblLayout w:type="autofit"/>
        <w:tblCellMar>
          <w:top w:w="0" w:type="dxa"/>
          <w:left w:w="0" w:type="dxa"/>
          <w:bottom w:w="0" w:type="dxa"/>
          <w:right w:w="0" w:type="dxa"/>
        </w:tblCellMar>
      </w:tblPr>
      <w:tblGrid>
        <w:gridCol w:w="1168"/>
        <w:gridCol w:w="67"/>
        <w:gridCol w:w="67"/>
        <w:gridCol w:w="4366"/>
        <w:gridCol w:w="872"/>
        <w:gridCol w:w="1688"/>
        <w:gridCol w:w="1687"/>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nil"/>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nil"/>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nil"/>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915" w:type="dxa"/>
            <w:gridSpan w:val="7"/>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本部门本年度无相关收入（或支出、收支及结转结余等）情况，按要求空表列示。</w:t>
            </w:r>
          </w:p>
        </w:tc>
      </w:tr>
    </w:tbl>
    <w:p/>
    <w:p/>
    <w:p/>
    <w:p/>
    <w:p/>
    <w:p/>
    <w:p/>
    <w:p>
      <w:r>
        <w:br w:type="page"/>
      </w:r>
    </w:p>
    <w:p>
      <w:r>
        <w:pict>
          <v:rect id="_x0000_s1105" o:spid="_x0000_s1105" o:spt="1" style="position:absolute;left:0pt;margin-left:-70.5pt;margin-top:-85.25pt;height:841.15pt;width:595.1pt;z-index:251671552;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2EC1D"/>
    <w:multiLevelType w:val="singleLevel"/>
    <w:tmpl w:val="9B62EC1D"/>
    <w:lvl w:ilvl="0" w:tentative="0">
      <w:start w:val="3"/>
      <w:numFmt w:val="chineseCounting"/>
      <w:suff w:val="nothing"/>
      <w:lvlText w:val="%1、"/>
      <w:lvlJc w:val="left"/>
      <w:rPr>
        <w:rFonts w:hint="eastAsia"/>
      </w:rPr>
    </w:lvl>
  </w:abstractNum>
  <w:abstractNum w:abstractNumId="1">
    <w:nsid w:val="F2C6B743"/>
    <w:multiLevelType w:val="singleLevel"/>
    <w:tmpl w:val="F2C6B743"/>
    <w:lvl w:ilvl="0" w:tentative="0">
      <w:start w:val="2"/>
      <w:numFmt w:val="decimal"/>
      <w:suff w:val="space"/>
      <w:lvlText w:val="%1."/>
      <w:lvlJc w:val="left"/>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6AAF1C96"/>
    <w:rsid w:val="0007063E"/>
    <w:rsid w:val="00071ADD"/>
    <w:rsid w:val="00073392"/>
    <w:rsid w:val="00073F4E"/>
    <w:rsid w:val="00086C89"/>
    <w:rsid w:val="000A39FB"/>
    <w:rsid w:val="00111BBF"/>
    <w:rsid w:val="00117746"/>
    <w:rsid w:val="00163F95"/>
    <w:rsid w:val="00180A9A"/>
    <w:rsid w:val="001829C0"/>
    <w:rsid w:val="00184809"/>
    <w:rsid w:val="00192112"/>
    <w:rsid w:val="001B0127"/>
    <w:rsid w:val="001C12D5"/>
    <w:rsid w:val="001C69F7"/>
    <w:rsid w:val="001E45D3"/>
    <w:rsid w:val="002650EC"/>
    <w:rsid w:val="0028696F"/>
    <w:rsid w:val="002A6C46"/>
    <w:rsid w:val="002C19B5"/>
    <w:rsid w:val="00371224"/>
    <w:rsid w:val="003A4EE8"/>
    <w:rsid w:val="00442CC2"/>
    <w:rsid w:val="00446244"/>
    <w:rsid w:val="00463A4D"/>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B64D8"/>
    <w:rsid w:val="007C06CA"/>
    <w:rsid w:val="008163FB"/>
    <w:rsid w:val="0082605B"/>
    <w:rsid w:val="00855C36"/>
    <w:rsid w:val="00857DBE"/>
    <w:rsid w:val="008701BC"/>
    <w:rsid w:val="00883D92"/>
    <w:rsid w:val="008A5362"/>
    <w:rsid w:val="008F21F1"/>
    <w:rsid w:val="008F221B"/>
    <w:rsid w:val="008F5A2D"/>
    <w:rsid w:val="00921602"/>
    <w:rsid w:val="009238BD"/>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8795EDC"/>
    <w:rsid w:val="0961633C"/>
    <w:rsid w:val="14684269"/>
    <w:rsid w:val="19617D58"/>
    <w:rsid w:val="2D6B5AC4"/>
    <w:rsid w:val="2DA37461"/>
    <w:rsid w:val="2EC44214"/>
    <w:rsid w:val="31A20DF5"/>
    <w:rsid w:val="31C2036A"/>
    <w:rsid w:val="320D02A5"/>
    <w:rsid w:val="348E566F"/>
    <w:rsid w:val="3A226944"/>
    <w:rsid w:val="3AEE6A48"/>
    <w:rsid w:val="3C1620AA"/>
    <w:rsid w:val="3D8F080F"/>
    <w:rsid w:val="40295097"/>
    <w:rsid w:val="44CE1FA4"/>
    <w:rsid w:val="487F73ED"/>
    <w:rsid w:val="4A347EAE"/>
    <w:rsid w:val="52472B82"/>
    <w:rsid w:val="52600405"/>
    <w:rsid w:val="529B4319"/>
    <w:rsid w:val="543F51B1"/>
    <w:rsid w:val="57773DD6"/>
    <w:rsid w:val="578B79AB"/>
    <w:rsid w:val="59D57061"/>
    <w:rsid w:val="5CCD3FD5"/>
    <w:rsid w:val="61FA5F9D"/>
    <w:rsid w:val="64CD6910"/>
    <w:rsid w:val="6789158D"/>
    <w:rsid w:val="67D81BA4"/>
    <w:rsid w:val="6A2020D5"/>
    <w:rsid w:val="6AAF1C96"/>
    <w:rsid w:val="6E3D108A"/>
    <w:rsid w:val="75681757"/>
    <w:rsid w:val="75A346A8"/>
    <w:rsid w:val="79B9382C"/>
    <w:rsid w:val="7B043B76"/>
    <w:rsid w:val="7C041A6A"/>
    <w:rsid w:val="7DA64B0E"/>
    <w:rsid w:val="7E3275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8"/>
    <customShpInfo spid="_x0000_s1039"/>
    <customShpInfo spid="_x0000_s1037"/>
    <customShpInfo spid="_x0000_s1043"/>
    <customShpInfo spid="_x0000_s1111"/>
    <customShpInfo spid="_x0000_s1107"/>
    <customShpInfo spid="_x0000_s1108"/>
    <customShpInfo spid="_x0000_s1106"/>
    <customShpInfo spid="_x0000_s1113"/>
    <customShpInfo spid="_x0000_s1053"/>
    <customShpInfo spid="_x0000_s1061"/>
    <customShpInfo spid="_x0000_s1062"/>
    <customShpInfo spid="_x0000_s1116"/>
    <customShpInfo spid="_x0000_s1117"/>
    <customShpInfo spid="_x0000_s1115"/>
    <customShpInfo spid="_x0000_s1064"/>
    <customShpInfo spid="_x0000_s1065"/>
    <customShpInfo spid="_x0000_s1063"/>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32</Pages>
  <Words>1702</Words>
  <Characters>9706</Characters>
  <Lines>80</Lines>
  <Paragraphs>22</Paragraphs>
  <TotalTime>0</TotalTime>
  <ScaleCrop>false</ScaleCrop>
  <LinksUpToDate>false</LinksUpToDate>
  <CharactersWithSpaces>11386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2021-06-25T07:06:00Z</dcterms:created>
  <dc:creator>王明新TIAD</dc:creator>
  <cp:lastModifiedBy>lenovo</cp:lastModifiedBy>
  <cp:lastPrinted>2020-07-30T02:37:00Z</cp:lastPrinted>
  <dcterms:modified xsi:type="dcterms:W3CDTF">2022-03-16T10:00:32Z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FA04666134824F1A9F2114917C4942BF</vt:lpwstr>
  </property>
</Properties>
</file>