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12700" b="825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保定市满城区发展改革局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保定市满城区发展改革局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12700" r="6350" b="0"/>
                <wp:wrapNone/>
                <wp:docPr id="21"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203"/>
                        </a:xfrm>
                      </wpg:grpSpPr>
                      <wps:wsp>
                        <wps:cNvPr id="19" name="矩形 13"/>
                        <wps:cNvSpPr/>
                        <wps:spPr>
                          <a:xfrm>
                            <a:off x="4551" y="52615"/>
                            <a:ext cx="8546" cy="1175"/>
                          </a:xfrm>
                          <a:prstGeom prst="rect">
                            <a:avLst/>
                          </a:prstGeom>
                          <a:solidFill>
                            <a:srgbClr val="96DA9D"/>
                          </a:solidFill>
                          <a:ln w="25400">
                            <a:noFill/>
                          </a:ln>
                        </wps:spPr>
                        <wps:bodyPr anchor="ctr" upright="1"/>
                      </wps:wsp>
                      <wps:wsp>
                        <wps:cNvPr id="2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2DzDVNsA&#10;AAALAQAADwAAAAAAAAABACAAAAAiAAAAZHJzL2Rvd25yZXYueG1sUEsBAhQAFAAAAAgAh07iQGUg&#10;GB3HAgAAD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eFZvz7gAAADb&#10;AAAADwAAAGRycy9kb3ducmV2LnhtbEVPTWsCMRC9F/ofwgi91ckWWnQ1ehAKPRWq9eBt2Iybxc1k&#10;SeK6/femUOhtHu9z1tvJ92rkmLogBqq5BsXSBNtJa+D78P68AJUyiaU+CBv44QTbzePDmmobbvLF&#10;4z63qoRIqsmAy3moEVPj2FOah4GlcOcQPeUCY4s20q2E+x5ftH5DT52UBkcD7xw3l/3VG8DIEV2c&#10;zvGUxitWn/r42lyMeZpVegUq85T/xX/uD1vmL+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Zvz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YQFe7wAAADb&#10;AAAADwAAAGRycy9kb3ducmV2LnhtbEVPy2rCQBTdF/yH4Qrd1YkugqSZiBSKDyhSTRF3l8w1E8zc&#10;CZnRpP36zqLQ5eG889VoW/Gg3jeOFcxnCQjiyumGawXl6f1lCcIHZI2tY1LwTR5WxeQpx0y7gT/p&#10;cQy1iCHsM1RgQugyKX1lyKKfuY44clfXWwwR9rXUPQ4x3LZykSSptNhwbDDY0Zuh6na8WwWH0lw2&#10;uKez/djfvsp1g+nPLlXqeTpPXkEEGsO/+M+91QoWcX3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BXu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12700" r="1270" b="0"/>
                <wp:wrapNone/>
                <wp:docPr id="18"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203"/>
                        </a:xfrm>
                      </wpg:grpSpPr>
                      <wps:wsp>
                        <wps:cNvPr id="16" name="矩形 13"/>
                        <wps:cNvSpPr/>
                        <wps:spPr>
                          <a:xfrm>
                            <a:off x="4551" y="52615"/>
                            <a:ext cx="8546" cy="1175"/>
                          </a:xfrm>
                          <a:prstGeom prst="rect">
                            <a:avLst/>
                          </a:prstGeom>
                          <a:solidFill>
                            <a:srgbClr val="96DA9D"/>
                          </a:solidFill>
                          <a:ln w="25400">
                            <a:noFill/>
                          </a:ln>
                        </wps:spPr>
                        <wps:bodyPr anchor="ctr" upright="1"/>
                      </wps:wsp>
                      <wps:wsp>
                        <wps:cNvPr id="1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ezVw+2wAAAAsB&#10;AAAPAAAAAAAAAAEAIAAAACIAAABkcnMvZG93bnJldi54bWxQSwECFAAUAAAACACHTuJAr9icncMC&#10;AAAO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Ccn7vbgAAADb&#10;AAAADwAAAGRycy9kb3ducmV2LnhtbEVPPWvDMBDdC/kP4gLd6pMLDcWJkiEQ6FRomgzdDutimVgn&#10;IymO+++rQqHbPd7nbXazH9TEMfVBDNSVBsXSBttLZ+D0eXh6BZUyiaUhCBv45gS77eJhQ40Nd/ng&#10;6Zg7VUIkNWTA5Tw2iKl17ClVYWQp3CVET7nA2KGNdC/hfsBnrVfoqZfS4GjkveP2erx5Axg5oovz&#10;JX6l6Yb1uz6/tFdjHpe1XoPKPOd/8Z/7zZb5K/j9pRyA2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n7v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2AFXsrsAAADb&#10;AAAADwAAAGRycy9kb3ducmV2LnhtbEVPS4vCMBC+L/gfwgje1lQPXalGWQTxASKrlWVvQzPbFJtJ&#10;aeJrf71ZELzNx/ecyexma3Gh1leOFQz6CQjiwumKSwX5YfE+AuEDssbaMSm4k4fZtPM2wUy7K3/R&#10;ZR9KEUPYZ6jAhNBkUvrCkEXfdw1x5H5dazFE2JZSt3iN4baWwyRJpcWKY4PBhuaGitP+bBXscvOz&#10;xA192+3mdMw/K0z/1qlSve4gGYMIdAsv8dO90nH+B/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FXsr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3810" b="190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5"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rDqd4AAAANAQAADwAAAAAAAAABACAAAAAiAAAAZHJzL2Rvd25yZXYueG1s&#10;UEsBAhQAFAAAAAgAh07iQKMaXve5AQAAWwMAAA4AAAAAAAAAAQAgAAAALQEAAGRycy9lMm9Eb2Mu&#10;eG1sUEsFBgAAAAAGAAYAWQEAAFgFA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381375" cy="593090"/>
                <wp:effectExtent l="2540" t="12700" r="14605" b="0"/>
                <wp:wrapNone/>
                <wp:docPr id="6" name="组合 15"/>
                <wp:cNvGraphicFramePr/>
                <a:graphic xmlns:a="http://schemas.openxmlformats.org/drawingml/2006/main">
                  <a:graphicData uri="http://schemas.microsoft.com/office/word/2010/wordprocessingGroup">
                    <wpg:wgp>
                      <wpg:cNvGrpSpPr/>
                      <wpg:grpSpPr>
                        <a:xfrm>
                          <a:off x="0" y="0"/>
                          <a:ext cx="3381375" cy="593090"/>
                          <a:chOff x="4551" y="52615"/>
                          <a:chExt cx="8546" cy="1398203"/>
                        </a:xfrm>
                      </wpg:grpSpPr>
                      <wps:wsp>
                        <wps:cNvPr id="4" name="矩形 13"/>
                        <wps:cNvSpPr/>
                        <wps:spPr>
                          <a:xfrm>
                            <a:off x="4551" y="52615"/>
                            <a:ext cx="8546" cy="1175"/>
                          </a:xfrm>
                          <a:prstGeom prst="rect">
                            <a:avLst/>
                          </a:prstGeom>
                          <a:solidFill>
                            <a:srgbClr val="96DA9D"/>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66.25pt;mso-position-vertical-relative:page;z-index:251662336;mso-width-relative:page;mso-height-relative:page;" coordorigin="4551,52615" coordsize="8546,1398203" o:gfxdata="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qmPrc9sAAAAL&#10;AQAADwAAAAAAAAABACAAAAAiAAAAZHJzL2Rvd25yZXYueG1sUEsBAhQAFAAAAAgAh07iQFpAVqLE&#10;AgAAC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根据满城县人民政府办公室关于印发《满城县发展改革局主要职责内设机构和人员编制规定》的通知（满政办[2010]164号），现将我局部门主要职责说明如下：</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一）拟定并组织实施全县国民经济和社会发展战略、中长期规划和年度计划；提出全县国民经济发展和优化重大经济结构的目标和政策的建议；提出运用各种经济手段和政策的建议；受县政府委托向县人大作国民经济和社会发展计划的报告。</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 xml:space="preserve">（二）研究分析经济形势和发展情况，进行区域经济的预测、预警；研究涉及全县经济安全负责日常经济运行的调节，组织解决经济运行中的有关重大问题。的重要问题，提出区域经济调节政策的建议，综合协调经济社会发展； </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（三）负责汇总和分析财政、金融等方面的情况，研究贯彻国家财政政策、货币政策以及其它调控政策的措施；组织实施产业政策，监督检查产业政策的执行；受县政府委托对相关投融资机构进行宏观指导。</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四）负责全县经济体制改革，组织拟订综合性经济体制改革方案，协调有关专项经济体制改革方案；提出完善社会主义市场经济体制、以改革开放促进发展的建议；指导协调非国有经济体制改革；参与筛选推荐企业上市工作，负责对上市公司的监管工作；参与公用事业、农业、科技、体育、文化教育等事业单位的改制工作。</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五）研究提出全社会固定资产投资总规模，规划重大项目布局；安排县财政性建设资金，指导和监督政策性贷款的使用方向，引导民间资金用于固定资产投资的方向；安排国家、省、市拨款的建设项目和县重点建设项目。</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（六）研究提出全县利用外资和境外投资的发展战略、总量平衡及结构优化的目标和政策；指导和监督国外贷款建设资金的使用。安排利用外资和境外资源开发类与大额用汇投资项目。</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七）推进产业结构战略性调整和升级，提出国民经济重要产业的发展战略和规划；研究并协调农业和农村经济社会发展的有关重大问题，衔接农村专项规划和政策；拟订以工代赈扶贫规划和计划，组织实施行业技术法规和行业标准；拟订能源发展规划；推动高技术产业发展，实施技术进步和产业现代化的宏观指导；指导引进的重大技术和重大成套装备的消化创新工作。</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（八）研究分析区域经济和城镇化发展情况，提出区域经济协调发展的政策建议，推进城镇化建设；负责地区经济合作的统筹协调和指导。</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九）研究分析国内外两个市场的供求状况，负责县内重要商品总量平衡和宏观调控；编制重要农产品、工业品和原材料进出口总量计划，监督计划执行情况，并根据经济运行情况对进出口总量计划进行调整；管理粮食、棉花、食糖、石油及药品等重要物资和商品的县级储备；研究提出现代物流业发展规划，协调流通体制改革的重大问题，规划和指导全县服务业的建设和发展。</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（十）做好人口和计划生育、科学技术、教育、文化、卫生等社会事业以及国防建设与国民经济的衔接平衡；提出经济与社会协调发展、相互促进的政策，协调社会事业发展的重大问题。</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（十一）推进可持续发展战略，研究拟订资源节约综合利用规划，编制生态建设规划，提出资源节约综合利用的政策建议；组织协调环保产业及冶金矿产资源管理工作。</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（十三）研究提出促进就业、调整收入分配、完善社会保障与经济协调发展的政策，协调就业、收入分配和社会保障的重大问题。</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（十四）参与国民经济和社会发展以及经济体制改革、对外开放有关地方法规、规章的起草和组织实施。</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（十五）指导中小企业改革和发展；对各种经济成分的企业实行宏观管理和指导，负责综合协调县域经济社会发展和经济运行调节，加强对各类企业的指导服务；组织管理企业内部的法律顾问工作。</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六）承担经济体制改革工作职能；承担行业规划、产业政策制定、经济运行调节、技术改造、投资管理、国有企业改制、多种经济成分的企业的宏观指导及重要物资、原材料的协调调度和资源节约与综合利用管理职能。</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七）加快推进投融资体制改革。在国家宏观调控下更好地发挥市场机制对经济的推进作用，确立企业的投资主体地位，规范政府投资行为，逐步建立投资主体自主决策、银行独立审贷、融资方式多样、中介服务规范、政府调控有效的新型投融资体制。将基本建设投资管理和技术改造投资管理整合为固定资产投资管理，把投资宏观管的重点转到优化投资结构和产业结构、搞好重大项目布局、防止重复建设、提高投资效益上来。进一步缩小投资审批范围，对企业使用非政府投资建设的符合国家产业政策、非重大项目和非限制类项目，逐步实行登记、备案制。对必须经行政审批的投资项目，要减少审批环节，规范审批程序，设定审批时限，提高审批效率和透明度。完善专家咨询论证制度，提高投资审批的科学性。建立政府投资项目的监督机制，完善体制审批责任制。</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八）强化区域经济调节中的总体指导和综合协调，切实减少微观管理事务；加强对经济社会发展、改革和稳定的重大问题的研究，综合协调经济社会发展和改革开放的全局性工作；加强对实施可持续发展战略的指导和重大问题协调，促进经济与资源、环境的协调发展；按照走新型工业化道路的要求，加强对工业发展的指导，并组织实施产业政策，抓好能源发展战略、规划的拟订和战略储备工作；加强对日常经济运行中突出和重大问题的协调。</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十九）强化研究拟订发展战略、规划和宏观政策的职责，切实减少行政审批和对经济活动的直接行政干预；除负责省、市审批项目的审核申报、审批县级及县以上财政性投资和平衡建设条件的项目，以及国家限制类项目和有关法律、法规规定需要审批的项目除外，均不再进行审批；将对竞争性领域的行业管理转变为宏观指导，促进行业自律。</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（二十）强化综合协调县域经济社会发展和经济运行调节，加强对各类企业的指导服务。</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二十一）开展对重点用能企业的节能监察；开展对公共机构和公共建筑节能监察；开展对新上项目、工业锅炉、重点用能企业主要耗能设备专项监察；加强对规模以上、年耗标准煤5000吨以下工业企业的监控和监察；下大力落实好节能管理的基本制度；加快节能信息网络体系建设；积极开展节能新产品、新技术推广应用工作；积极探索和开展其他领域的节能监察。</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（二十二）负责工业和信息化和整合工作。</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二十三）研究提出全县价格总水平年度调控计划和中长期调控目标，监测、预测全县价格总水平及其结构变动趋势，提出调控意见和建议；依据价权分工目录，研究提出权限范围内的价格（收费）改革的年度、中长期计划及调整方案，拟订价格（收费）管理规定和政策，经批准后组织实施；对市场实行政府定价或政府指导价的商品价格实施直接管理，对市场调节的商品和服务价格实行间接调控，运用价格调节基金平抑市场价格。</w:t>
      </w:r>
    </w:p>
    <w:p>
      <w:pPr>
        <w:pStyle w:val="33"/>
        <w:spacing w:line="520" w:lineRule="exact"/>
        <w:ind w:firstLine="640" w:firstLineChars="200"/>
        <w:jc w:val="both"/>
        <w:rPr>
          <w:rFonts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t>（二十四）承办县政府交办的其他事项。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保定市满城区发展改革局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vAlign w:val="center"/>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80" w:type="dxa"/>
            <w:gridSpan w:val="4"/>
            <w:tcBorders>
              <w:left w:val="nil"/>
              <w:bottom w:val="nil"/>
              <w:right w:val="nil"/>
            </w:tcBorders>
          </w:tcPr>
          <w:p>
            <w:pPr>
              <w:spacing w:after="0" w:line="560" w:lineRule="exact"/>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r>
        <w:drawing>
          <wp:anchor distT="0" distB="0" distL="114300" distR="114300" simplePos="0" relativeHeight="251664384" behindDoc="1" locked="0" layoutInCell="1" allowOverlap="1">
            <wp:simplePos x="0" y="0"/>
            <wp:positionH relativeFrom="column">
              <wp:posOffset>-985520</wp:posOffset>
            </wp:positionH>
            <wp:positionV relativeFrom="paragraph">
              <wp:posOffset>-1323340</wp:posOffset>
            </wp:positionV>
            <wp:extent cx="7571105" cy="10680065"/>
            <wp:effectExtent l="0" t="0" r="3175" b="317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-989965</wp:posOffset>
                </wp:positionH>
                <wp:positionV relativeFrom="paragraph">
                  <wp:posOffset>2156460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7.95pt;margin-top:169.8pt;height:159.1pt;width:596.2pt;z-index:251663360;mso-width-relative:page;mso-height-relative:page;" filled="f" stroked="f" coordsize="21600,21600" o:gfxdata="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vz7PN4AAAANAQAADwAAAAAAAAABACAAAAAiAAAAZHJzL2Rvd25yZXYueG1sUEsB&#10;AhQAFAAAAAgAh07iQC6ktL62AQAAWQ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12700" r="1905" b="0"/>
                      <wp:wrapNone/>
                      <wp:docPr id="24"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22" name="矩形 13"/>
                              <wps:cNvSpPr/>
                              <wps:spPr>
                                <a:xfrm>
                                  <a:off x="4551" y="52615"/>
                                  <a:ext cx="8546" cy="1175"/>
                                </a:xfrm>
                                <a:prstGeom prst="rect">
                                  <a:avLst/>
                                </a:prstGeom>
                                <a:solidFill>
                                  <a:srgbClr val="96DA9D"/>
                                </a:solidFill>
                                <a:ln w="25400">
                                  <a:noFill/>
                                </a:ln>
                              </wps:spPr>
                              <wps:bodyPr anchor="ctr" upright="1"/>
                            </wps:wsp>
                            <wps:wsp>
                              <wps:cNvPr id="2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CvFSPcAAAADQEAAA8A&#10;AAAAAAAAAQAgAAAAIgAAAGRycy9kb3ducmV2LnhtbFBLAQIUABQAAAAIAIdO4kDtgBPHvgIAAA0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uJ43A7oAAADb&#10;AAAADwAAAGRycy9kb3ducmV2LnhtbEWPwWrDMBBE74X8g9hAbs3KhpTiRMmhUOipkLQ99LZYG8vE&#10;WhlJcdy/jwqFHoeZecPsDrMf1MQx9UEMVGsNiqUNtpfOwOfH6+MzqJRJLA1B2MAPJzjsFw87amy4&#10;yZGnU+5UgUhqyIDLeWwQU+vYU1qHkaV45xA95SJjhzbSrcD9gLXWT+ipl7LgaOQXx+3ldPUGMHJE&#10;F+dz/E7TFat3/bVpL8aslpXegso85//wX/vNGqhr+P1Sfg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njcD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VabDL0AAADb&#10;AAAADwAAAGRycy9kb3ducmV2LnhtbEWPQWsCMRSE74L/ITyhN81qY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psM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22084.54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2901.86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4159.24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12165.40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397.69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38.60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22084.54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19662.78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2421.76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22084.54</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22084.54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2" w:type="dxa"/>
        <w:tblInd w:w="0" w:type="dxa"/>
        <w:tblLayout w:type="fixed"/>
        <w:tblCellMar>
          <w:top w:w="0" w:type="dxa"/>
          <w:left w:w="0" w:type="dxa"/>
          <w:bottom w:w="0" w:type="dxa"/>
          <w:right w:w="0" w:type="dxa"/>
        </w:tblCellMar>
      </w:tblPr>
      <w:tblGrid>
        <w:gridCol w:w="335"/>
        <w:gridCol w:w="179"/>
        <w:gridCol w:w="520"/>
        <w:gridCol w:w="2683"/>
        <w:gridCol w:w="380"/>
        <w:gridCol w:w="260"/>
        <w:gridCol w:w="414"/>
        <w:gridCol w:w="141"/>
        <w:gridCol w:w="260"/>
        <w:gridCol w:w="544"/>
        <w:gridCol w:w="141"/>
        <w:gridCol w:w="131"/>
        <w:gridCol w:w="414"/>
        <w:gridCol w:w="141"/>
        <w:gridCol w:w="260"/>
        <w:gridCol w:w="44"/>
        <w:gridCol w:w="511"/>
        <w:gridCol w:w="19"/>
        <w:gridCol w:w="241"/>
        <w:gridCol w:w="674"/>
        <w:gridCol w:w="509"/>
        <w:gridCol w:w="141"/>
      </w:tblGrid>
      <w:tr>
        <w:tblPrEx>
          <w:tblCellMar>
            <w:top w:w="0" w:type="dxa"/>
            <w:left w:w="0" w:type="dxa"/>
            <w:bottom w:w="0" w:type="dxa"/>
            <w:right w:w="0" w:type="dxa"/>
          </w:tblCellMar>
        </w:tblPrEx>
        <w:trPr>
          <w:gridAfter w:val="1"/>
          <w:wAfter w:w="141" w:type="dxa"/>
          <w:trHeight w:val="770" w:hRule="atLeast"/>
        </w:trPr>
        <w:tc>
          <w:tcPr>
            <w:tcW w:w="8801" w:type="dxa"/>
            <w:gridSpan w:val="2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12700" r="1905" b="0"/>
                      <wp:wrapNone/>
                      <wp:docPr id="27"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25" name="矩形 13"/>
                              <wps:cNvSpPr/>
                              <wps:spPr>
                                <a:xfrm>
                                  <a:off x="4551" y="52615"/>
                                  <a:ext cx="8546" cy="1175"/>
                                </a:xfrm>
                                <a:prstGeom prst="rect">
                                  <a:avLst/>
                                </a:prstGeom>
                                <a:solidFill>
                                  <a:srgbClr val="96DA9D"/>
                                </a:solidFill>
                                <a:ln w="25400">
                                  <a:noFill/>
                                </a:ln>
                              </wps:spPr>
                              <wps:bodyPr anchor="ctr" upright="1"/>
                            </wps:wsp>
                            <wps:wsp>
                              <wps:cNvPr id="2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KDF7A3AAgAA&#10;DQ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N3evd7oAAADb&#10;AAAADwAAAGRycy9kb3ducmV2LnhtbEWPQWsCMRSE74L/ITyhN31ZwVK2Rg8FwVOhtj309tg8N4ub&#10;lyWJ6/bfNwXB4zAz3zDb/eR7NXJMXRAD1UqDYmmC7aQ18PV5WL6ASpnEUh+EDfxygv1uPttSbcNN&#10;Png85VYViKSaDLichxoxNY49pVUYWIp3DtFTLjK2aCPdCtz3uNb6GT11UhYcDfzmuLmcrt4ARo7o&#10;4nSOP2m8YvWuvzfNxZinRaVfQWWe8iN8bx+tgfUG/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69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SE4lL0AAADb&#10;AAAADwAAAGRycy9kb3ducmV2LnhtbEWPW4vCMBSE3xf8D+EIvq2pPhTpGkUE8QKy6FbEt0NzbIrN&#10;SWnibX+9ERb2cZiZb5jx9GFrcaPWV44VDPoJCOLC6YpLBfnP4nMEwgdkjbVjUvAkD9NJ52OMmXZ3&#10;3tFtH0oRIewzVGBCaDIpfWHIou+7hjh6Z9daDFG2pdQt3iPc1nKYJKm0WHFcMNjQ3FBx2V+tgu/c&#10;nJa4oaPdbi6HfFZh+rtOlep1B8kXiECP8B/+a6+0gmEK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TiU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8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8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2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ind w:firstLine="210" w:firstLineChars="100"/>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trPr>
        <w:tc>
          <w:tcPr>
            <w:tcW w:w="371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38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4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8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84" w:type="dxa"/>
            <w:gridSpan w:val="5"/>
            <w:tcBorders>
              <w:top w:val="nil"/>
              <w:left w:val="nil"/>
              <w:bottom w:val="nil"/>
              <w:right w:val="nil"/>
            </w:tcBorders>
            <w:noWrap/>
            <w:tcMar>
              <w:top w:w="15" w:type="dxa"/>
              <w:left w:w="15" w:type="dxa"/>
              <w:right w:w="15" w:type="dxa"/>
            </w:tcMar>
            <w:vAlign w:val="center"/>
          </w:tcPr>
          <w:p>
            <w:pPr>
              <w:widowControl/>
              <w:spacing w:after="0" w:line="240" w:lineRule="atLeas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41" w:type="dxa"/>
          <w:trHeight w:val="325" w:hRule="atLeast"/>
        </w:trPr>
        <w:tc>
          <w:tcPr>
            <w:tcW w:w="3717"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054"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4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686"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44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3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15"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09"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41" w:type="dxa"/>
          <w:trHeight w:val="626" w:hRule="atLeast"/>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683"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054"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4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86"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4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3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15"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09"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41" w:type="dxa"/>
          <w:trHeight w:val="391" w:hRule="atLeast"/>
        </w:trPr>
        <w:tc>
          <w:tcPr>
            <w:tcW w:w="3717" w:type="dxa"/>
            <w:gridSpan w:val="4"/>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05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68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4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3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1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41" w:type="dxa"/>
          <w:trHeight w:val="90" w:hRule="atLeast"/>
        </w:trPr>
        <w:tc>
          <w:tcPr>
            <w:tcW w:w="3717" w:type="dxa"/>
            <w:gridSpan w:val="4"/>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054" w:type="dxa"/>
            <w:gridSpan w:val="3"/>
            <w:tcBorders>
              <w:top w:val="single" w:color="000000" w:sz="4" w:space="0"/>
              <w:left w:val="nil"/>
              <w:bottom w:val="single" w:color="000000" w:sz="4" w:space="0"/>
              <w:right w:val="single" w:color="000000" w:sz="4" w:space="0"/>
            </w:tcBorders>
            <w:noWrap/>
            <w:tcMar>
              <w:top w:w="15" w:type="dxa"/>
              <w:left w:w="15" w:type="dxa"/>
              <w:right w:w="15" w:type="dxa"/>
            </w:tcMar>
          </w:tcPr>
          <w:p>
            <w:pPr>
              <w:widowControl/>
              <w:spacing w:after="0" w:line="240" w:lineRule="atLeast"/>
              <w:jc w:val="right"/>
              <w:rPr>
                <w:rFonts w:ascii="宋体" w:cs="宋体"/>
                <w:b/>
                <w:color w:val="000000"/>
                <w:szCs w:val="21"/>
              </w:rPr>
            </w:pPr>
            <w:r>
              <w:rPr>
                <w:rFonts w:hint="eastAsia" w:ascii="宋体" w:cs="宋体"/>
                <w:b/>
                <w:color w:val="000000"/>
                <w:szCs w:val="21"/>
              </w:rPr>
              <w:t>22084.54</w:t>
            </w:r>
          </w:p>
        </w:tc>
        <w:tc>
          <w:tcPr>
            <w:tcW w:w="945" w:type="dxa"/>
            <w:gridSpan w:val="3"/>
            <w:tcBorders>
              <w:top w:val="single" w:color="000000" w:sz="4" w:space="0"/>
              <w:left w:val="nil"/>
              <w:bottom w:val="single" w:color="000000" w:sz="4" w:space="0"/>
              <w:right w:val="single" w:color="000000" w:sz="4" w:space="0"/>
            </w:tcBorders>
            <w:noWrap/>
            <w:tcMar>
              <w:top w:w="15" w:type="dxa"/>
              <w:left w:w="15" w:type="dxa"/>
              <w:right w:w="15" w:type="dxa"/>
            </w:tcMar>
          </w:tcPr>
          <w:p>
            <w:pPr>
              <w:widowControl/>
              <w:spacing w:after="0" w:line="240" w:lineRule="atLeast"/>
              <w:jc w:val="right"/>
              <w:rPr>
                <w:rFonts w:ascii="宋体" w:cs="宋体"/>
                <w:b/>
                <w:color w:val="000000"/>
                <w:szCs w:val="21"/>
              </w:rPr>
            </w:pPr>
            <w:r>
              <w:rPr>
                <w:rFonts w:hint="eastAsia" w:ascii="宋体" w:cs="宋体"/>
                <w:b/>
                <w:color w:val="000000"/>
                <w:szCs w:val="21"/>
              </w:rPr>
              <w:t>22084.54</w:t>
            </w:r>
          </w:p>
        </w:tc>
        <w:tc>
          <w:tcPr>
            <w:tcW w:w="686"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44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3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15"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0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一般公共服务支出</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2901.56</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2901.56</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20103</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sz w:val="16"/>
                <w:szCs w:val="16"/>
              </w:rPr>
              <w:t>政府办公厅（室）及相关机构事务</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5.00</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5.00</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2010308</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信访事务</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5.00</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5.00</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发展与改革事务</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2896.86</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2896.86</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2010401</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行政运行</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937.08</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937.08</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2010402</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一般行政管理事务</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83.63</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83.63</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2010406</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社会事业发展规划</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3.00</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3.00</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2010408</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物价管理</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24.18</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24.18</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2010409</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应对气候变化管理事务</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1816.79</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1816.79</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2010450</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4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事业运行</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0.14</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0.14</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tcFitText/>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7" w:type="dxa"/>
              <w:left w:w="17" w:type="dxa"/>
              <w:right w:w="17"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2010499</w:t>
            </w:r>
          </w:p>
        </w:tc>
        <w:tc>
          <w:tcPr>
            <w:tcW w:w="2683" w:type="dxa"/>
            <w:tcBorders>
              <w:top w:val="nil"/>
              <w:left w:val="nil"/>
              <w:bottom w:val="single" w:color="000000" w:sz="4" w:space="0"/>
              <w:right w:val="single" w:color="000000" w:sz="4" w:space="0"/>
            </w:tcBorders>
            <w:noWrap/>
            <w:tcMar>
              <w:top w:w="17" w:type="dxa"/>
              <w:left w:w="17" w:type="dxa"/>
              <w:right w:w="17" w:type="dxa"/>
            </w:tcMar>
          </w:tcPr>
          <w:p>
            <w:pPr>
              <w:spacing w:line="240" w:lineRule="auto"/>
              <w:ind w:firstLine="320" w:firstLineChars="200"/>
              <w:rPr>
                <w:rFonts w:ascii="仿宋_GB2312" w:hAnsi="仿宋_GB2312" w:eastAsia="仿宋_GB2312" w:cs="仿宋_GB2312"/>
                <w:snapToGrid w:val="0"/>
                <w:kern w:val="0"/>
              </w:rPr>
            </w:pPr>
            <w:r>
              <w:rPr>
                <w:rFonts w:hint="eastAsia" w:ascii="仿宋_GB2312" w:hAnsi="仿宋_GB2312" w:eastAsia="仿宋_GB2312" w:cs="仿宋_GB2312"/>
                <w:snapToGrid w:val="0"/>
                <w:kern w:val="0"/>
                <w:sz w:val="16"/>
                <w:szCs w:val="16"/>
              </w:rPr>
              <w:t>其他发展与改革事务支出</w:t>
            </w:r>
          </w:p>
        </w:tc>
        <w:tc>
          <w:tcPr>
            <w:tcW w:w="1054"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32.03</w:t>
            </w:r>
          </w:p>
        </w:tc>
        <w:tc>
          <w:tcPr>
            <w:tcW w:w="945"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kern w:val="0"/>
                <w:szCs w:val="21"/>
              </w:rPr>
            </w:pPr>
            <w:r>
              <w:rPr>
                <w:rFonts w:hint="eastAsia" w:ascii="宋体" w:cs="宋体"/>
                <w:color w:val="000000"/>
                <w:kern w:val="0"/>
                <w:szCs w:val="21"/>
              </w:rPr>
              <w:t>32.03</w:t>
            </w:r>
          </w:p>
        </w:tc>
        <w:tc>
          <w:tcPr>
            <w:tcW w:w="686" w:type="dxa"/>
            <w:gridSpan w:val="3"/>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7" w:type="dxa"/>
              <w:left w:w="17" w:type="dxa"/>
              <w:right w:w="17"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30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211</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snapToGrid w:val="0"/>
                <w:kern w:val="0"/>
              </w:rPr>
            </w:pPr>
            <w:r>
              <w:rPr>
                <w:rFonts w:hint="eastAsia" w:ascii="仿宋_GB2312" w:hAnsi="仿宋_GB2312" w:eastAsia="仿宋_GB2312" w:cs="仿宋_GB2312"/>
                <w:snapToGrid w:val="0"/>
                <w:kern w:val="0"/>
              </w:rPr>
              <w:t>节能环保支出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21103</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污染防治</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2110301</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仿宋_GB2312" w:hAnsi="仿宋_GB2312" w:eastAsia="仿宋_GB2312" w:cs="仿宋_GB2312"/>
              </w:rPr>
            </w:pPr>
            <w:r>
              <w:rPr>
                <w:rFonts w:hint="eastAsia" w:ascii="仿宋_GB2312" w:hAnsi="仿宋_GB2312" w:eastAsia="仿宋_GB2312" w:cs="仿宋_GB2312"/>
              </w:rPr>
              <w:t>大气</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6581.00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212</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城乡社区支出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21208</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sz w:val="10"/>
                <w:szCs w:val="10"/>
              </w:rPr>
              <w:t>国有土地使用权出让收入及对应专项债务收入安排的支出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2120801</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210" w:firstLineChars="100"/>
              <w:rPr>
                <w:rFonts w:ascii="仿宋_GB2312" w:hAnsi="仿宋_GB2312" w:eastAsia="仿宋_GB2312" w:cs="仿宋_GB2312"/>
              </w:rPr>
            </w:pPr>
            <w:r>
              <w:rPr>
                <w:rFonts w:hint="eastAsia" w:ascii="仿宋_GB2312" w:hAnsi="仿宋_GB2312" w:eastAsia="仿宋_GB2312" w:cs="仿宋_GB2312"/>
              </w:rPr>
              <w:t>征地和拆迁补偿支出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5129.13</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5129.13</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2120809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130" w:firstLineChars="100"/>
              <w:rPr>
                <w:rFonts w:ascii="仿宋_GB2312" w:hAnsi="仿宋_GB2312" w:eastAsia="仿宋_GB2312" w:cs="仿宋_GB2312"/>
                <w:sz w:val="13"/>
                <w:szCs w:val="13"/>
              </w:rPr>
            </w:pPr>
            <w:r>
              <w:rPr>
                <w:rFonts w:hint="eastAsia" w:ascii="仿宋_GB2312" w:hAnsi="仿宋_GB2312" w:eastAsia="仿宋_GB2312" w:cs="仿宋_GB2312"/>
                <w:sz w:val="13"/>
                <w:szCs w:val="13"/>
              </w:rPr>
              <w:t>支付破产或改制企业职工安置费</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6366.26</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6366.26</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8"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2120899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130" w:firstLineChars="100"/>
              <w:rPr>
                <w:rFonts w:ascii="仿宋_GB2312" w:hAnsi="仿宋_GB2312" w:eastAsia="仿宋_GB2312" w:cs="仿宋_GB2312"/>
                <w:sz w:val="13"/>
                <w:szCs w:val="13"/>
              </w:rPr>
            </w:pPr>
            <w:r>
              <w:rPr>
                <w:rFonts w:hint="eastAsia" w:ascii="仿宋_GB2312" w:hAnsi="仿宋_GB2312" w:eastAsia="仿宋_GB2312" w:cs="仿宋_GB2312"/>
                <w:sz w:val="13"/>
                <w:szCs w:val="13"/>
              </w:rPr>
              <w:t>其他国有土地使用权出让收入安排的支出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670.00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670.00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资源勘探信息等支出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397.69</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397.69</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21505</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工业和信息产业监管</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2150510</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仿宋_GB2312" w:hAnsi="仿宋_GB2312" w:eastAsia="仿宋_GB2312" w:cs="仿宋_GB2312"/>
              </w:rPr>
            </w:pPr>
            <w:r>
              <w:rPr>
                <w:rFonts w:hint="eastAsia" w:ascii="仿宋_GB2312" w:hAnsi="仿宋_GB2312" w:eastAsia="仿宋_GB2312" w:cs="仿宋_GB2312"/>
              </w:rPr>
              <w:t>工业和信息产业支持</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2150599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360" w:firstLineChars="200"/>
              <w:rPr>
                <w:rFonts w:ascii="仿宋_GB2312" w:hAnsi="仿宋_GB2312" w:eastAsia="仿宋_GB2312" w:cs="仿宋_GB2312"/>
              </w:rPr>
            </w:pPr>
            <w:r>
              <w:rPr>
                <w:rFonts w:hint="eastAsia" w:ascii="仿宋_GB2312" w:hAnsi="仿宋_GB2312" w:eastAsia="仿宋_GB2312" w:cs="仿宋_GB2312"/>
                <w:sz w:val="18"/>
                <w:szCs w:val="18"/>
              </w:rPr>
              <w:t>其他工业和信息产业监管支出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21508</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sz w:val="16"/>
                <w:szCs w:val="16"/>
              </w:rPr>
              <w:t>支持中小企业发展和管理支出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2150801</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仿宋_GB2312" w:hAnsi="仿宋_GB2312" w:eastAsia="仿宋_GB2312" w:cs="仿宋_GB2312"/>
              </w:rPr>
            </w:pPr>
            <w:r>
              <w:rPr>
                <w:rFonts w:hint="eastAsia" w:ascii="仿宋_GB2312" w:hAnsi="仿宋_GB2312" w:eastAsia="仿宋_GB2312" w:cs="仿宋_GB2312"/>
              </w:rPr>
              <w:t>行政运行</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21599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其他资源勘探信息等支出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2159904</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仿宋_GB2312" w:hAnsi="仿宋_GB2312" w:eastAsia="仿宋_GB2312" w:cs="仿宋_GB2312"/>
              </w:rPr>
            </w:pPr>
            <w:r>
              <w:rPr>
                <w:rFonts w:hint="eastAsia" w:ascii="仿宋_GB2312" w:hAnsi="仿宋_GB2312" w:eastAsia="仿宋_GB2312" w:cs="仿宋_GB2312"/>
              </w:rPr>
              <w:t>技术改造支出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229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其他支出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22999</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其他支出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283" w:hRule="exact"/>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2299901</w:t>
            </w:r>
          </w:p>
        </w:tc>
        <w:tc>
          <w:tcPr>
            <w:tcW w:w="2683" w:type="dxa"/>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仿宋_GB2312" w:hAnsi="仿宋_GB2312" w:eastAsia="仿宋_GB2312" w:cs="仿宋_GB2312"/>
              </w:rPr>
            </w:pPr>
            <w:r>
              <w:rPr>
                <w:rFonts w:hint="eastAsia" w:ascii="仿宋_GB2312" w:hAnsi="仿宋_GB2312" w:eastAsia="仿宋_GB2312" w:cs="仿宋_GB2312"/>
              </w:rPr>
              <w:t>其他支出</w:t>
            </w:r>
          </w:p>
        </w:tc>
        <w:tc>
          <w:tcPr>
            <w:tcW w:w="1054"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9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68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44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3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1" w:type="dxa"/>
          <w:trHeight w:val="481" w:hRule="atLeast"/>
        </w:trPr>
        <w:tc>
          <w:tcPr>
            <w:tcW w:w="8801" w:type="dxa"/>
            <w:gridSpan w:val="2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24"/>
        <w:gridCol w:w="2043"/>
        <w:gridCol w:w="672"/>
        <w:gridCol w:w="90"/>
        <w:gridCol w:w="885"/>
        <w:gridCol w:w="233"/>
        <w:gridCol w:w="652"/>
        <w:gridCol w:w="468"/>
        <w:gridCol w:w="356"/>
        <w:gridCol w:w="151"/>
        <w:gridCol w:w="611"/>
        <w:gridCol w:w="109"/>
        <w:gridCol w:w="543"/>
        <w:gridCol w:w="1084"/>
      </w:tblGrid>
      <w:tr>
        <w:tblPrEx>
          <w:tblCellMar>
            <w:top w:w="0" w:type="dxa"/>
            <w:left w:w="0" w:type="dxa"/>
            <w:bottom w:w="0" w:type="dxa"/>
            <w:right w:w="0" w:type="dxa"/>
          </w:tblCellMar>
        </w:tblPrEx>
        <w:trPr>
          <w:trHeight w:val="483"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30"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28" name="矩形 13"/>
                              <wps:cNvSpPr/>
                              <wps:spPr>
                                <a:xfrm>
                                  <a:off x="4551" y="52615"/>
                                  <a:ext cx="8546" cy="1175"/>
                                </a:xfrm>
                                <a:prstGeom prst="rect">
                                  <a:avLst/>
                                </a:prstGeom>
                                <a:solidFill>
                                  <a:srgbClr val="96DA9D"/>
                                </a:solidFill>
                                <a:ln w="25400">
                                  <a:noFill/>
                                </a:ln>
                              </wps:spPr>
                              <wps:bodyPr anchor="ctr" upright="1"/>
                            </wps:wsp>
                            <wps:wsp>
                              <wps:cNvPr id="2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8" o:spid="_x0000_s1026"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xvAMMwQIA&#10;AA0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269"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5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84" w:type="dxa"/>
            <w:tcBorders>
              <w:top w:val="nil"/>
              <w:left w:val="nil"/>
              <w:bottom w:val="nil"/>
              <w:right w:val="nil"/>
            </w:tcBorders>
            <w:noWrap/>
            <w:tcMar>
              <w:top w:w="15" w:type="dxa"/>
              <w:left w:w="15" w:type="dxa"/>
              <w:right w:w="15" w:type="dxa"/>
            </w:tcMar>
            <w:vAlign w:val="center"/>
          </w:tcPr>
          <w:p>
            <w:pPr>
              <w:widowControl/>
              <w:spacing w:after="0" w:line="240" w:lineRule="atLeas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647"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8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2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77" w:hRule="atLeast"/>
        </w:trPr>
        <w:tc>
          <w:tcPr>
            <w:tcW w:w="3818"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7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88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97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72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543"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617" w:hRule="atLeast"/>
        </w:trPr>
        <w:tc>
          <w:tcPr>
            <w:tcW w:w="110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7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8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7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2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43"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38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7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88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97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7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54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90" w:hRule="atLeast"/>
        </w:trPr>
        <w:tc>
          <w:tcPr>
            <w:tcW w:w="38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tcPr>
          <w:p>
            <w:pPr>
              <w:widowControl/>
              <w:spacing w:after="0" w:line="240" w:lineRule="atLeast"/>
              <w:jc w:val="right"/>
              <w:rPr>
                <w:rFonts w:ascii="宋体" w:cs="宋体"/>
                <w:b/>
                <w:color w:val="000000"/>
                <w:szCs w:val="21"/>
              </w:rPr>
            </w:pPr>
            <w:r>
              <w:rPr>
                <w:rFonts w:hint="eastAsia" w:ascii="宋体" w:cs="宋体"/>
                <w:b/>
                <w:color w:val="000000"/>
                <w:szCs w:val="21"/>
              </w:rPr>
              <w:t>19662.78</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994.84</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18667.94</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一般公共服务支出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2901.56</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982.23</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1919.63</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20103</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sz w:val="16"/>
                <w:szCs w:val="16"/>
              </w:rPr>
              <w:t>政府办公厅（室）及相关机构事务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5.00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2010308</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信访事务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5.00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发展与改革事务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2896.86</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982.23</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1914.63</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行政运行</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937.08</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937.08</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2010402</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一般行政管理事务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83.63</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83.63</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2010406</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社会事业发展规划</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3.00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2010408</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物价管理</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24.18</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12.97</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2010409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应对气候变化管理事务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1816.79</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1816.79</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2010450</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snapToGrid w:val="0"/>
                <w:kern w:val="0"/>
              </w:rPr>
              <w:t>事业运行</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0.14</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0.14</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2010499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320" w:firstLineChars="200"/>
              <w:rPr>
                <w:rFonts w:ascii="宋体" w:cs="宋体"/>
                <w:color w:val="000000"/>
                <w:szCs w:val="21"/>
              </w:rPr>
            </w:pPr>
            <w:r>
              <w:rPr>
                <w:rFonts w:hint="eastAsia" w:ascii="仿宋_GB2312" w:hAnsi="仿宋_GB2312" w:eastAsia="仿宋_GB2312" w:cs="仿宋_GB2312"/>
                <w:snapToGrid w:val="0"/>
                <w:kern w:val="0"/>
                <w:sz w:val="16"/>
                <w:szCs w:val="16"/>
              </w:rPr>
              <w:t>其他发展与改革事务支出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kern w:val="0"/>
                <w:szCs w:val="21"/>
              </w:rPr>
              <w:t>32.03</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32.03</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211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napToGrid w:val="0"/>
                <w:kern w:val="0"/>
              </w:rPr>
              <w:t>节能环保支出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21103</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污染防治</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2110301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rPr>
              <w:t>大气</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212</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城乡社区支出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21208</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z w:val="10"/>
                <w:szCs w:val="10"/>
              </w:rPr>
              <w:t>国有土地使用权出让收入及对应专项债务收入安排的支出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12165.40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2120801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210" w:firstLineChars="100"/>
              <w:rPr>
                <w:rFonts w:ascii="宋体" w:cs="宋体"/>
                <w:color w:val="000000"/>
                <w:szCs w:val="21"/>
              </w:rPr>
            </w:pPr>
            <w:r>
              <w:rPr>
                <w:rFonts w:hint="eastAsia" w:ascii="仿宋_GB2312" w:hAnsi="仿宋_GB2312" w:eastAsia="仿宋_GB2312" w:cs="仿宋_GB2312"/>
              </w:rPr>
              <w:t>征地和拆迁补偿支出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5129.13</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5129.13</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2120809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130" w:firstLineChars="100"/>
              <w:rPr>
                <w:rFonts w:ascii="宋体" w:cs="宋体"/>
                <w:color w:val="000000"/>
                <w:szCs w:val="21"/>
              </w:rPr>
            </w:pPr>
            <w:r>
              <w:rPr>
                <w:rFonts w:hint="eastAsia" w:ascii="仿宋_GB2312" w:hAnsi="仿宋_GB2312" w:eastAsia="仿宋_GB2312" w:cs="仿宋_GB2312"/>
                <w:sz w:val="13"/>
                <w:szCs w:val="13"/>
              </w:rPr>
              <w:t>支付破产或改制企业职工安置费</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6366.26</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6366.26</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2120899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130" w:firstLineChars="100"/>
              <w:rPr>
                <w:rFonts w:ascii="宋体" w:cs="宋体"/>
                <w:color w:val="000000"/>
                <w:szCs w:val="21"/>
              </w:rPr>
            </w:pPr>
            <w:r>
              <w:rPr>
                <w:rFonts w:hint="eastAsia" w:ascii="仿宋_GB2312" w:hAnsi="仿宋_GB2312" w:eastAsia="仿宋_GB2312" w:cs="仿宋_GB2312"/>
                <w:sz w:val="13"/>
                <w:szCs w:val="13"/>
              </w:rPr>
              <w:t>其他国有土地使用权出让收入安排的支出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670.00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670.00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资源勘探信息等支出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397.69</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385.07</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21505</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工业和信息产业监管</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2150510</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rPr>
              <w:t>工业和信息产业支持</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2150599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360" w:firstLineChars="200"/>
              <w:rPr>
                <w:rFonts w:ascii="宋体" w:cs="宋体"/>
                <w:color w:val="000000"/>
                <w:szCs w:val="21"/>
              </w:rPr>
            </w:pPr>
            <w:r>
              <w:rPr>
                <w:rFonts w:hint="eastAsia" w:ascii="仿宋_GB2312" w:hAnsi="仿宋_GB2312" w:eastAsia="仿宋_GB2312" w:cs="仿宋_GB2312"/>
                <w:sz w:val="18"/>
                <w:szCs w:val="18"/>
              </w:rPr>
              <w:t>其他工业和信息产业监管支出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21508</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sz w:val="16"/>
                <w:szCs w:val="16"/>
              </w:rPr>
              <w:t>支持中小企业发展和管理支出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2150801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rPr>
              <w:t>行政运行</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21599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其他资源勘探信息等支出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2159904</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rPr>
              <w:t>技术改造支出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229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其他支出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仿宋_GB2312" w:hAnsi="仿宋_GB2312" w:eastAsia="仿宋_GB2312" w:cs="仿宋_GB2312"/>
              </w:rPr>
            </w:pPr>
            <w:r>
              <w:rPr>
                <w:rFonts w:hint="eastAsia" w:ascii="仿宋_GB2312" w:hAnsi="仿宋_GB2312" w:eastAsia="仿宋_GB2312" w:cs="仿宋_GB2312"/>
              </w:rPr>
              <w:t>22999</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其他支出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283" w:hRule="exact"/>
        </w:trPr>
        <w:tc>
          <w:tcPr>
            <w:tcW w:w="110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spacing w:line="240" w:lineRule="auto"/>
              <w:rPr>
                <w:rFonts w:ascii="宋体" w:cs="宋体"/>
                <w:color w:val="000000"/>
                <w:szCs w:val="21"/>
              </w:rPr>
            </w:pPr>
            <w:r>
              <w:rPr>
                <w:rFonts w:hint="eastAsia" w:ascii="仿宋_GB2312" w:hAnsi="仿宋_GB2312" w:eastAsia="仿宋_GB2312" w:cs="仿宋_GB2312"/>
              </w:rPr>
              <w:t>2299901</w:t>
            </w:r>
          </w:p>
        </w:tc>
        <w:tc>
          <w:tcPr>
            <w:tcW w:w="2715" w:type="dxa"/>
            <w:gridSpan w:val="2"/>
            <w:tcBorders>
              <w:top w:val="nil"/>
              <w:left w:val="nil"/>
              <w:bottom w:val="single" w:color="000000" w:sz="4" w:space="0"/>
              <w:right w:val="single" w:color="000000" w:sz="4" w:space="0"/>
            </w:tcBorders>
            <w:noWrap/>
            <w:tcMar>
              <w:top w:w="15" w:type="dxa"/>
              <w:left w:w="15" w:type="dxa"/>
              <w:right w:w="15" w:type="dxa"/>
            </w:tcMar>
          </w:tcPr>
          <w:p>
            <w:pPr>
              <w:spacing w:line="240" w:lineRule="auto"/>
              <w:ind w:firstLine="420" w:firstLineChars="200"/>
              <w:rPr>
                <w:rFonts w:ascii="宋体" w:cs="宋体"/>
                <w:color w:val="000000"/>
                <w:szCs w:val="21"/>
              </w:rPr>
            </w:pPr>
            <w:r>
              <w:rPr>
                <w:rFonts w:hint="eastAsia" w:ascii="仿宋_GB2312" w:hAnsi="仿宋_GB2312" w:eastAsia="仿宋_GB2312" w:cs="仿宋_GB2312"/>
              </w:rPr>
              <w:t>其他支出</w:t>
            </w:r>
          </w:p>
        </w:tc>
        <w:tc>
          <w:tcPr>
            <w:tcW w:w="97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88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7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3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1" name="矩形 13"/>
                              <wps:cNvSpPr/>
                              <wps:spPr>
                                <a:xfrm>
                                  <a:off x="4551" y="52615"/>
                                  <a:ext cx="8546" cy="1175"/>
                                </a:xfrm>
                                <a:prstGeom prst="rect">
                                  <a:avLst/>
                                </a:prstGeom>
                                <a:solidFill>
                                  <a:srgbClr val="96DA9D"/>
                                </a:solidFill>
                                <a:ln w="25400">
                                  <a:noFill/>
                                </a:ln>
                              </wps:spPr>
                              <wps:bodyPr anchor="ctr" upright="1"/>
                            </wps:wsp>
                            <wps:wsp>
                              <wps:cNvPr id="3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yaUsrcAAAA&#10;DQEAAA8AAAAAAAAAAQAgAAAAIgAAAGRycy9kb3ducmV2LnhtbFBLAQIUABQAAAAIAIdO4kD6b2P6&#10;xAIAAA0HAAAOAAAAAAAAAAEAIAAAACs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9919.14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2901.86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1901.86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12165.40</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4159.24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4159.24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12165.40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12165.40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397.69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397.69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38.60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38.60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22084.54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19662.78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7497.38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12165.40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2421.76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2421.76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22084.54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22084.54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9919.14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12165.40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854"/>
        <w:gridCol w:w="90"/>
        <w:gridCol w:w="1666"/>
        <w:gridCol w:w="136"/>
        <w:gridCol w:w="90"/>
        <w:gridCol w:w="1499"/>
        <w:gridCol w:w="1532"/>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3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4" name="矩形 13"/>
                              <wps:cNvSpPr/>
                              <wps:spPr>
                                <a:xfrm>
                                  <a:off x="4551" y="52615"/>
                                  <a:ext cx="8546" cy="1175"/>
                                </a:xfrm>
                                <a:prstGeom prst="rect">
                                  <a:avLst/>
                                </a:prstGeom>
                                <a:solidFill>
                                  <a:srgbClr val="96DA9D"/>
                                </a:solidFill>
                                <a:ln w="25400">
                                  <a:noFill/>
                                </a:ln>
                              </wps:spPr>
                              <wps:bodyPr anchor="ctr" upright="1"/>
                            </wps:wsp>
                            <wps:wsp>
                              <wps:cNvPr id="3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h9UvfL8CAAAN&#10;BwAADgAAAAAAAAABACAAAAAr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5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3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847"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013"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854"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75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725"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5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85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75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725"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53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85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75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725"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53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847"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847"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7497.38</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994.85</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6502.54</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一般公共服务支出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2901.86</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985.23</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1919.63</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20103</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 w:val="16"/>
                <w:szCs w:val="16"/>
              </w:rPr>
              <w:t>政府办公厅（室）及相关机构事务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2010308</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信访事务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发展与改革事务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2896.86</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982.23</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1914.63</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2010401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行政运行</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937.08</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937.08</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2010402</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一般行政管理事务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83.63</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83.63</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2010406</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社会事业发展规划</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2010408</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物价管理</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24.18</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12.97</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11.21</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2010409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应对气候变化管理事务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1816.79</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1816.79</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2010450</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事业运行</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0.14</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0.14</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2010499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其他发展与改革事务支出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32.03</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32.03</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节能环保支出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21103</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污染防治</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2110301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大气</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4159.24</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资源勘探信息等支出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397.69</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385.07</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21505</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工业和信息产业监管</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315.07</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2150510</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工业和信息产业支持</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130.00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2150599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 w:val="18"/>
                <w:szCs w:val="18"/>
              </w:rPr>
              <w:t>其他工业和信息产业监管支</w:t>
            </w:r>
            <w:r>
              <w:rPr>
                <w:rFonts w:hint="eastAsia" w:ascii="仿宋_GB2312" w:hAnsi="仿宋_GB2312" w:eastAsia="仿宋_GB2312" w:cs="仿宋_GB2312"/>
                <w:color w:val="000000"/>
                <w:kern w:val="0"/>
                <w:szCs w:val="21"/>
              </w:rPr>
              <w:t>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185.07</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21508</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支持中小企业发展和管理支出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2150801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行政运行</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12.62</w:t>
            </w: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21599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其他资源勘探信息等支出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2159904</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技术改造支出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70.00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229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其他支出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22999</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其他支出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r>
      <w:tr>
        <w:tblPrEx>
          <w:tblCellMar>
            <w:top w:w="0" w:type="dxa"/>
            <w:left w:w="0" w:type="dxa"/>
            <w:bottom w:w="0" w:type="dxa"/>
            <w:right w:w="0" w:type="dxa"/>
          </w:tblCellMar>
        </w:tblPrEx>
        <w:trPr>
          <w:trHeight w:val="340" w:hRule="exac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2299901</w:t>
            </w:r>
          </w:p>
        </w:tc>
        <w:tc>
          <w:tcPr>
            <w:tcW w:w="2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Cs w:val="21"/>
              </w:rPr>
            </w:pPr>
            <w:r>
              <w:rPr>
                <w:rFonts w:hint="eastAsia" w:ascii="仿宋_GB2312" w:hAnsi="仿宋_GB2312" w:eastAsia="仿宋_GB2312" w:cs="仿宋_GB2312"/>
                <w:color w:val="000000"/>
                <w:kern w:val="0"/>
                <w:szCs w:val="21"/>
              </w:rPr>
              <w:t xml:space="preserve">  其他支出</w:t>
            </w:r>
          </w:p>
        </w:tc>
        <w:tc>
          <w:tcPr>
            <w:tcW w:w="175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c>
          <w:tcPr>
            <w:tcW w:w="17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5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38.60</w:t>
            </w: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12700" r="1905" b="0"/>
                      <wp:wrapNone/>
                      <wp:docPr id="3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7" name="矩形 13"/>
                              <wps:cNvSpPr/>
                              <wps:spPr>
                                <a:xfrm>
                                  <a:off x="4551" y="52615"/>
                                  <a:ext cx="8546" cy="1175"/>
                                </a:xfrm>
                                <a:prstGeom prst="rect">
                                  <a:avLst/>
                                </a:prstGeom>
                                <a:solidFill>
                                  <a:srgbClr val="96DA9D"/>
                                </a:solidFill>
                                <a:ln w="25400">
                                  <a:noFill/>
                                </a:ln>
                              </wps:spPr>
                              <wps:bodyPr anchor="ctr" upright="1"/>
                            </wps:wsp>
                            <wps:wsp>
                              <wps:cNvPr id="3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Al&#10;L+Q/xgIAAA0HAAAOAAAAAAAAAAEAIAAAACw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LTACRrsAAADb&#10;AAAADwAAAGRycy9kb3ducmV2LnhtbEWPQUsDMRSE70L/Q3gFb+3LK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CR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iufoLoAAADb&#10;AAAADwAAAGRycy9kb3ducmV2LnhtbEVPy4rCMBTdC/MP4Q6401SF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5+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801.91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49.25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356.98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13.10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199.29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39.36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19.45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rPr>
              <w:t>141.19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0.72</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17.18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12.60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1.95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0.53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26.21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143.69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22.15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16.26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93.46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11.82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10.00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12.30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 xml:space="preserve">  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仿宋_GB2312" w:hAnsi="仿宋_GB2312" w:eastAsia="仿宋_GB2312" w:cs="仿宋_GB2312"/>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rPr>
              <w:t>945.60</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仿宋_GB2312" w:hAnsi="仿宋_GB2312" w:eastAsia="仿宋_GB2312" w:cs="仿宋_GB2312"/>
                <w:color w:val="000000"/>
                <w:sz w:val="16"/>
                <w:szCs w:val="16"/>
              </w:rPr>
            </w:pPr>
            <w:r>
              <w:rPr>
                <w:rFonts w:hint="eastAsia" w:ascii="仿宋_GB2312" w:hAnsi="仿宋_GB2312" w:eastAsia="仿宋_GB2312" w:cs="仿宋_GB2312"/>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仿宋_GB2312" w:hAnsi="仿宋_GB2312" w:eastAsia="仿宋_GB2312" w:cs="仿宋_GB2312"/>
                <w:color w:val="000000"/>
                <w:sz w:val="16"/>
                <w:szCs w:val="16"/>
              </w:rPr>
            </w:pPr>
            <w:r>
              <w:rPr>
                <w:rFonts w:hint="eastAsia" w:ascii="仿宋_GB2312" w:hAnsi="仿宋_GB2312" w:eastAsia="仿宋_GB2312" w:cs="仿宋_GB2312"/>
                <w:color w:val="000000"/>
                <w:sz w:val="16"/>
                <w:szCs w:val="16"/>
              </w:rPr>
              <w:t>49.25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仿宋_GB2312" w:hAnsi="仿宋_GB2312" w:eastAsia="仿宋_GB2312" w:cs="仿宋_GB2312"/>
                <w:color w:val="000000"/>
                <w:sz w:val="20"/>
                <w:szCs w:val="20"/>
              </w:rPr>
            </w:pPr>
            <w:r>
              <w:rPr>
                <w:rFonts w:hint="eastAsia" w:ascii="仿宋_GB2312" w:hAnsi="仿宋_GB2312" w:eastAsia="仿宋_GB2312" w:cs="仿宋_GB2312"/>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12700" r="1905" b="0"/>
                      <wp:wrapNone/>
                      <wp:docPr id="4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0" name="矩形 13"/>
                              <wps:cNvSpPr/>
                              <wps:spPr>
                                <a:xfrm>
                                  <a:off x="4551" y="52615"/>
                                  <a:ext cx="8546" cy="1175"/>
                                </a:xfrm>
                                <a:prstGeom prst="rect">
                                  <a:avLst/>
                                </a:prstGeom>
                                <a:solidFill>
                                  <a:srgbClr val="96DA9D"/>
                                </a:solidFill>
                                <a:ln w="25400">
                                  <a:noFill/>
                                </a:ln>
                              </wps:spPr>
                              <wps:bodyPr anchor="ctr" upright="1"/>
                            </wps:wsp>
                            <wps:wsp>
                              <wps:cNvPr id="4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zsOQbAAgAA&#10;DQ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2243"/>
        <w:gridCol w:w="330"/>
        <w:gridCol w:w="1110"/>
        <w:gridCol w:w="1110"/>
        <w:gridCol w:w="960"/>
        <w:gridCol w:w="1095"/>
        <w:gridCol w:w="377"/>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4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3" name="矩形 13"/>
                              <wps:cNvSpPr/>
                              <wps:spPr>
                                <a:xfrm>
                                  <a:off x="4551" y="52615"/>
                                  <a:ext cx="8546" cy="1175"/>
                                </a:xfrm>
                                <a:prstGeom prst="rect">
                                  <a:avLst/>
                                </a:prstGeom>
                                <a:solidFill>
                                  <a:srgbClr val="96DA9D"/>
                                </a:solidFill>
                                <a:ln w="25400">
                                  <a:noFill/>
                                </a:ln>
                              </wps:spPr>
                              <wps:bodyPr anchor="ctr" upright="1"/>
                            </wps:wsp>
                            <wps:wsp>
                              <wps:cNvPr id="4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ABbmj8wQIA&#10;AA0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Cg13OLsAAADb&#10;AAAADwAAAGRycy9kb3ducmV2LnhtbEWPQUsDMRSE70L/Q3gFb+3LqhXZNu2hIHgSbOvB22Pzulm6&#10;eVmSdLv+eyMIHoeZ+YbZ7Cbfq5Fj6oIYqJYaFEsTbCetgdPxdfECKmUSS30QNvDNCXbb2d2Gahtu&#10;8sHjIbeqQCTVZMDlPNSIqXHsKS3DwFK8c4iecpGxRRvpVuC+xwetn9FTJ2XB0cB7x83lcPUGMHJE&#10;F6dz/ErjFat3/blqLsbczyu9BpV5yv/hv/abNfD0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13O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2Dm2L0AAADb&#10;AAAADwAAAGRycy9kb3ducmV2LnhtbEWP3WoCMRSE74W+QzgF7zSry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ObY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573"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1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1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6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47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4208"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111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1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6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47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3878"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33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111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16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37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912"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3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9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09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3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91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3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3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291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33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1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37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387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387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rPr>
              <w:t>12165.40</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rPr>
              <w:t>12165.40</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rPr>
              <w:t>12165.40</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40" w:hRule="exac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212</w:t>
            </w:r>
          </w:p>
        </w:tc>
        <w:tc>
          <w:tcPr>
            <w:tcW w:w="291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11"/>
                <w:szCs w:val="11"/>
              </w:rPr>
            </w:pPr>
            <w:r>
              <w:rPr>
                <w:rFonts w:hint="eastAsia" w:ascii="仿宋_GB2312" w:hAnsi="仿宋_GB2312" w:eastAsia="仿宋_GB2312" w:cs="仿宋_GB2312"/>
                <w:color w:val="000000"/>
                <w:kern w:val="0"/>
                <w:szCs w:val="21"/>
              </w:rPr>
              <w:t>城乡社区支出</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21208</w:t>
            </w:r>
          </w:p>
        </w:tc>
        <w:tc>
          <w:tcPr>
            <w:tcW w:w="291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11"/>
                <w:szCs w:val="11"/>
              </w:rPr>
            </w:pPr>
            <w:r>
              <w:rPr>
                <w:rFonts w:hint="eastAsia" w:ascii="仿宋_GB2312" w:hAnsi="仿宋_GB2312" w:eastAsia="仿宋_GB2312" w:cs="仿宋_GB2312"/>
                <w:color w:val="000000"/>
                <w:kern w:val="0"/>
                <w:sz w:val="11"/>
                <w:szCs w:val="11"/>
              </w:rPr>
              <w:t>国有土地使用权出让收入及对应专项债务收入安排的支出</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12165.40</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2120801</w:t>
            </w:r>
          </w:p>
        </w:tc>
        <w:tc>
          <w:tcPr>
            <w:tcW w:w="291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15"/>
                <w:szCs w:val="15"/>
              </w:rPr>
            </w:pPr>
            <w:r>
              <w:rPr>
                <w:rFonts w:hint="eastAsia" w:ascii="仿宋_GB2312" w:hAnsi="仿宋_GB2312" w:eastAsia="仿宋_GB2312" w:cs="仿宋_GB2312"/>
                <w:color w:val="000000"/>
                <w:kern w:val="0"/>
                <w:sz w:val="15"/>
                <w:szCs w:val="15"/>
              </w:rPr>
              <w:t xml:space="preserve">  征地和拆迁补偿支出</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5129.14</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5129.14</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5129.14</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2120809</w:t>
            </w:r>
          </w:p>
        </w:tc>
        <w:tc>
          <w:tcPr>
            <w:tcW w:w="291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15"/>
                <w:szCs w:val="15"/>
              </w:rPr>
            </w:pPr>
            <w:r>
              <w:rPr>
                <w:rFonts w:hint="eastAsia" w:ascii="仿宋_GB2312" w:hAnsi="仿宋_GB2312" w:eastAsia="仿宋_GB2312" w:cs="仿宋_GB2312"/>
                <w:color w:val="000000"/>
                <w:kern w:val="0"/>
                <w:sz w:val="15"/>
                <w:szCs w:val="15"/>
              </w:rPr>
              <w:t xml:space="preserve">  支付破产或改制企业职工安置费</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6366.26</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6366.26</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6366.26</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40" w:hRule="exac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2120899</w:t>
            </w:r>
          </w:p>
        </w:tc>
        <w:tc>
          <w:tcPr>
            <w:tcW w:w="291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40" w:lineRule="auto"/>
              <w:jc w:val="left"/>
              <w:textAlignment w:val="center"/>
              <w:rPr>
                <w:rFonts w:ascii="仿宋_GB2312" w:hAnsi="仿宋_GB2312" w:eastAsia="仿宋_GB2312" w:cs="仿宋_GB2312"/>
                <w:color w:val="000000"/>
                <w:sz w:val="15"/>
                <w:szCs w:val="15"/>
              </w:rPr>
            </w:pPr>
            <w:r>
              <w:rPr>
                <w:rFonts w:hint="eastAsia" w:ascii="仿宋_GB2312" w:hAnsi="仿宋_GB2312" w:eastAsia="仿宋_GB2312" w:cs="仿宋_GB2312"/>
                <w:color w:val="000000"/>
                <w:kern w:val="0"/>
                <w:sz w:val="15"/>
                <w:szCs w:val="15"/>
              </w:rPr>
              <w:t xml:space="preserve">  其他国有土地使用权出让收入安排的支出</w:t>
            </w:r>
          </w:p>
        </w:tc>
        <w:tc>
          <w:tcPr>
            <w:tcW w:w="3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67.00</w:t>
            </w:r>
          </w:p>
        </w:tc>
        <w:tc>
          <w:tcPr>
            <w:tcW w:w="111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67.00</w:t>
            </w:r>
          </w:p>
        </w:tc>
        <w:tc>
          <w:tcPr>
            <w:tcW w:w="9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09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67.00</w:t>
            </w:r>
          </w:p>
        </w:tc>
        <w:tc>
          <w:tcPr>
            <w:tcW w:w="3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4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6" name="矩形 13"/>
                              <wps:cNvSpPr/>
                              <wps:spPr>
                                <a:xfrm>
                                  <a:off x="4551" y="52615"/>
                                  <a:ext cx="8546" cy="1175"/>
                                </a:xfrm>
                                <a:prstGeom prst="rect">
                                  <a:avLst/>
                                </a:prstGeom>
                                <a:solidFill>
                                  <a:srgbClr val="96DA9D"/>
                                </a:solidFill>
                                <a:ln w="25400">
                                  <a:noFill/>
                                </a:ln>
                              </wps:spPr>
                              <wps:bodyPr anchor="ctr" upright="1"/>
                            </wps:wsp>
                            <wps:wsp>
                              <wps:cNvPr id="4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D2qN8uwQIA&#10;AA0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GnrUoLsAAADb&#10;AAAADwAAAGRycy9kb3ducmV2LnhtbEWPQWsCMRSE74L/ITyht/qyp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Uo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7J4r74AAADb&#10;AAAADwAAAGRycy9kb3ducmV2LnhtbEWP3WoCMRSE7wXfIZxC7zSrl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4r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ind w:firstLine="440" w:firstLineChars="200"/>
              <w:jc w:val="left"/>
              <w:textAlignment w:val="center"/>
              <w:rPr>
                <w:rFonts w:ascii="宋体" w:cs="宋体"/>
                <w:color w:val="000000"/>
                <w:sz w:val="22"/>
                <w:szCs w:val="22"/>
              </w:rPr>
            </w:pPr>
            <w:r>
              <w:rPr>
                <w:rFonts w:hint="eastAsia" w:ascii="宋体" w:hAnsi="宋体" w:cs="宋体"/>
                <w:color w:val="000000"/>
                <w:kern w:val="0"/>
                <w:sz w:val="22"/>
                <w:szCs w:val="22"/>
              </w:rPr>
              <w:t>我单位2018年度无政府性基金预算及国有资本经营预算，按要求空表列示。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12700" r="1905" b="0"/>
                      <wp:wrapNone/>
                      <wp:docPr id="5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9" name="矩形 13"/>
                              <wps:cNvSpPr/>
                              <wps:spPr>
                                <a:xfrm>
                                  <a:off x="4551" y="52615"/>
                                  <a:ext cx="8546" cy="1175"/>
                                </a:xfrm>
                                <a:prstGeom prst="rect">
                                  <a:avLst/>
                                </a:prstGeom>
                                <a:solidFill>
                                  <a:srgbClr val="96DA9D"/>
                                </a:solidFill>
                                <a:ln w="25400">
                                  <a:noFill/>
                                </a:ln>
                              </wps:spPr>
                              <wps:bodyPr anchor="ctr" upright="1"/>
                            </wps:wsp>
                            <wps:wsp>
                              <wps:cNvPr id="5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DAlSJLwQIA&#10;AA0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我单位2018年度无政府采购预算及支出情况，按要求空表列示。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88960" behindDoc="0" locked="1" layoutInCell="1" allowOverlap="1">
                <wp:simplePos x="0" y="0"/>
                <wp:positionH relativeFrom="column">
                  <wp:posOffset>-1009650</wp:posOffset>
                </wp:positionH>
                <wp:positionV relativeFrom="page">
                  <wp:posOffset>372110</wp:posOffset>
                </wp:positionV>
                <wp:extent cx="3833495" cy="558165"/>
                <wp:effectExtent l="1270" t="12700" r="5715" b="0"/>
                <wp:wrapNone/>
                <wp:docPr id="66"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4" name="矩形 13"/>
                        <wps:cNvSpPr/>
                        <wps:spPr>
                          <a:xfrm>
                            <a:off x="4551" y="52615"/>
                            <a:ext cx="8546" cy="1175"/>
                          </a:xfrm>
                          <a:prstGeom prst="rect">
                            <a:avLst/>
                          </a:prstGeom>
                          <a:solidFill>
                            <a:srgbClr val="96DA9D"/>
                          </a:solidFill>
                          <a:ln w="25400">
                            <a:noFill/>
                          </a:ln>
                        </wps:spPr>
                        <wps:bodyPr anchor="ctr" upright="1"/>
                      </wps:wsp>
                      <wps:wsp>
                        <wps:cNvPr id="6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8896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FgSlrjE&#10;AgAADQ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zlGzLLsAAADb&#10;AAAADwAAAGRycy9kb3ducmV2LnhtbEWPQWsCMRSE74L/ITyht/qyp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GzL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5kfI74AAADb&#10;AAAADwAAAGRycy9kb3ducmV2LnhtbEWPzWrDMBCE74G8g9hAbrGcQk1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kfI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年度收入总计（含结转和结余）22084.54万元。与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年度决算相比，收入增加15448.75万元，增长232.18</w:t>
      </w:r>
      <w:r>
        <w:rPr>
          <w:rFonts w:ascii="仿宋_GB2312" w:eastAsia="仿宋_GB2312" w:cs="DengXian-Regular"/>
          <w:sz w:val="32"/>
          <w:szCs w:val="32"/>
        </w:rPr>
        <w:t>%</w:t>
      </w:r>
      <w:r>
        <w:rPr>
          <w:rFonts w:hint="eastAsia" w:ascii="仿宋_GB2312" w:eastAsia="仿宋_GB2312" w:cs="DengXian-Regular"/>
          <w:sz w:val="32"/>
          <w:szCs w:val="32"/>
        </w:rPr>
        <w:t>，主要原因是2018年度气代煤工程补贴资金增加预算。本部门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年度支出总计（含结转和结余）22084.54万元。与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年度决算相比，支出增加13027.00万元，增长196.31</w:t>
      </w:r>
      <w:r>
        <w:rPr>
          <w:rFonts w:ascii="仿宋_GB2312" w:eastAsia="仿宋_GB2312" w:cs="DengXian-Regular"/>
          <w:sz w:val="32"/>
          <w:szCs w:val="32"/>
        </w:rPr>
        <w:t>%</w:t>
      </w:r>
      <w:r>
        <w:rPr>
          <w:rFonts w:hint="eastAsia" w:ascii="仿宋_GB2312" w:eastAsia="仿宋_GB2312" w:cs="DengXian-Regular"/>
          <w:sz w:val="32"/>
          <w:szCs w:val="32"/>
        </w:rPr>
        <w:t>，主要原因是2018年度气代煤工程补贴资金支出增大。</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年度本年收入合计22084.54万元，其中：财政拨款收入9919.14万元，占44.91</w:t>
      </w:r>
      <w:r>
        <w:rPr>
          <w:rFonts w:ascii="仿宋_GB2312" w:eastAsia="仿宋_GB2312" w:cs="DengXian-Regular"/>
          <w:sz w:val="32"/>
          <w:szCs w:val="32"/>
        </w:rPr>
        <w:t>%</w:t>
      </w:r>
      <w:r>
        <w:rPr>
          <w:rFonts w:hint="eastAsia" w:ascii="仿宋_GB2312" w:eastAsia="仿宋_GB2312" w:cs="DengXian-Regular"/>
          <w:sz w:val="32"/>
          <w:szCs w:val="32"/>
        </w:rPr>
        <w:t>；政府性基金预算拨款收入12165.40万元，占55.09</w:t>
      </w:r>
      <w:r>
        <w:rPr>
          <w:rFonts w:ascii="仿宋_GB2312" w:eastAsia="仿宋_GB2312" w:cs="DengXian-Regular"/>
          <w:sz w:val="32"/>
          <w:szCs w:val="32"/>
        </w:rPr>
        <w:t>%</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pict>
          <v:shape id="_x0000_s1130" o:spid="_x0000_s1130" o:spt="75" type="#_x0000_t75" style="position:absolute;left:0pt;margin-left:-51.25pt;margin-top:3.2pt;height:368.45pt;width:518.25pt;z-index:251689984;mso-width-relative:page;mso-height-relative:page;" o:ole="t" filled="f" o:preferrelative="t" stroked="f" coordsize="21600,21600">
            <v:path/>
            <v:fill on="f" focussize="0,0"/>
            <v:stroke on="f" joinstyle="miter"/>
            <v:imagedata r:id="rId9" o:title=""/>
            <o:lock v:ext="edit" aspectratio="t"/>
          </v:shape>
          <o:OLEObject Type="Embed" ProgID="MSGraph.Chart.8" ShapeID="_x0000_s1130" DrawAspect="Content" ObjectID="_1468075725" r:id="rId8">
            <o:LockedField>false</o:LockedField>
          </o:OLEObject>
        </w:pic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r>
        <w:rPr>
          <w:sz w:val="32"/>
        </w:rPr>
        <mc:AlternateContent>
          <mc:Choice Requires="wps">
            <w:drawing>
              <wp:anchor distT="0" distB="0" distL="114300" distR="114300" simplePos="0" relativeHeight="251669504" behindDoc="0" locked="0" layoutInCell="1" allowOverlap="1">
                <wp:simplePos x="0" y="0"/>
                <wp:positionH relativeFrom="column">
                  <wp:posOffset>1565275</wp:posOffset>
                </wp:positionH>
                <wp:positionV relativeFrom="paragraph">
                  <wp:posOffset>1366520</wp:posOffset>
                </wp:positionV>
                <wp:extent cx="2465705" cy="407670"/>
                <wp:effectExtent l="0" t="0" r="3175" b="3810"/>
                <wp:wrapNone/>
                <wp:docPr id="13" name="文本框 32"/>
                <wp:cNvGraphicFramePr/>
                <a:graphic xmlns:a="http://schemas.openxmlformats.org/drawingml/2006/main">
                  <a:graphicData uri="http://schemas.microsoft.com/office/word/2010/wordprocessingShape">
                    <wps:wsp>
                      <wps:cNvSpPr txBox="1"/>
                      <wps:spPr>
                        <a:xfrm>
                          <a:off x="0" y="0"/>
                          <a:ext cx="2465705" cy="407670"/>
                        </a:xfrm>
                        <a:prstGeom prst="rect">
                          <a:avLst/>
                        </a:prstGeom>
                        <a:solidFill>
                          <a:srgbClr val="C8ECCC"/>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1</w:t>
                            </w:r>
                            <w:r>
                              <w:rPr>
                                <w:rFonts w:hint="eastAsia" w:ascii="仿宋_GB2312" w:eastAsia="仿宋_GB2312" w:cs="DengXian-Regular"/>
                                <w:sz w:val="28"/>
                                <w:szCs w:val="28"/>
                              </w:rPr>
                              <w:t>：收入构成情况</w:t>
                            </w:r>
                          </w:p>
                          <w:p>
                            <w:pPr>
                              <w:rPr>
                                <w:sz w:val="20"/>
                                <w:szCs w:val="22"/>
                              </w:rPr>
                            </w:pPr>
                          </w:p>
                        </w:txbxContent>
                      </wps:txbx>
                      <wps:bodyPr upright="1"/>
                    </wps:wsp>
                  </a:graphicData>
                </a:graphic>
              </wp:anchor>
            </w:drawing>
          </mc:Choice>
          <mc:Fallback>
            <w:pict>
              <v:shape id="文本框 32" o:spid="_x0000_s1026" o:spt="202" type="#_x0000_t202" style="position:absolute;left:0pt;margin-left:123.25pt;margin-top:107.6pt;height:32.1pt;width:194.15pt;z-index:251669504;mso-width-relative:page;mso-height-relative:page;" fillcolor="#C8ECCC" filled="t" stroked="f" coordsize="21600,21600" o:gfxdata="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GOPtNoAAAALAQAADwAAAAAAAAABACAAAAAi&#10;AAAAZHJzL2Rvd25yZXYueG1sUEsBAhQAFAAAAAgAh07iQIBt0xHPAQAAggMAAA4AAAAAAAAAAQAg&#10;AAAAKQEAAGRycy9lMm9Eb2MueG1sUEsFBgAAAAAGAAYAWQEAAGo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1</w:t>
                      </w:r>
                      <w:r>
                        <w:rPr>
                          <w:rFonts w:hint="eastAsia" w:ascii="仿宋_GB2312" w:eastAsia="仿宋_GB2312" w:cs="DengXian-Regular"/>
                          <w:sz w:val="28"/>
                          <w:szCs w:val="28"/>
                        </w:rPr>
                        <w:t>：收入构成情况</w:t>
                      </w:r>
                    </w:p>
                    <w:p>
                      <w:pPr>
                        <w:rPr>
                          <w:sz w:val="20"/>
                          <w:szCs w:val="22"/>
                        </w:rPr>
                      </w:pPr>
                    </w:p>
                  </w:txbxContent>
                </v:textbox>
              </v:shape>
            </w:pict>
          </mc:Fallback>
        </mc:AlternateContent>
      </w: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rPr>
          <w:rFonts w:ascii="黑体" w:eastAsia="黑体"/>
          <w:b w:val="0"/>
          <w:bCs w:val="0"/>
        </w:rPr>
      </w:pPr>
    </w:p>
    <w:p/>
    <w:p>
      <w:pPr>
        <w:pStyle w:val="3"/>
        <w:keepNext w:val="0"/>
        <w:keepLines w:val="0"/>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 xml:space="preserve">    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年度本年支出合计19662.78万元，其中：基本支出994.84万元，占5.06</w:t>
      </w:r>
      <w:r>
        <w:rPr>
          <w:rFonts w:ascii="仿宋_GB2312" w:eastAsia="仿宋_GB2312" w:cs="DengXian-Regular"/>
          <w:sz w:val="32"/>
          <w:szCs w:val="32"/>
        </w:rPr>
        <w:t>%</w:t>
      </w:r>
      <w:r>
        <w:rPr>
          <w:rFonts w:hint="eastAsia" w:ascii="仿宋_GB2312" w:eastAsia="仿宋_GB2312" w:cs="DengXian-Regular"/>
          <w:sz w:val="32"/>
          <w:szCs w:val="32"/>
        </w:rPr>
        <w:t>；项目支出18667.94万元，占94.94%。如图所示：</w:t>
      </w:r>
    </w:p>
    <w:p>
      <w:pPr>
        <w:adjustRightInd w:val="0"/>
        <w:snapToGrid w:val="0"/>
        <w:spacing w:after="0" w:line="580" w:lineRule="exact"/>
        <w:ind w:firstLine="1920" w:firstLineChars="600"/>
        <w:rPr>
          <w:rFonts w:ascii="仿宋_GB2312" w:eastAsia="仿宋_GB2312" w:cs="DengXian-Regular"/>
          <w:sz w:val="32"/>
          <w:szCs w:val="32"/>
        </w:rPr>
      </w:pPr>
      <w:r>
        <w:rPr>
          <w:rFonts w:ascii="仿宋_GB2312" w:eastAsia="仿宋_GB2312" w:cs="DengXian-Regular"/>
          <w:sz w:val="32"/>
          <w:szCs w:val="32"/>
        </w:rPr>
        <w:pict>
          <v:shape id="_x0000_s1133" o:spid="_x0000_s1133" o:spt="75" type="#_x0000_t75" style="position:absolute;left:0pt;margin-left:-23.7pt;margin-top:12.35pt;height:148.65pt;width:457.2pt;z-index:251692032;mso-width-relative:page;mso-height-relative:page;" o:ole="t" filled="f" o:preferrelative="t" stroked="f" coordsize="21600,21600">
            <v:path/>
            <v:fill on="f" focussize="0,0"/>
            <v:stroke on="f" joinstyle="miter"/>
            <v:imagedata r:id="rId11" o:title=""/>
            <o:lock v:ext="edit" aspectratio="t"/>
          </v:shape>
          <o:OLEObject Type="Embed" ProgID="MSGraph.Chart.8" ShapeID="_x0000_s1133" DrawAspect="Content" ObjectID="_1468075726" r:id="rId10">
            <o:LockedField>false</o:LockedField>
          </o:OLEObject>
        </w:pict>
      </w: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12700" r="5715" b="0"/>
                <wp:wrapNone/>
                <wp:docPr id="54"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52" name="矩形 13"/>
                        <wps:cNvSpPr/>
                        <wps:spPr>
                          <a:xfrm>
                            <a:off x="4551" y="52615"/>
                            <a:ext cx="8546" cy="1175"/>
                          </a:xfrm>
                          <a:prstGeom prst="rect">
                            <a:avLst/>
                          </a:prstGeom>
                          <a:solidFill>
                            <a:srgbClr val="96DA9D"/>
                          </a:solidFill>
                          <a:ln w="25400">
                            <a:noFill/>
                          </a:ln>
                        </wps:spPr>
                        <wps:bodyPr anchor="ctr" upright="1"/>
                      </wps:wsp>
                      <wps:wsp>
                        <wps:cNvPr id="5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0" o:spid="_x0000_s1026" o:spt="203" style="position:absolute;left:0pt;margin-left:-79.5pt;margin-top:29.3pt;height:43.95pt;width:301.85pt;mso-position-vertical-relative:page;z-index:25168486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D8HeqrBAgAA&#10;DQ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4JhEfroAAADb&#10;AAAADwAAAGRycy9kb3ducmV2LnhtbEWPQWsCMRSE74L/ITyhN31ZwVK2Rg8FwVOhtj309tg8N4ub&#10;lyWJ6/bfNwXB4zAz3zDb/eR7NXJMXRAD1UqDYmmC7aQ18PV5WL6ASpnEUh+EDfxygv1uPttSbcNN&#10;Png85VYViKSaDLichxoxNY49pVUYWIp3DtFTLjK2aCPdCtz3uNb6GT11UhYcDfzmuLmcrt4ARo7o&#10;4nSOP2m8YvWuvzfNxZinRaVfQWWe8iN8bx+tgc0a/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E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pStyle w:val="3"/>
        <w:keepNext w:val="0"/>
        <w:keepLines w:val="0"/>
        <w:spacing w:before="0" w:after="0" w:line="580" w:lineRule="exact"/>
        <w:ind w:firstLine="643" w:firstLineChars="200"/>
        <w:rPr>
          <w:rFonts w:ascii="黑体" w:eastAsia="黑体"/>
        </w:rPr>
      </w:pPr>
      <w:r>
        <w:rPr>
          <w:rFonts w:ascii="黑体" w:eastAsia="黑体"/>
        </w:rPr>
        <w:object>
          <v:shape id="_x0000_i1025" o:spt="75" type="#_x0000_t75" style="height:264pt;width:217.5pt;" o:ole="t" filled="f" o:preferrelative="t" stroked="f" coordsize="21600,21600">
            <v:path/>
            <v:fill on="f" focussize="0,0"/>
            <v:stroke on="f" joinstyle="miter"/>
            <v:imagedata r:id="rId13" o:title=""/>
            <o:lock v:ext="edit" aspectratio="t"/>
            <w10:wrap type="none"/>
            <w10:anchorlock/>
          </v:shape>
          <o:OLEObject Type="Embed" ProgID="MSGraph.Chart.8" ShapeID="_x0000_i1025" DrawAspect="Content" ObjectID="_1468075727" r:id="rId12">
            <o:LockedField>false</o:LockedField>
          </o:OLEObject>
        </w:object>
      </w:r>
    </w:p>
    <w:p>
      <w:pPr>
        <w:pStyle w:val="3"/>
        <w:keepNext w:val="0"/>
        <w:keepLines w:val="0"/>
        <w:spacing w:before="0" w:after="0" w:line="580" w:lineRule="exact"/>
        <w:ind w:firstLine="643" w:firstLineChars="200"/>
        <w:rPr>
          <w:rFonts w:ascii="黑体" w:eastAsia="黑体"/>
        </w:rPr>
      </w:pPr>
    </w:p>
    <w:p>
      <w:pPr>
        <w:pStyle w:val="4"/>
        <w:keepNext w:val="0"/>
        <w:keepLines w:val="0"/>
        <w:spacing w:line="415" w:lineRule="auto"/>
        <w:rPr>
          <w:rFonts w:hint="eastAsia"/>
        </w:rPr>
      </w:pPr>
    </w:p>
    <w:p>
      <w:pPr>
        <w:pStyle w:val="4"/>
        <w:keepNext w:val="0"/>
        <w:keepLines w:val="0"/>
        <w:spacing w:line="415" w:lineRule="auto"/>
        <w:rPr>
          <w:rFonts w:hint="eastAsia"/>
        </w:rPr>
      </w:pPr>
      <w:r>
        <w:rPr>
          <w:rFonts w:ascii="黑体" w:eastAsia="黑体"/>
          <w:b w:val="0"/>
          <w:bCs w:val="0"/>
        </w:rPr>
        <mc:AlternateContent>
          <mc:Choice Requires="wps">
            <w:drawing>
              <wp:anchor distT="0" distB="0" distL="114300" distR="114300" simplePos="0" relativeHeight="251691008" behindDoc="1" locked="0" layoutInCell="1" allowOverlap="1">
                <wp:simplePos x="0" y="0"/>
                <wp:positionH relativeFrom="column">
                  <wp:posOffset>1247775</wp:posOffset>
                </wp:positionH>
                <wp:positionV relativeFrom="paragraph">
                  <wp:posOffset>213360</wp:posOffset>
                </wp:positionV>
                <wp:extent cx="3159125" cy="483870"/>
                <wp:effectExtent l="0" t="0" r="10795" b="3810"/>
                <wp:wrapNone/>
                <wp:docPr id="67" name="文本框 30"/>
                <wp:cNvGraphicFramePr/>
                <a:graphic xmlns:a="http://schemas.openxmlformats.org/drawingml/2006/main">
                  <a:graphicData uri="http://schemas.microsoft.com/office/word/2010/wordprocessingShape">
                    <wps:wsp>
                      <wps:cNvSpPr txBox="1"/>
                      <wps:spPr>
                        <a:xfrm>
                          <a:off x="0" y="0"/>
                          <a:ext cx="3159125" cy="483870"/>
                        </a:xfrm>
                        <a:prstGeom prst="rect">
                          <a:avLst/>
                        </a:prstGeom>
                        <a:solidFill>
                          <a:srgbClr val="C8ECCC"/>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2</w:t>
                            </w:r>
                            <w:r>
                              <w:rPr>
                                <w:rFonts w:hint="eastAsia" w:ascii="仿宋_GB2312" w:eastAsia="仿宋_GB2312" w:cs="DengXian-Regular"/>
                                <w:sz w:val="28"/>
                                <w:szCs w:val="28"/>
                              </w:rPr>
                              <w:t>：支出构成情况（按支出性质）</w:t>
                            </w:r>
                          </w:p>
                          <w:p>
                            <w:pPr>
                              <w:rPr>
                                <w:sz w:val="20"/>
                                <w:szCs w:val="22"/>
                              </w:rPr>
                            </w:pPr>
                          </w:p>
                        </w:txbxContent>
                      </wps:txbx>
                      <wps:bodyPr upright="1"/>
                    </wps:wsp>
                  </a:graphicData>
                </a:graphic>
              </wp:anchor>
            </w:drawing>
          </mc:Choice>
          <mc:Fallback>
            <w:pict>
              <v:shape id="文本框 30" o:spid="_x0000_s1026" o:spt="202" type="#_x0000_t202" style="position:absolute;left:0pt;margin-left:98.25pt;margin-top:16.8pt;height:38.1pt;width:248.75pt;z-index:-251625472;mso-width-relative:page;mso-height-relative:page;" fillcolor="#C8ECCC" filled="t" stroked="f" coordsize="21600,21600" o:gfxdata="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cqfp/XAAAACgEAAA8AAAAAAAAAAQAgAAAAIgAAAGRy&#10;cy9kb3ducmV2LnhtbFBLAQIUABQAAAAIAIdO4kCGMc26zQEAAIIDAAAOAAAAAAAAAAEAIAAAACYB&#10;AABkcnMvZTJvRG9jLnhtbFBLBQYAAAAABgAGAFkBAABl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2</w:t>
                      </w:r>
                      <w:r>
                        <w:rPr>
                          <w:rFonts w:hint="eastAsia" w:ascii="仿宋_GB2312" w:eastAsia="仿宋_GB2312" w:cs="DengXian-Regular"/>
                          <w:sz w:val="28"/>
                          <w:szCs w:val="28"/>
                        </w:rPr>
                        <w:t>：支出构成情况（按支出性质）</w:t>
                      </w:r>
                    </w:p>
                    <w:p>
                      <w:pPr>
                        <w:rPr>
                          <w:sz w:val="20"/>
                          <w:szCs w:val="22"/>
                        </w:rPr>
                      </w:pPr>
                    </w:p>
                  </w:txbxContent>
                </v:textbox>
              </v:shape>
            </w:pict>
          </mc:Fallback>
        </mc:AlternateContent>
      </w:r>
    </w:p>
    <w:p>
      <w:pPr>
        <w:pStyle w:val="3"/>
        <w:keepNext w:val="0"/>
        <w:keepLines w:val="0"/>
        <w:spacing w:before="0" w:after="0" w:line="580" w:lineRule="exact"/>
        <w:rPr>
          <w:rFonts w:ascii="黑体" w:eastAsia="黑体"/>
          <w:b w:val="0"/>
          <w:bCs w:val="0"/>
        </w:rPr>
      </w:pPr>
    </w:p>
    <w:p>
      <w:pPr>
        <w:pStyle w:val="3"/>
        <w:keepNext w:val="0"/>
        <w:keepLines w:val="0"/>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年度财政拨款本年收入22084.54万元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年度增加15448.76万元，增长232.81</w:t>
      </w:r>
      <w:r>
        <w:rPr>
          <w:rFonts w:ascii="仿宋_GB2312" w:eastAsia="仿宋_GB2312" w:cs="DengXian-Regular"/>
          <w:sz w:val="32"/>
          <w:szCs w:val="32"/>
        </w:rPr>
        <w:t>%</w:t>
      </w:r>
      <w:r>
        <w:rPr>
          <w:rFonts w:hint="eastAsia" w:ascii="仿宋_GB2312" w:eastAsia="仿宋_GB2312" w:cs="DengXian-Regular"/>
          <w:sz w:val="32"/>
          <w:szCs w:val="32"/>
        </w:rPr>
        <w:t>，主要是2018</w:t>
      </w:r>
      <w:r>
        <w:rPr>
          <w:rFonts w:hint="eastAsia" w:ascii="宋体" w:hAnsi="宋体" w:cs="宋体"/>
          <w:sz w:val="32"/>
          <w:szCs w:val="32"/>
        </w:rPr>
        <w:t>年度气代煤工程资金增加</w:t>
      </w:r>
      <w:r>
        <w:rPr>
          <w:rFonts w:hint="eastAsia" w:ascii="仿宋_GB2312" w:eastAsia="仿宋_GB2312" w:cs="DengXian-Regular"/>
          <w:sz w:val="32"/>
          <w:szCs w:val="32"/>
        </w:rPr>
        <w:t>；本年支出19662.78万元，</w:t>
      </w:r>
      <w:r>
        <w:rPr>
          <w:rFonts w:hint="eastAsia" w:ascii="宋体" w:hAnsi="宋体" w:cs="宋体"/>
          <w:sz w:val="32"/>
          <w:szCs w:val="32"/>
        </w:rPr>
        <w:t>年末结转和结余2412.76万元，</w:t>
      </w:r>
      <w:r>
        <w:rPr>
          <w:rFonts w:hint="eastAsia" w:ascii="仿宋_GB2312" w:eastAsia="仿宋_GB2312" w:cs="DengXian-Regular"/>
          <w:sz w:val="32"/>
          <w:szCs w:val="32"/>
        </w:rPr>
        <w:t>增加13027万元，增长196.31</w:t>
      </w:r>
      <w:r>
        <w:rPr>
          <w:rFonts w:ascii="仿宋_GB2312" w:eastAsia="仿宋_GB2312" w:cs="DengXian-Regular"/>
          <w:sz w:val="32"/>
          <w:szCs w:val="32"/>
        </w:rPr>
        <w:t>%</w:t>
      </w:r>
      <w:r>
        <w:rPr>
          <w:rFonts w:hint="eastAsia" w:ascii="仿宋_GB2312" w:eastAsia="仿宋_GB2312" w:cs="DengXian-Regular"/>
          <w:sz w:val="32"/>
          <w:szCs w:val="32"/>
        </w:rPr>
        <w:t>，主要是2018</w:t>
      </w:r>
      <w:r>
        <w:rPr>
          <w:rFonts w:hint="eastAsia" w:ascii="宋体" w:hAnsi="宋体" w:cs="宋体"/>
          <w:sz w:val="32"/>
          <w:szCs w:val="32"/>
        </w:rPr>
        <w:t>年气代煤工程补贴资金支出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其中：一般公共预算财政拨款本年收入9919.14万元，比上年增加4641.46万元；主要是</w:t>
      </w:r>
      <w:r>
        <w:rPr>
          <w:rFonts w:hint="eastAsia" w:ascii="宋体" w:hAnsi="宋体" w:cs="宋体"/>
          <w:sz w:val="32"/>
          <w:szCs w:val="32"/>
        </w:rPr>
        <w:t>机构合并</w:t>
      </w:r>
      <w:r>
        <w:rPr>
          <w:rFonts w:hint="eastAsia" w:ascii="仿宋_GB2312" w:eastAsia="仿宋_GB2312" w:cs="DengXian-Regular"/>
          <w:sz w:val="32"/>
          <w:szCs w:val="32"/>
        </w:rPr>
        <w:t>；本年支出9919.14万元，比上年增加4641.46万元，增长87.95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宋体" w:hAnsi="宋体" w:cs="宋体"/>
          <w:sz w:val="32"/>
          <w:szCs w:val="32"/>
        </w:rPr>
        <w:t>机构合并</w:t>
      </w:r>
      <w:r>
        <w:rPr>
          <w:rFonts w:hint="eastAsia" w:ascii="仿宋_GB2312" w:eastAsia="仿宋_GB2312" w:cs="DengXian-Regular"/>
          <w:sz w:val="32"/>
          <w:szCs w:val="32"/>
        </w:rPr>
        <w:t>。政府性基金预算财政拨款本年收入12165.39万元，比上年增加10807.29万元，增长795.77</w:t>
      </w:r>
      <w:r>
        <w:rPr>
          <w:rFonts w:ascii="仿宋_GB2312" w:eastAsia="仿宋_GB2312" w:cs="DengXian-Regular"/>
          <w:sz w:val="32"/>
          <w:szCs w:val="32"/>
        </w:rPr>
        <w:t>x%</w:t>
      </w:r>
      <w:r>
        <w:rPr>
          <w:rFonts w:hint="eastAsia" w:ascii="仿宋_GB2312" w:eastAsia="仿宋_GB2312" w:cs="DengXian-Regular"/>
          <w:sz w:val="32"/>
          <w:szCs w:val="32"/>
        </w:rPr>
        <w:t>，主要原因是</w:t>
      </w:r>
      <w:r>
        <w:rPr>
          <w:rFonts w:hint="eastAsia" w:ascii="宋体" w:hAnsi="宋体" w:cs="宋体"/>
          <w:sz w:val="32"/>
          <w:szCs w:val="32"/>
        </w:rPr>
        <w:t>解决工经办历史遗留问题</w:t>
      </w:r>
      <w:r>
        <w:rPr>
          <w:rFonts w:hint="eastAsia" w:ascii="仿宋_GB2312" w:eastAsia="仿宋_GB2312" w:cs="DengXian-Regular"/>
          <w:sz w:val="32"/>
          <w:szCs w:val="32"/>
        </w:rPr>
        <w:t>；本年支出19662.78万元，比上年增加13027万元，增长196.31</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宋体" w:hAnsi="宋体" w:cs="宋体"/>
          <w:sz w:val="32"/>
          <w:szCs w:val="32"/>
        </w:rPr>
        <w:t>气代煤工程补贴资金支出增加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pict>
          <v:shape id="_x0000_s1134" o:spid="_x0000_s1134" o:spt="75" type="#_x0000_t75" style="position:absolute;left:0pt;margin-left:4.3pt;margin-top:3.25pt;height:251.55pt;width:445.65pt;z-index:251694080;mso-width-relative:page;mso-height-relative:page;" o:ole="t" filled="f" o:preferrelative="t" stroked="f" coordsize="21600,21600">
            <v:path/>
            <v:fill on="f" focussize="0,0"/>
            <v:stroke on="f" joinstyle="miter"/>
            <v:imagedata r:id="rId15" o:title=""/>
            <o:lock v:ext="edit" aspectratio="t"/>
          </v:shape>
          <o:OLEObject Type="Embed" ProgID="MSGraph.Chart.8" ShapeID="_x0000_s1134" DrawAspect="Content" ObjectID="_1468075728" r:id="rId14">
            <o:LockedField>false</o:LockedField>
          </o:OLEObject>
        </w:pic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0" w:firstLineChars="200"/>
        <w:rPr>
          <w:rFonts w:hint="eastAsia" w:ascii="楷体_GB2312" w:eastAsia="楷体_GB2312" w:cs="DengXian-Bold"/>
          <w:b/>
          <w:bCs/>
          <w:sz w:val="32"/>
          <w:szCs w:val="32"/>
        </w:rPr>
      </w:pPr>
      <w:r>
        <w:rPr>
          <w:rFonts w:ascii="仿宋_GB2312" w:eastAsia="仿宋_GB2312" w:cs="DengXian-Regular"/>
          <w:sz w:val="32"/>
          <w:szCs w:val="32"/>
        </w:rPr>
        <mc:AlternateContent>
          <mc:Choice Requires="wps">
            <w:drawing>
              <wp:anchor distT="0" distB="0" distL="114300" distR="114300" simplePos="0" relativeHeight="251693056" behindDoc="1" locked="0" layoutInCell="1" allowOverlap="1">
                <wp:simplePos x="0" y="0"/>
                <wp:positionH relativeFrom="column">
                  <wp:posOffset>651510</wp:posOffset>
                </wp:positionH>
                <wp:positionV relativeFrom="paragraph">
                  <wp:posOffset>239395</wp:posOffset>
                </wp:positionV>
                <wp:extent cx="4204970" cy="471805"/>
                <wp:effectExtent l="0" t="0" r="1270" b="635"/>
                <wp:wrapNone/>
                <wp:docPr id="68" name="文本框 66"/>
                <wp:cNvGraphicFramePr/>
                <a:graphic xmlns:a="http://schemas.openxmlformats.org/drawingml/2006/main">
                  <a:graphicData uri="http://schemas.microsoft.com/office/word/2010/wordprocessingShape">
                    <wps:wsp>
                      <wps:cNvSpPr txBox="1"/>
                      <wps:spPr>
                        <a:xfrm>
                          <a:off x="0" y="0"/>
                          <a:ext cx="4204970" cy="471805"/>
                        </a:xfrm>
                        <a:prstGeom prst="rect">
                          <a:avLst/>
                        </a:prstGeom>
                        <a:solidFill>
                          <a:srgbClr val="C8ECCC"/>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wps:txbx>
                      <wps:bodyPr upright="1"/>
                    </wps:wsp>
                  </a:graphicData>
                </a:graphic>
              </wp:anchor>
            </w:drawing>
          </mc:Choice>
          <mc:Fallback>
            <w:pict>
              <v:shape id="文本框 66" o:spid="_x0000_s1026" o:spt="202" type="#_x0000_t202" style="position:absolute;left:0pt;margin-left:51.3pt;margin-top:18.85pt;height:37.15pt;width:331.1pt;z-index:-251623424;mso-width-relative:page;mso-height-relative:page;" fillcolor="#C8ECCC" filled="t" stroked="f" coordsize="21600,21600" o:gfxdata="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OOTh1wAAAAoBAAAPAAAAAAAAAAEAIAAAACIAAABkcnMv&#10;ZG93bnJldi54bWxQSwECFAAUAAAACACHTuJAA5Vdj8sBAACCAwAADgAAAAAAAAABACAAAAAmAQAA&#10;ZHJzL2Uyb0RvYy54bWxQSwUGAAAAAAYABgBZAQAAYw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v:textbox>
              </v:shape>
            </w:pict>
          </mc:Fallback>
        </mc:AlternateContent>
      </w: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年度财政拨款本年收入22084.54万元，完成年初预算的1386.65</w:t>
      </w:r>
      <w:r>
        <w:rPr>
          <w:rFonts w:ascii="仿宋_GB2312" w:eastAsia="仿宋_GB2312" w:cs="DengXian-Regular"/>
          <w:sz w:val="32"/>
          <w:szCs w:val="32"/>
        </w:rPr>
        <w:t>%,</w:t>
      </w:r>
      <w:r>
        <w:rPr>
          <w:rFonts w:hint="eastAsia" w:ascii="仿宋_GB2312" w:eastAsia="仿宋_GB2312" w:cs="DengXian-Regular"/>
          <w:sz w:val="32"/>
          <w:szCs w:val="32"/>
        </w:rPr>
        <w:t>比年初预算增加20599.02万元，决算数大于预算数主要原因是追加项目补贴资金；本年支出19662.78万元，完成年初预算的1223.63</w:t>
      </w:r>
      <w:r>
        <w:rPr>
          <w:rFonts w:ascii="仿宋_GB2312" w:eastAsia="仿宋_GB2312" w:cs="DengXian-Regular"/>
          <w:sz w:val="32"/>
          <w:szCs w:val="32"/>
        </w:rPr>
        <w:t>%,</w:t>
      </w:r>
      <w:r>
        <w:rPr>
          <w:rFonts w:hint="eastAsia" w:ascii="仿宋_GB2312" w:eastAsia="仿宋_GB2312" w:cs="DengXian-Regular"/>
          <w:sz w:val="32"/>
          <w:szCs w:val="32"/>
        </w:rPr>
        <w:t>比年初预算增加18177.26万元，决算数大于预算数主要原因是主要是2018年气代煤工程、洁净型煤推广补贴项目、企业三年解忧等专项资金增加。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其中，一般公共预算财政拨款本年收入完成年初预算567.72</w:t>
      </w:r>
      <w:r>
        <w:rPr>
          <w:rFonts w:ascii="仿宋_GB2312" w:eastAsia="仿宋_GB2312" w:cs="DengXian-Regular"/>
          <w:sz w:val="32"/>
          <w:szCs w:val="32"/>
        </w:rPr>
        <w:t>%</w:t>
      </w:r>
      <w:r>
        <w:rPr>
          <w:rFonts w:hint="eastAsia" w:ascii="仿宋_GB2312" w:eastAsia="仿宋_GB2312" w:cs="DengXian-Regular"/>
          <w:sz w:val="32"/>
          <w:szCs w:val="32"/>
        </w:rPr>
        <w:t>，比年初预算增加8433.62万元，主要是洁净型煤推广补贴项目；支出完成年初预算567.72</w:t>
      </w:r>
      <w:r>
        <w:rPr>
          <w:rFonts w:ascii="仿宋_GB2312" w:eastAsia="仿宋_GB2312" w:cs="DengXian-Regular"/>
          <w:sz w:val="32"/>
          <w:szCs w:val="32"/>
        </w:rPr>
        <w:t>%</w:t>
      </w:r>
      <w:r>
        <w:rPr>
          <w:rFonts w:hint="eastAsia" w:ascii="仿宋_GB2312" w:eastAsia="仿宋_GB2312" w:cs="DengXian-Regular"/>
          <w:sz w:val="32"/>
          <w:szCs w:val="32"/>
        </w:rPr>
        <w:t>，比年初预算增加8433.62万元，主要是洁净型煤推广补贴项目。政府性基金预算财政拨款本年收入完成年初预算1216.54</w:t>
      </w:r>
      <w:r>
        <w:rPr>
          <w:rFonts w:ascii="仿宋_GB2312" w:eastAsia="仿宋_GB2312" w:cs="DengXian-Regular"/>
          <w:sz w:val="32"/>
          <w:szCs w:val="32"/>
        </w:rPr>
        <w:t>%</w:t>
      </w:r>
      <w:r>
        <w:rPr>
          <w:rFonts w:hint="eastAsia" w:ascii="仿宋_GB2312" w:eastAsia="仿宋_GB2312" w:cs="DengXian-Regular"/>
          <w:sz w:val="32"/>
          <w:szCs w:val="32"/>
        </w:rPr>
        <w:t>，比年初预算增加12165.4万元，主要是企业三年解忧等专项资金增加；支出完成年初预算1216.54</w:t>
      </w:r>
      <w:r>
        <w:rPr>
          <w:rFonts w:ascii="仿宋_GB2312" w:eastAsia="仿宋_GB2312" w:cs="DengXian-Regular"/>
          <w:sz w:val="32"/>
          <w:szCs w:val="32"/>
        </w:rPr>
        <w:t>%</w:t>
      </w:r>
      <w:r>
        <w:rPr>
          <w:rFonts w:hint="eastAsia" w:ascii="仿宋_GB2312" w:eastAsia="仿宋_GB2312" w:cs="DengXian-Regular"/>
          <w:sz w:val="32"/>
          <w:szCs w:val="32"/>
        </w:rPr>
        <w:t>，比年初预算增加12165.4万元，主要是企业三年解忧等专项资金增加。</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年度财政拨款支出19662.78万元，主要用于以下方面一般公共服务（类）支出2901.56万元，占14.76</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宋体" w:hAnsi="宋体" w:cs="宋体"/>
          <w:sz w:val="32"/>
          <w:szCs w:val="32"/>
        </w:rPr>
        <w:t>节能环保</w:t>
      </w:r>
      <w:r>
        <w:rPr>
          <w:rFonts w:hint="eastAsia" w:ascii="仿宋_GB2312" w:eastAsia="仿宋_GB2312" w:cs="DengXian-Regular"/>
          <w:sz w:val="32"/>
          <w:szCs w:val="32"/>
        </w:rPr>
        <w:t>支出4159.24万元，占21.15</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宋体" w:hAnsi="宋体" w:cs="宋体"/>
          <w:sz w:val="32"/>
          <w:szCs w:val="32"/>
        </w:rPr>
        <w:t>城乡社区</w:t>
      </w:r>
      <w:r>
        <w:rPr>
          <w:rFonts w:hint="eastAsia" w:ascii="仿宋_GB2312" w:eastAsia="仿宋_GB2312" w:cs="DengXian-Regular"/>
          <w:sz w:val="32"/>
          <w:szCs w:val="32"/>
        </w:rPr>
        <w:t>支出12165.4万元，占61.87</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宋体" w:hAnsi="宋体" w:cs="宋体"/>
          <w:sz w:val="32"/>
          <w:szCs w:val="32"/>
        </w:rPr>
        <w:t>资源勘探信息</w:t>
      </w:r>
      <w:r>
        <w:rPr>
          <w:rFonts w:hint="eastAsia" w:ascii="仿宋_GB2312" w:eastAsia="仿宋_GB2312" w:cs="DengXian-Regular"/>
          <w:sz w:val="32"/>
          <w:szCs w:val="32"/>
        </w:rPr>
        <w:t>支出397.69万元，占</w:t>
      </w:r>
      <w:r>
        <w:rPr>
          <w:rFonts w:ascii="仿宋_GB2312" w:eastAsia="仿宋_GB2312" w:cs="DengXian-Regular"/>
          <w:sz w:val="32"/>
          <w:szCs w:val="32"/>
        </w:rPr>
        <w:t xml:space="preserve"> </w:t>
      </w:r>
      <w:r>
        <w:rPr>
          <w:rFonts w:hint="eastAsia" w:ascii="仿宋_GB2312" w:eastAsia="仿宋_GB2312" w:cs="DengXian-Regular"/>
          <w:sz w:val="32"/>
          <w:szCs w:val="32"/>
        </w:rPr>
        <w:t>2.02</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宋体" w:hAnsi="宋体" w:cs="宋体"/>
          <w:sz w:val="32"/>
          <w:szCs w:val="32"/>
        </w:rPr>
        <w:t>其他</w:t>
      </w:r>
      <w:r>
        <w:rPr>
          <w:rFonts w:hint="eastAsia" w:ascii="仿宋_GB2312" w:eastAsia="仿宋_GB2312" w:cs="DengXian-Regular"/>
          <w:sz w:val="32"/>
          <w:szCs w:val="32"/>
        </w:rPr>
        <w:t>支出38.6万元，占</w:t>
      </w:r>
      <w:r>
        <w:rPr>
          <w:rFonts w:ascii="仿宋_GB2312" w:eastAsia="仿宋_GB2312" w:cs="DengXian-Regular"/>
          <w:sz w:val="32"/>
          <w:szCs w:val="32"/>
        </w:rPr>
        <w:t xml:space="preserve"> </w:t>
      </w:r>
      <w:r>
        <w:rPr>
          <w:rFonts w:hint="eastAsia" w:ascii="仿宋_GB2312" w:eastAsia="仿宋_GB2312" w:cs="DengXian-Regular"/>
          <w:sz w:val="32"/>
          <w:szCs w:val="32"/>
        </w:rPr>
        <w:t>0.2</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12700" r="5715" b="0"/>
                <wp:wrapNone/>
                <wp:docPr id="57"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55" name="矩形 13"/>
                        <wps:cNvSpPr/>
                        <wps:spPr>
                          <a:xfrm>
                            <a:off x="4551" y="52615"/>
                            <a:ext cx="8546" cy="1175"/>
                          </a:xfrm>
                          <a:prstGeom prst="rect">
                            <a:avLst/>
                          </a:prstGeom>
                          <a:solidFill>
                            <a:srgbClr val="96DA9D"/>
                          </a:solidFill>
                          <a:ln w="25400">
                            <a:noFill/>
                          </a:ln>
                        </wps:spPr>
                        <wps:bodyPr anchor="ctr" upright="1"/>
                      </wps:wsp>
                      <wps:wsp>
                        <wps:cNvPr id="5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5888;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FXqK2wAA&#10;AAsBAAAPAAAAAAAAAAEAIAAAACIAAABkcnMvZG93bnJldi54bWxQSwECFAAUAAAACACHTuJAkXt4&#10;E8YCAAANBwAADgAAAAAAAAABACAAAAAq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b3HcCroAAADb&#10;AAAADwAAAGRycy9kb3ducmV2LnhtbEWPwWrDMBBE74X8g9hAb83KBYfiRMmhUOipkDQ99LZYG8vE&#10;WhlJcdy/jwqFHoeZecNs97Mf1MQx9UEMVCsNiqUNtpfOwOnz7ekFVMokloYgbOCHE+x3i4ctNTbc&#10;5MDTMXeqQCQ1ZMDlPDaIqXXsKa3CyFK8c4iecpGxQxvpVuB+wGet1+ipl7LgaORXx+3lePUGMHJE&#10;F+dz/E7TFasP/VW3F2Mel5XegMo85//wX/vdGqhr+P1Sfg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dwK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994.85万元，其中：人员经费945.6万元，主要包括基本工资、津贴补贴、奖金、绩效工资、机关事业单位基本养老保险缴费、职工基本医疗保险缴费、住房公积金、其他社会保障缴费、退休费、抚恤金、生活补助、奖励金；公用经费</w:t>
      </w:r>
      <w:r>
        <w:rPr>
          <w:rFonts w:ascii="仿宋_GB2312" w:eastAsia="仿宋_GB2312" w:cs="DengXian-Regular"/>
          <w:sz w:val="32"/>
          <w:szCs w:val="32"/>
        </w:rPr>
        <w:t xml:space="preserve"> </w:t>
      </w:r>
      <w:r>
        <w:rPr>
          <w:rFonts w:hint="eastAsia" w:ascii="仿宋_GB2312" w:eastAsia="仿宋_GB2312" w:cs="DengXian-Regular"/>
          <w:sz w:val="32"/>
          <w:szCs w:val="32"/>
        </w:rPr>
        <w:t>49.25万元，主要包括办公费、邮电费、取暖费、差旅费、公务用车运行维护费、其他交通费用。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年度“三公”经费支出共计10万元，较年初预算一致。具体情况如下：</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（一）因公出国（境）费支出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w:t>
      </w:r>
      <w:r>
        <w:rPr>
          <w:rFonts w:hint="default"/>
          <w:lang w:val="en-US"/>
        </w:rP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12700" r="5715" b="0"/>
                <wp:wrapNone/>
                <wp:docPr id="60"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58" name="矩形 13"/>
                        <wps:cNvSpPr/>
                        <wps:spPr>
                          <a:xfrm>
                            <a:off x="4551" y="52615"/>
                            <a:ext cx="8546" cy="1175"/>
                          </a:xfrm>
                          <a:prstGeom prst="rect">
                            <a:avLst/>
                          </a:prstGeom>
                          <a:solidFill>
                            <a:srgbClr val="96DA9D"/>
                          </a:solidFill>
                          <a:ln w="25400">
                            <a:noFill/>
                          </a:ln>
                        </wps:spPr>
                        <wps:bodyPr anchor="ctr" upright="1"/>
                      </wps:wsp>
                      <wps:wsp>
                        <wps:cNvPr id="5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8691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AA8mYQwgIA&#10;AA0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gXBzlLgAAADb&#10;AAAADwAAAGRycy9kb3ducmV2LnhtbEVPPWvDMBDdC/0P4gLdkpMDKcWN7KEQ6BRo2g7dDutimVgn&#10;IymO+++rIdDx8b737eJHNXNMQxAD1UaDYumCHaQ38PV5WL+ASpnE0hiEDfxygrZ5fNhTbcNNPng+&#10;5V6VEEk1GXA5TzVi6hx7SpswsRTuHKKnXGDs0Ua6lXA/4lbrZ/Q0SGlwNPGb4+5yunoDGDmii8s5&#10;/qT5itVRf++6izFPq0q/gsq85H/x3f1uDezK2P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Bzl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Ljfm74AAADb&#10;AAAADwAAAGRycy9kb3ducmV2LnhtbEWP3WoCMRSE7wXfIZxC7zSr0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fm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lang w:val="en-US" w:eastAsia="zh-CN"/>
        </w:rPr>
        <w:t>二</w:t>
      </w:r>
      <w:r>
        <w:rPr>
          <w:rFonts w:hint="eastAsia" w:ascii="楷体_GB2312" w:eastAsia="楷体_GB2312" w:cs="DengXian-Bold"/>
          <w:b/>
          <w:bCs/>
          <w:sz w:val="32"/>
          <w:szCs w:val="32"/>
        </w:rPr>
        <w:t>）公务用车运行维护费支出10万元。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年度公务用车购置及运行维护费较年初预算减少0万元，降低0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年度未发生公务用车购置经费支出，与年初预算持平。</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年度单位公务用车保有量4辆。公车运行维护费支出较年初预算一致。</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楷体_GB2312" w:hAnsi="Times New Roman" w:eastAsia="楷体_GB2312" w:cs="DengXian-Bold"/>
          <w:b/>
          <w:bCs/>
          <w:sz w:val="32"/>
          <w:szCs w:val="32"/>
        </w:rPr>
        <w:t>（三）公务接待费支出</w:t>
      </w:r>
      <w:r>
        <w:rPr>
          <w:rFonts w:hint="eastAsia" w:ascii="楷体_GB2312" w:hAnsi="Times New Roman" w:eastAsia="楷体_GB2312" w:cs="DengXian-Bold"/>
          <w:b/>
          <w:bCs/>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9</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0" w:firstLineChars="200"/>
        <w:rPr>
          <w:rFonts w:ascii="仿宋_GB2312" w:hAnsi="仿宋_GB2312" w:eastAsia="仿宋_GB2312" w:cs="仿宋_GB2312"/>
          <w:b/>
          <w:bCs/>
          <w:sz w:val="32"/>
          <w:szCs w:val="32"/>
        </w:rPr>
      </w:pPr>
      <w:r>
        <w:rPr>
          <w:rFonts w:hint="eastAsia" w:ascii="仿宋_GB2312" w:eastAsia="仿宋_GB2312" w:cs="DengXian-Regular"/>
          <w:sz w:val="32"/>
          <w:szCs w:val="32"/>
        </w:rPr>
        <w:t xml:space="preserve">   </w:t>
      </w: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ind w:firstLine="640" w:firstLineChars="200"/>
        <w:rPr>
          <w:rFonts w:hint="eastAsia" w:ascii="仿宋" w:hAnsi="仿宋" w:eastAsia="仿宋"/>
          <w:sz w:val="28"/>
          <w:szCs w:val="28"/>
        </w:rPr>
      </w:pPr>
      <w:r>
        <w:rPr>
          <w:rFonts w:hint="eastAsia" w:ascii="仿宋_GB2312" w:eastAsia="仿宋_GB2312" w:cs="DengXian-Regular"/>
          <w:sz w:val="32"/>
          <w:szCs w:val="32"/>
        </w:rPr>
        <w:t xml:space="preserve"> 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r>
        <w:rPr>
          <w:rFonts w:hint="eastAsia" w:ascii="仿宋" w:hAnsi="仿宋" w:eastAsia="仿宋"/>
          <w:sz w:val="28"/>
          <w:szCs w:val="28"/>
        </w:rPr>
        <w:t>。</w:t>
      </w:r>
    </w:p>
    <w:p>
      <w:pPr>
        <w:adjustRightInd w:val="0"/>
        <w:snapToGrid w:val="0"/>
        <w:spacing w:line="580" w:lineRule="exact"/>
        <w:ind w:left="420" w:leftChars="200" w:firstLine="321" w:firstLineChars="100"/>
        <w:rPr>
          <w:rFonts w:hint="eastAsia" w:ascii="仿宋_GB2312" w:hAnsi="仿宋_GB2312" w:eastAsia="仿宋_GB2312" w:cs="仿宋_GB2312"/>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仿宋_GB2312" w:hAnsi="仿宋_GB2312" w:eastAsia="仿宋_GB2312" w:cs="仿宋_GB2312"/>
          <w:sz w:val="32"/>
          <w:szCs w:val="32"/>
        </w:rPr>
        <w:t>按照省财政预算绩效管理要求，</w:t>
      </w:r>
      <w:r>
        <w:rPr>
          <w:rFonts w:hint="eastAsia" w:ascii="仿宋_GB2312" w:hAnsi="仿宋_GB2312" w:eastAsia="仿宋_GB2312" w:cs="仿宋_GB2312"/>
          <w:sz w:val="32"/>
          <w:szCs w:val="32"/>
          <w:lang w:val="en-US" w:eastAsia="zh-CN"/>
        </w:rPr>
        <w:t>满城区发展改革局</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 xml:space="preserve"> 201</w:t>
      </w:r>
      <w:r>
        <w:rPr>
          <w:rFonts w:hint="eastAsia" w:ascii="仿宋_GB2312" w:hAnsi="仿宋_GB2312" w:eastAsia="仿宋_GB2312" w:cs="仿宋_GB2312"/>
          <w:sz w:val="32"/>
          <w:szCs w:val="32"/>
          <w:lang w:val="en-US" w:eastAsia="zh-CN"/>
        </w:rPr>
        <w:t>8</w:t>
      </w:r>
      <w:r>
        <w:rPr>
          <w:rFonts w:ascii="仿宋_GB2312" w:hAnsi="仿宋_GB2312" w:eastAsia="仿宋_GB2312" w:cs="仿宋_GB2312"/>
          <w:sz w:val="32"/>
          <w:szCs w:val="32"/>
        </w:rPr>
        <w:t>年初确定的一般公共预算支出专项项目全面开展了绩效自评。绩效自评覆盖率达到100%。</w:t>
      </w:r>
    </w:p>
    <w:p>
      <w:pPr>
        <w:keepNext/>
        <w:keepLines/>
        <w:numPr>
          <w:ilvl w:val="0"/>
          <w:numId w:val="0"/>
        </w:numPr>
        <w:snapToGrid w:val="0"/>
        <w:spacing w:line="580" w:lineRule="exact"/>
        <w:ind w:leftChars="200" w:firstLine="321" w:firstLineChars="100"/>
        <w:outlineLvl w:val="1"/>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财政评价项目绩效评价结果</w:t>
      </w:r>
    </w:p>
    <w:p>
      <w:pPr>
        <w:keepNext/>
        <w:keepLines/>
        <w:numPr>
          <w:ilvl w:val="0"/>
          <w:numId w:val="0"/>
        </w:numPr>
        <w:snapToGrid w:val="0"/>
        <w:spacing w:line="580" w:lineRule="exact"/>
        <w:ind w:leftChars="200"/>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sz w:val="32"/>
          <w:szCs w:val="32"/>
          <w:lang w:val="en-US" w:eastAsia="zh-CN"/>
        </w:rPr>
        <w:t xml:space="preserve"> 我单位无财政评价项目绩效</w:t>
      </w:r>
    </w:p>
    <w:p>
      <w:pPr>
        <w:ind w:firstLine="560" w:firstLineChars="200"/>
        <w:rPr>
          <w:rFonts w:hint="eastAsia" w:ascii="仿宋" w:hAnsi="仿宋" w:eastAsia="仿宋"/>
          <w:sz w:val="28"/>
          <w:szCs w:val="28"/>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rPr>
          <w:rFonts w:ascii="仿宋_GB2312" w:eastAsia="仿宋_GB2312" w:cs="DengXian-Regular"/>
          <w:sz w:val="32"/>
          <w:szCs w:val="32"/>
        </w:rPr>
      </w:pPr>
      <w:r>
        <w:rPr>
          <w:rFonts w:hint="eastAsia" w:ascii="仿宋_GB2312" w:eastAsia="仿宋_GB2312" w:cs="DengXian-Regular"/>
          <w:sz w:val="32"/>
          <w:szCs w:val="32"/>
        </w:rPr>
        <w:t xml:space="preserve">    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年度机关运行经费支出49.25万元，比年初预算数减少1</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万元，降低2</w:t>
      </w:r>
      <w:r>
        <w:rPr>
          <w:rFonts w:hint="eastAsia" w:ascii="仿宋_GB2312" w:eastAsia="仿宋_GB2312" w:cs="DengXian-Regular"/>
          <w:sz w:val="32"/>
          <w:szCs w:val="32"/>
          <w:lang w:val="en-US" w:eastAsia="zh-CN"/>
        </w:rPr>
        <w:t>.00</w:t>
      </w:r>
      <w:r>
        <w:rPr>
          <w:rFonts w:ascii="仿宋_GB2312" w:eastAsia="仿宋_GB2312" w:cs="DengXian-Regular"/>
          <w:sz w:val="32"/>
          <w:szCs w:val="32"/>
        </w:rPr>
        <w:t>%</w:t>
      </w:r>
      <w:r>
        <w:rPr>
          <w:rFonts w:hint="eastAsia" w:ascii="仿宋_GB2312" w:eastAsia="仿宋_GB2312" w:cs="DengXian-Regular"/>
          <w:sz w:val="32"/>
          <w:szCs w:val="32"/>
        </w:rPr>
        <w:t>。主要原因是压缩开支。</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日，本部门共有车辆4辆，</w:t>
      </w:r>
      <w:r>
        <w:rPr>
          <w:rFonts w:hint="eastAsia" w:ascii="宋体" w:hAnsi="宋体" w:cs="宋体"/>
          <w:sz w:val="32"/>
          <w:szCs w:val="32"/>
        </w:rPr>
        <w:t>其中</w:t>
      </w:r>
      <w:r>
        <w:rPr>
          <w:rFonts w:hint="eastAsia" w:ascii="仿宋_GB2312" w:eastAsia="仿宋_GB2312" w:cs="DengXian-Regular"/>
          <w:sz w:val="32"/>
          <w:szCs w:val="32"/>
        </w:rPr>
        <w:t>机要通信用车2辆，应急保障用车1辆，执法执勤用车1辆。无单位价值</w:t>
      </w:r>
      <w:r>
        <w:rPr>
          <w:rFonts w:ascii="仿宋_GB2312" w:eastAsia="仿宋_GB2312" w:cs="DengXian-Regular"/>
          <w:sz w:val="32"/>
          <w:szCs w:val="32"/>
        </w:rPr>
        <w:t>50</w:t>
      </w:r>
      <w:r>
        <w:rPr>
          <w:rFonts w:hint="eastAsia" w:ascii="仿宋_GB2312" w:eastAsia="仿宋_GB2312" w:cs="DengXian-Regular"/>
          <w:sz w:val="32"/>
          <w:szCs w:val="32"/>
        </w:rPr>
        <w:t>万元以上通用设备，无单位价值</w:t>
      </w:r>
      <w:r>
        <w:rPr>
          <w:rFonts w:ascii="仿宋_GB2312" w:eastAsia="仿宋_GB2312" w:cs="DengXian-Regular"/>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与上年相比无变化。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年度结转结余2421.76</w:t>
      </w:r>
      <w:r>
        <w:rPr>
          <w:rFonts w:hint="eastAsia" w:ascii="宋体" w:hAnsi="宋体" w:cs="宋体"/>
          <w:sz w:val="32"/>
          <w:szCs w:val="32"/>
        </w:rPr>
        <w:t>万元</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12700" r="5715" b="0"/>
                <wp:wrapNone/>
                <wp:docPr id="6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1" name="矩形 13"/>
                        <wps:cNvSpPr/>
                        <wps:spPr>
                          <a:xfrm>
                            <a:off x="4551" y="52615"/>
                            <a:ext cx="8546" cy="1175"/>
                          </a:xfrm>
                          <a:prstGeom prst="rect">
                            <a:avLst/>
                          </a:prstGeom>
                          <a:solidFill>
                            <a:srgbClr val="96DA9D"/>
                          </a:solidFill>
                          <a:ln w="25400">
                            <a:noFill/>
                          </a:ln>
                        </wps:spPr>
                        <wps:bodyPr anchor="ctr" upright="1"/>
                      </wps:wsp>
                      <wps:wsp>
                        <wps:cNvPr id="6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dAA+7sACAAAN&#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3iYQtLoAAADb&#10;AAAADwAAAGRycy9kb3ducmV2LnhtbEWPQWsCMRSE70L/Q3iF3vRlhYqsRg+FQk+F2vbg7bF5bhY3&#10;L0sS1/XfN4LQ4zAz3zDb/eR7NXJMXRAD1UKDYmmC7aQ18PP9Pl+DSpnEUh+EDdw4wX73NNtSbcNV&#10;vng85FYViKSaDLichxoxNY49pUUYWIp3CtFTLjK2aCNdC9z3uNR6hZ46KQuOBn5z3JwPF28AI0d0&#10;cTrFYxovWH3q39fmbMzLc6U3oDJP+T/8aH9YA6sK7l/KD8D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hC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CHV70AAADb&#10;AAAADwAAAGRycy9kb3ducmV2LnhtbEWPW4vCMBSE3xf8D+EIvq2pPhTpGkUE8QKy6FbEt0NzbIrN&#10;SWnibX+9ERb2cZiZb5jx9GFrcaPWV44VDPoJCOLC6YpLBfnP4nMEwgdkjbVjUvAkD9NJ52OMmXZ3&#10;3tFtH0oRIewzVGBCaDIpfWHIou+7hjh6Z9daDFG2pdQt3iPc1nKYJKm0WHFcMNjQ3FBx2V+tgu/c&#10;nJa4oaPdbi6HfFZh+rtOlep1B8kXiECP8B/+a6+0gnQI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dX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71"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5QPtucACAAAL&#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9510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7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9510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pUJXb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96128"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7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961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KlpN8O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14"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1" descr="3"/>
                    <pic:cNvPicPr>
                      <a:picLocks noChangeAspect="1"/>
                    </pic:cNvPicPr>
                  </pic:nvPicPr>
                  <pic:blipFill>
                    <a:blip r:embed="rId16"/>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6FBACE8-CD4A-4DB1-A275-1ECF66421E7C}"/>
  </w:font>
  <w:font w:name="Arial">
    <w:panose1 w:val="020B0604020202020204"/>
    <w:charset w:val="01"/>
    <w:family w:val="swiss"/>
    <w:pitch w:val="default"/>
    <w:sig w:usb0="E0002EFF" w:usb1="C000785B" w:usb2="00000009" w:usb3="00000000" w:csb0="400001FF" w:csb1="FFFF0000"/>
    <w:embedRegular r:id="rId2" w:fontKey="{A8B2214D-5D31-4FFF-9DB9-E58C767609AE}"/>
  </w:font>
  <w:font w:name="黑体">
    <w:panose1 w:val="02010609060101010101"/>
    <w:charset w:val="86"/>
    <w:family w:val="auto"/>
    <w:pitch w:val="default"/>
    <w:sig w:usb0="800002BF" w:usb1="38CF7CFA" w:usb2="00000016" w:usb3="00000000" w:csb0="00040001" w:csb1="00000000"/>
    <w:embedRegular r:id="rId3" w:fontKey="{09690D73-82D9-4817-96E0-6A89F424B718}"/>
  </w:font>
  <w:font w:name="Courier New">
    <w:panose1 w:val="02070309020205020404"/>
    <w:charset w:val="01"/>
    <w:family w:val="modern"/>
    <w:pitch w:val="default"/>
    <w:sig w:usb0="E0002EFF" w:usb1="C0007843" w:usb2="00000009" w:usb3="00000000" w:csb0="400001FF" w:csb1="FFFF0000"/>
    <w:embedRegular r:id="rId4" w:fontKey="{124AA288-6481-40EA-A34F-E38D0CA11781}"/>
  </w:font>
  <w:font w:name="Symbol">
    <w:panose1 w:val="05050102010706020507"/>
    <w:charset w:val="02"/>
    <w:family w:val="roman"/>
    <w:pitch w:val="default"/>
    <w:sig w:usb0="00000000" w:usb1="00000000" w:usb2="00000000" w:usb3="00000000" w:csb0="80000000" w:csb1="00000000"/>
    <w:embedRegular r:id="rId5" w:fontKey="{8DF94B78-569C-4ECD-9F95-80725E976530}"/>
  </w:font>
  <w:font w:name="Calibri">
    <w:panose1 w:val="020F0502020204030204"/>
    <w:charset w:val="00"/>
    <w:family w:val="swiss"/>
    <w:pitch w:val="default"/>
    <w:sig w:usb0="E4002EFF" w:usb1="C000247B" w:usb2="00000009" w:usb3="00000000" w:csb0="200001FF" w:csb1="00000000"/>
    <w:embedRegular r:id="rId6" w:fontKey="{78B1A7D4-AD00-4E96-AB80-EC525141A6E4}"/>
  </w:font>
  <w:font w:name="Cambria">
    <w:panose1 w:val="02040503050406030204"/>
    <w:charset w:val="00"/>
    <w:family w:val="roman"/>
    <w:pitch w:val="default"/>
    <w:sig w:usb0="E00006FF" w:usb1="420024FF" w:usb2="02000000" w:usb3="00000000" w:csb0="2000019F" w:csb1="00000000"/>
    <w:embedRegular r:id="rId7" w:fontKey="{2B60617E-5C06-4314-8359-F36B79C05396}"/>
  </w:font>
  <w:font w:name="楷体">
    <w:panose1 w:val="02010609060101010101"/>
    <w:charset w:val="86"/>
    <w:family w:val="modern"/>
    <w:pitch w:val="default"/>
    <w:sig w:usb0="800002BF" w:usb1="38CF7CFA" w:usb2="00000016" w:usb3="00000000" w:csb0="00040001" w:csb1="00000000"/>
    <w:embedRegular r:id="rId8" w:fontKey="{3D53305C-C214-41BA-933E-FACC988CDBE0}"/>
  </w:font>
  <w:font w:name="MS Gothic">
    <w:panose1 w:val="020B0609070205080204"/>
    <w:charset w:val="80"/>
    <w:family w:val="modern"/>
    <w:pitch w:val="default"/>
    <w:sig w:usb0="E00002FF" w:usb1="6AC7FDFB" w:usb2="08000012" w:usb3="00000000" w:csb0="4002009F" w:csb1="DFD70000"/>
    <w:embedRegular r:id="rId9" w:fontKey="{76847205-E189-4A9E-AF38-52E054200406}"/>
  </w:font>
  <w:font w:name="仿宋_GB2312">
    <w:altName w:val="仿宋"/>
    <w:panose1 w:val="00000000000000000000"/>
    <w:charset w:val="86"/>
    <w:family w:val="modern"/>
    <w:pitch w:val="default"/>
    <w:sig w:usb0="00000000" w:usb1="00000000" w:usb2="00000000" w:usb3="00000000" w:csb0="00040000" w:csb1="00000000"/>
    <w:embedRegular r:id="rId10" w:fontKey="{B395731E-FFA5-4FEF-95B8-11B9A8723B6A}"/>
  </w:font>
  <w:font w:name="仿宋">
    <w:panose1 w:val="02010609060101010101"/>
    <w:charset w:val="86"/>
    <w:family w:val="auto"/>
    <w:pitch w:val="default"/>
    <w:sig w:usb0="800002BF" w:usb1="38CF7CFA" w:usb2="00000016" w:usb3="00000000" w:csb0="00040001" w:csb1="00000000"/>
    <w:embedRegular r:id="rId11" w:fontKey="{41AEF10B-B32A-4561-AF3E-96989F25B1F6}"/>
  </w:font>
  <w:font w:name="ArialUnicodeMS">
    <w:altName w:val="Malgun Gothic"/>
    <w:panose1 w:val="00000000000000000000"/>
    <w:charset w:val="81"/>
    <w:family w:val="auto"/>
    <w:pitch w:val="default"/>
    <w:sig w:usb0="00000000" w:usb1="00000000" w:usb2="00000010" w:usb3="00000000" w:csb0="00080000" w:csb1="00000000"/>
    <w:embedRegular r:id="rId12" w:fontKey="{00067F99-DB71-4F38-9D22-A1B6CE40D0FA}"/>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FBCAF436-061E-4F1D-91D7-E18C504E5741}"/>
  </w:font>
  <w:font w:name="DengXian-Regular">
    <w:altName w:val="宋体"/>
    <w:panose1 w:val="00000000000000000000"/>
    <w:charset w:val="86"/>
    <w:family w:val="auto"/>
    <w:pitch w:val="default"/>
    <w:sig w:usb0="00000000" w:usb1="00000000" w:usb2="00000010" w:usb3="00000000" w:csb0="00040000" w:csb1="00000000"/>
    <w:embedRegular r:id="rId14" w:fontKey="{F3CF7517-9A62-47F2-8EC4-669D8B1B8EA2}"/>
  </w:font>
  <w:font w:name="楷体_GB2312">
    <w:altName w:val="楷体"/>
    <w:panose1 w:val="00000000000000000000"/>
    <w:charset w:val="86"/>
    <w:family w:val="modern"/>
    <w:pitch w:val="default"/>
    <w:sig w:usb0="00000000" w:usb1="00000000" w:usb2="00000000" w:usb3="00000000" w:csb0="00040000" w:csb1="00000000"/>
    <w:embedRegular r:id="rId15" w:fontKey="{69BD7567-3D6A-402F-87AE-DD989A0EACDF}"/>
  </w:font>
  <w:font w:name="DengXian-Bold">
    <w:altName w:val="宋体"/>
    <w:panose1 w:val="00000000000000000000"/>
    <w:charset w:val="86"/>
    <w:family w:val="auto"/>
    <w:pitch w:val="default"/>
    <w:sig w:usb0="00000000" w:usb1="00000000" w:usb2="00000010" w:usb3="00000000" w:csb0="00040000" w:csb1="00000000"/>
    <w:embedRegular r:id="rId16" w:fontKey="{D6624F7B-1429-44B0-9C2E-B3C13619131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05172"/>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52FE5"/>
    <w:rsid w:val="004B6E37"/>
    <w:rsid w:val="004C32BA"/>
    <w:rsid w:val="004F6103"/>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60B2D"/>
    <w:rsid w:val="007905A9"/>
    <w:rsid w:val="007B0E8E"/>
    <w:rsid w:val="007E5500"/>
    <w:rsid w:val="007F055B"/>
    <w:rsid w:val="00811C2F"/>
    <w:rsid w:val="00833D46"/>
    <w:rsid w:val="00840A97"/>
    <w:rsid w:val="008B72B8"/>
    <w:rsid w:val="008C0149"/>
    <w:rsid w:val="008C159C"/>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7296"/>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96BC6"/>
    <w:rsid w:val="00DB35AF"/>
    <w:rsid w:val="00DD72D7"/>
    <w:rsid w:val="00DF5B88"/>
    <w:rsid w:val="00E0589E"/>
    <w:rsid w:val="00E241FA"/>
    <w:rsid w:val="00E24755"/>
    <w:rsid w:val="00E2595E"/>
    <w:rsid w:val="00E35374"/>
    <w:rsid w:val="00E50C19"/>
    <w:rsid w:val="00E64655"/>
    <w:rsid w:val="00E73081"/>
    <w:rsid w:val="00E856C9"/>
    <w:rsid w:val="00EB6A8B"/>
    <w:rsid w:val="00EF38C6"/>
    <w:rsid w:val="00F679C7"/>
    <w:rsid w:val="00F7711A"/>
    <w:rsid w:val="00FA0D58"/>
    <w:rsid w:val="00FA56F4"/>
    <w:rsid w:val="00FB4EDA"/>
    <w:rsid w:val="00FB70D6"/>
    <w:rsid w:val="00FC4766"/>
    <w:rsid w:val="00FD3BD5"/>
    <w:rsid w:val="00FE3DC8"/>
    <w:rsid w:val="04073F84"/>
    <w:rsid w:val="08A71B61"/>
    <w:rsid w:val="08C369A8"/>
    <w:rsid w:val="093B518E"/>
    <w:rsid w:val="0B60750A"/>
    <w:rsid w:val="0D091F52"/>
    <w:rsid w:val="0F5024E9"/>
    <w:rsid w:val="10686488"/>
    <w:rsid w:val="10DF728A"/>
    <w:rsid w:val="1194215D"/>
    <w:rsid w:val="1264200E"/>
    <w:rsid w:val="141C5B77"/>
    <w:rsid w:val="16F3461D"/>
    <w:rsid w:val="18D8339D"/>
    <w:rsid w:val="1A21388F"/>
    <w:rsid w:val="1A570D2F"/>
    <w:rsid w:val="1EC61DEA"/>
    <w:rsid w:val="28FB0B8D"/>
    <w:rsid w:val="29CA72B9"/>
    <w:rsid w:val="2D2B7942"/>
    <w:rsid w:val="2D46481D"/>
    <w:rsid w:val="2E6C4A97"/>
    <w:rsid w:val="2E733B28"/>
    <w:rsid w:val="2F0A4702"/>
    <w:rsid w:val="31852B5A"/>
    <w:rsid w:val="31B05A60"/>
    <w:rsid w:val="32D01238"/>
    <w:rsid w:val="37F40341"/>
    <w:rsid w:val="388A54F1"/>
    <w:rsid w:val="39F50B7A"/>
    <w:rsid w:val="3DFC59A8"/>
    <w:rsid w:val="3ECF245E"/>
    <w:rsid w:val="3FB96314"/>
    <w:rsid w:val="45B31D60"/>
    <w:rsid w:val="49EE7590"/>
    <w:rsid w:val="4CF057B5"/>
    <w:rsid w:val="4E6334D8"/>
    <w:rsid w:val="4EEB2046"/>
    <w:rsid w:val="50113623"/>
    <w:rsid w:val="507D2640"/>
    <w:rsid w:val="51695D0F"/>
    <w:rsid w:val="53A44FAF"/>
    <w:rsid w:val="594329EC"/>
    <w:rsid w:val="596A311A"/>
    <w:rsid w:val="5A0A08FF"/>
    <w:rsid w:val="5BEE1540"/>
    <w:rsid w:val="5DE61A5D"/>
    <w:rsid w:val="61846CDD"/>
    <w:rsid w:val="63C04243"/>
    <w:rsid w:val="649C01C7"/>
    <w:rsid w:val="67386CF0"/>
    <w:rsid w:val="699A3F60"/>
    <w:rsid w:val="69DC00C5"/>
    <w:rsid w:val="71A21157"/>
    <w:rsid w:val="72902E62"/>
    <w:rsid w:val="73C61104"/>
    <w:rsid w:val="776452EA"/>
    <w:rsid w:val="798C5A00"/>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Normal]"/>
    <w:qFormat/>
    <w:uiPriority w:val="99"/>
    <w:rPr>
      <w:rFonts w:ascii="宋体" w:hAnsi="宋体"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oleObject4.bin"/><Relationship Id="rId13" Type="http://schemas.openxmlformats.org/officeDocument/2006/relationships/image" Target="media/image5.emf"/><Relationship Id="rId12" Type="http://schemas.openxmlformats.org/officeDocument/2006/relationships/oleObject" Target="embeddings/oleObject3.bin"/><Relationship Id="rId11" Type="http://schemas.openxmlformats.org/officeDocument/2006/relationships/image" Target="media/image4.emf"/><Relationship Id="rId10" Type="http://schemas.openxmlformats.org/officeDocument/2006/relationships/oleObject" Target="embeddings/oleObject2.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30"/>
    <customShpInfo spid="_x0000_s1133"/>
    <customShpInfo spid="_x0000_s11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9324</Words>
  <Characters>5310</Characters>
  <Lines>44</Lines>
  <Paragraphs>29</Paragraphs>
  <TotalTime>9</TotalTime>
  <ScaleCrop>false</ScaleCrop>
  <LinksUpToDate>false</LinksUpToDate>
  <CharactersWithSpaces>14605</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2019-08-02T01:01:00Z</cp:lastPrinted>
  <dcterms:modified xsi:type="dcterms:W3CDTF">2022-03-16T10:03:10Z</dcterms:modified>
  <dc:subject>石家庄市xxx部门</dc:subject>
  <dc:title>2017年度部门决算</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45115CC0C16947AC809E32167276B18F</vt:lpwstr>
  </property>
</Properties>
</file>