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-639445</wp:posOffset>
            </wp:positionH>
            <wp:positionV relativeFrom="page">
              <wp:posOffset>-19050</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保定市满城区卫生健康局</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highlight w:val="yellow"/>
        </w:rPr>
      </w:pPr>
      <w:r>
        <w:rPr>
          <w:rFonts w:hint="eastAsia" w:ascii="黑体" w:hAnsi="黑体" w:eastAsia="黑体" w:cs="黑体"/>
          <w:sz w:val="72"/>
          <w:szCs w:val="96"/>
        </w:rPr>
        <w:t>保定市满城区卫生健康局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pPr>
        <w:rPr>
          <w:rFonts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3"/>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1、</w:t>
      </w:r>
      <w:r>
        <w:rPr>
          <w:rFonts w:hint="eastAsia" w:ascii="仿宋_GB2312" w:hAnsi="仿宋" w:eastAsia="仿宋_GB2312"/>
          <w:color w:val="353535"/>
          <w:spacing w:val="-15"/>
          <w:sz w:val="32"/>
          <w:szCs w:val="32"/>
          <w:shd w:val="clear" w:color="auto" w:fill="FFFFFF"/>
        </w:rPr>
        <w:t>组织拟订全区国民健康政策，拟订全区卫生健康规划和政策措施，依法制定有关标准和技术规范并组织实施。统筹规划卫生健康资源配置，指导卫生健康规划的实施。制定并组织实施推进卫生健康基本公共服务均等化、普惠化、便捷化和公共资源向基层延伸等政策措施。</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2、</w:t>
      </w:r>
      <w:r>
        <w:rPr>
          <w:rFonts w:hint="eastAsia" w:ascii="仿宋_GB2312" w:hAnsi="仿宋" w:eastAsia="仿宋_GB2312"/>
          <w:color w:val="353535"/>
          <w:spacing w:val="-15"/>
          <w:sz w:val="32"/>
          <w:szCs w:val="32"/>
          <w:shd w:val="clear" w:color="auto" w:fill="FFFFFF"/>
        </w:rPr>
        <w:t>协调推进全区深化医药卫生体制改革，研究提出全区深化医药卫生体制改革政策、措施的建议。组织深化公立医院综合改革，推进管办分离，健全现代医院管理制度，制定并组织实施推动卫生健康公共服务提供主体多元化、提供方式多样化的政策措施，提出医疗服务和药品价格政策的建议。</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3、</w:t>
      </w:r>
      <w:r>
        <w:rPr>
          <w:rFonts w:hint="eastAsia" w:ascii="仿宋_GB2312" w:hAnsi="仿宋" w:eastAsia="仿宋_GB2312"/>
          <w:color w:val="353535"/>
          <w:spacing w:val="-15"/>
          <w:sz w:val="32"/>
          <w:szCs w:val="32"/>
          <w:shd w:val="clear" w:color="auto" w:fill="FFFFFF"/>
        </w:rPr>
        <w:t>制定并组织落实疾病预防控制规划、国家免疫规划以及危害人民健康公共卫生问题的干预措施。负责卫生应急工作，组织指导突发公共卫生事件的预防控制和各类突发公共事件的医疗卫生救援。发布法定传染病疫情信息、突发公共卫生事件应急处置信息。</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4、</w:t>
      </w:r>
      <w:r>
        <w:rPr>
          <w:rFonts w:hint="eastAsia" w:ascii="仿宋_GB2312" w:hAnsi="仿宋" w:eastAsia="仿宋_GB2312"/>
          <w:color w:val="353535"/>
          <w:spacing w:val="-15"/>
          <w:sz w:val="32"/>
          <w:szCs w:val="32"/>
          <w:shd w:val="clear" w:color="auto" w:fill="FFFFFF"/>
        </w:rPr>
        <w:t>组织拟订并协调落实应对人口老龄化政策措施，负责推进老年健康服务体系建设和医养结合工作。</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5、</w:t>
      </w:r>
      <w:r>
        <w:rPr>
          <w:rFonts w:hint="eastAsia" w:ascii="仿宋_GB2312" w:hAnsi="仿宋" w:eastAsia="仿宋_GB2312"/>
          <w:color w:val="353535"/>
          <w:spacing w:val="-15"/>
          <w:sz w:val="32"/>
          <w:szCs w:val="32"/>
          <w:shd w:val="clear" w:color="auto" w:fill="FFFFFF"/>
        </w:rPr>
        <w:t>组织实施国家基本药物政策和国家基本药物制度，开展药品使用监测、临床综合评价和短缺药品预警，提出全区基本药物价格政策的建议。组织开展食品安全风险监测，依法公布食品安全地方标准。</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6、</w:t>
      </w:r>
      <w:r>
        <w:rPr>
          <w:rFonts w:hint="eastAsia" w:ascii="仿宋_GB2312" w:hAnsi="仿宋" w:eastAsia="仿宋_GB2312"/>
          <w:color w:val="353535"/>
          <w:spacing w:val="-15"/>
          <w:sz w:val="32"/>
          <w:szCs w:val="32"/>
          <w:shd w:val="clear" w:color="auto" w:fill="FFFFFF"/>
        </w:rPr>
        <w:t>负责职责范围内的职业卫生、放射卫生、环境卫生、学校卫生、公共场所卫生、饮用水卫生等公共卫生的监督管理，负责传染病防治监督，健全卫生健康综合监督体系。牵头《烟草控制框架公约》履约工作。</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7、</w:t>
      </w:r>
      <w:r>
        <w:rPr>
          <w:rFonts w:hint="eastAsia" w:ascii="仿宋_GB2312" w:hAnsi="仿宋" w:eastAsia="仿宋_GB2312"/>
          <w:color w:val="353535"/>
          <w:spacing w:val="-15"/>
          <w:sz w:val="32"/>
          <w:szCs w:val="32"/>
          <w:shd w:val="clear" w:color="auto" w:fill="FFFFFF"/>
        </w:rPr>
        <w:t>监督实施医疗机构、医疗服务行业管理办法，建立医疗服务评价和监督管理体系。会同区有关部门制定并实施卫生健康专业技术人员资格标准。组织实施全区医疗服务规范、标准和卫生健康专业技术人员执业规则、服务规范。</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8、</w:t>
      </w:r>
      <w:r>
        <w:rPr>
          <w:rFonts w:hint="eastAsia" w:ascii="仿宋_GB2312" w:hAnsi="仿宋" w:eastAsia="仿宋_GB2312"/>
          <w:color w:val="353535"/>
          <w:spacing w:val="-15"/>
          <w:sz w:val="32"/>
          <w:szCs w:val="32"/>
          <w:shd w:val="clear" w:color="auto" w:fill="FFFFFF"/>
        </w:rPr>
        <w:t>负责计划生育管理和服务工作，开展人口监测预警，研究提出人口与家庭发展相关政策建议，落实上级关于计划生育政策。</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cs="宋体"/>
          <w:sz w:val="32"/>
          <w:szCs w:val="32"/>
        </w:rPr>
        <w:t>9、</w:t>
      </w:r>
      <w:r>
        <w:rPr>
          <w:rFonts w:hint="eastAsia" w:ascii="仿宋_GB2312" w:hAnsi="仿宋" w:eastAsia="仿宋_GB2312"/>
          <w:color w:val="353535"/>
          <w:spacing w:val="-15"/>
          <w:sz w:val="32"/>
          <w:szCs w:val="32"/>
          <w:shd w:val="clear" w:color="auto" w:fill="FFFFFF"/>
        </w:rPr>
        <w:t>指导全区卫生健康工作，指导基层医疗卫生、妇幼健康服务体系和全科医生队伍建设。推进卫生健康科技创新发展。</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sz w:val="32"/>
          <w:szCs w:val="32"/>
        </w:rPr>
        <w:t>10、</w:t>
      </w:r>
      <w:r>
        <w:rPr>
          <w:rFonts w:hint="eastAsia" w:ascii="仿宋_GB2312" w:hAnsi="仿宋" w:eastAsia="仿宋_GB2312"/>
          <w:color w:val="353535"/>
          <w:spacing w:val="-15"/>
          <w:sz w:val="32"/>
          <w:szCs w:val="32"/>
          <w:shd w:val="clear" w:color="auto" w:fill="FFFFFF"/>
        </w:rPr>
        <w:t>负责区保健对象的医疗保健工作，负责重要会议与重大活动的医疗卫生保障工作。</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sz w:val="32"/>
          <w:szCs w:val="32"/>
        </w:rPr>
        <w:t>11、</w:t>
      </w:r>
      <w:r>
        <w:rPr>
          <w:rFonts w:hint="eastAsia" w:ascii="仿宋_GB2312" w:hAnsi="仿宋" w:eastAsia="仿宋_GB2312"/>
          <w:color w:val="353535"/>
          <w:spacing w:val="-15"/>
          <w:sz w:val="32"/>
          <w:szCs w:val="32"/>
          <w:shd w:val="clear" w:color="auto" w:fill="FFFFFF"/>
        </w:rPr>
        <w:t>管理区中医药相关工作。</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sz w:val="32"/>
          <w:szCs w:val="32"/>
        </w:rPr>
        <w:t>12、</w:t>
      </w:r>
      <w:r>
        <w:rPr>
          <w:rFonts w:hint="eastAsia" w:ascii="仿宋_GB2312" w:hAnsi="仿宋" w:eastAsia="仿宋_GB2312"/>
          <w:color w:val="353535"/>
          <w:spacing w:val="-15"/>
          <w:sz w:val="32"/>
          <w:szCs w:val="32"/>
          <w:shd w:val="clear" w:color="auto" w:fill="FFFFFF"/>
        </w:rPr>
        <w:t>受区委、区政府委托承担计划生育协会日常工作。</w:t>
      </w:r>
    </w:p>
    <w:p>
      <w:pPr>
        <w:spacing w:line="640" w:lineRule="exact"/>
        <w:ind w:firstLine="640" w:firstLineChars="200"/>
        <w:jc w:val="left"/>
        <w:rPr>
          <w:rFonts w:ascii="仿宋_GB2312" w:hAnsi="仿宋" w:eastAsia="仿宋_GB2312"/>
          <w:color w:val="353535"/>
          <w:spacing w:val="-15"/>
          <w:sz w:val="32"/>
          <w:szCs w:val="32"/>
          <w:shd w:val="clear" w:color="auto" w:fill="FFFFFF"/>
        </w:rPr>
      </w:pPr>
      <w:r>
        <w:rPr>
          <w:rFonts w:hint="eastAsia" w:ascii="仿宋_GB2312" w:hAnsi="仿宋" w:eastAsia="仿宋_GB2312"/>
          <w:sz w:val="32"/>
          <w:szCs w:val="32"/>
        </w:rPr>
        <w:t>13、</w:t>
      </w:r>
      <w:r>
        <w:rPr>
          <w:rFonts w:hint="eastAsia" w:ascii="仿宋_GB2312" w:hAnsi="仿宋" w:eastAsia="仿宋_GB2312"/>
          <w:color w:val="353535"/>
          <w:spacing w:val="-15"/>
          <w:sz w:val="32"/>
          <w:szCs w:val="32"/>
          <w:shd w:val="clear" w:color="auto" w:fill="FFFFFF"/>
        </w:rPr>
        <w:t>受区委、区政府委托承担区红十字会的日常工作。</w:t>
      </w:r>
    </w:p>
    <w:p>
      <w:pPr>
        <w:spacing w:line="640" w:lineRule="exact"/>
        <w:ind w:firstLine="640" w:firstLineChars="200"/>
        <w:jc w:val="left"/>
        <w:rPr>
          <w:rFonts w:ascii="仿宋_GB2312" w:hAnsi="仿宋" w:eastAsia="仿宋_GB2312" w:cs="宋体"/>
          <w:sz w:val="32"/>
          <w:szCs w:val="32"/>
        </w:rPr>
      </w:pPr>
      <w:r>
        <w:rPr>
          <w:rFonts w:hint="eastAsia" w:ascii="仿宋_GB2312" w:hAnsi="仿宋" w:eastAsia="仿宋_GB2312"/>
          <w:sz w:val="32"/>
          <w:szCs w:val="32"/>
        </w:rPr>
        <w:t>14、</w:t>
      </w:r>
      <w:r>
        <w:rPr>
          <w:rFonts w:hint="eastAsia" w:ascii="仿宋_GB2312" w:hAnsi="仿宋" w:eastAsia="仿宋_GB2312"/>
          <w:color w:val="353535"/>
          <w:spacing w:val="-15"/>
          <w:sz w:val="32"/>
          <w:szCs w:val="32"/>
          <w:shd w:val="clear" w:color="auto" w:fill="FFFFFF"/>
        </w:rPr>
        <w:t>完成区委、区政府交办的其他任务。</w:t>
      </w:r>
      <w:r>
        <w:rPr>
          <w:rFonts w:hint="eastAsia" w:ascii="仿宋_GB2312" w:hAnsi="仿宋" w:eastAsia="仿宋_GB2312"/>
          <w:sz w:val="32"/>
          <w:szCs w:val="32"/>
        </w:rPr>
        <w:t xml:space="preserve">  </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ascii="仿宋_GB2312" w:hAnsi="Calibri" w:eastAsia="仿宋_GB2312" w:cs="Arial Black"/>
          <w:kern w:val="0"/>
          <w:sz w:val="32"/>
          <w:szCs w:val="32"/>
        </w:rPr>
        <w:t>15</w:t>
      </w:r>
      <w:r>
        <w:rPr>
          <w:rFonts w:hint="eastAsia" w:ascii="仿宋_GB2312" w:hAnsi="Calibri" w:eastAsia="仿宋_GB2312" w:cs="Arial Black"/>
          <w:kern w:val="0"/>
          <w:sz w:val="32"/>
          <w:szCs w:val="32"/>
        </w:rPr>
        <w:t>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673"/>
        <w:gridCol w:w="2157"/>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673"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157"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673" w:type="dxa"/>
          </w:tcPr>
          <w:p>
            <w:pPr>
              <w:spacing w:line="560" w:lineRule="exact"/>
              <w:jc w:val="center"/>
              <w:rPr>
                <w:rFonts w:ascii="仿宋_GB2312" w:hAnsi="Calibri" w:eastAsia="仿宋_GB2312" w:cs="Arial Black"/>
                <w:kern w:val="0"/>
                <w:sz w:val="24"/>
              </w:rPr>
            </w:pPr>
            <w:r>
              <w:rPr>
                <w:rFonts w:hint="eastAsia" w:ascii="仿宋_GB2312" w:hAnsi="Calibri" w:eastAsia="仿宋_GB2312" w:cs="Arial Black"/>
                <w:kern w:val="0"/>
                <w:sz w:val="24"/>
              </w:rPr>
              <w:t>保定市满城区卫生健康局(本级)</w:t>
            </w:r>
          </w:p>
        </w:tc>
        <w:tc>
          <w:tcPr>
            <w:tcW w:w="2157" w:type="dxa"/>
          </w:tcPr>
          <w:p>
            <w:pPr>
              <w:spacing w:line="560" w:lineRule="exact"/>
              <w:jc w:val="center"/>
              <w:rPr>
                <w:rFonts w:ascii="仿宋_GB2312" w:hAnsi="Calibri" w:eastAsia="仿宋_GB2312" w:cs="Arial Black"/>
                <w:kern w:val="0"/>
                <w:sz w:val="24"/>
              </w:rPr>
            </w:pPr>
            <w:r>
              <w:rPr>
                <w:rFonts w:hint="eastAsia" w:ascii="仿宋_GB2312" w:hAnsi="Calibri" w:eastAsia="仿宋_GB2312" w:cs="Arial Black"/>
                <w:kern w:val="0"/>
                <w:sz w:val="24"/>
              </w:rPr>
              <w:t>行政单位</w:t>
            </w:r>
          </w:p>
        </w:tc>
        <w:tc>
          <w:tcPr>
            <w:tcW w:w="2622" w:type="dxa"/>
            <w:vAlign w:val="center"/>
          </w:tcPr>
          <w:p>
            <w:pPr>
              <w:widowControl/>
              <w:spacing w:line="240" w:lineRule="exact"/>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673" w:type="dxa"/>
          </w:tcPr>
          <w:p>
            <w:pPr>
              <w:spacing w:line="560" w:lineRule="exact"/>
              <w:jc w:val="center"/>
              <w:rPr>
                <w:rFonts w:ascii="仿宋_GB2312" w:hAnsi="Calibri" w:eastAsia="仿宋_GB2312" w:cs="Arial Black"/>
                <w:kern w:val="0"/>
                <w:sz w:val="24"/>
              </w:rPr>
            </w:pPr>
            <w:r>
              <w:rPr>
                <w:rFonts w:hint="eastAsia" w:ascii="仿宋_GB2312" w:hAnsi="宋体" w:eastAsia="仿宋_GB2312" w:cs="宋体"/>
                <w:color w:val="000000"/>
                <w:kern w:val="0"/>
                <w:sz w:val="24"/>
              </w:rPr>
              <w:t>保定市满城区疾病预防控制中心</w:t>
            </w:r>
          </w:p>
        </w:tc>
        <w:tc>
          <w:tcPr>
            <w:tcW w:w="2157" w:type="dxa"/>
          </w:tcPr>
          <w:p>
            <w:pPr>
              <w:spacing w:line="560" w:lineRule="exact"/>
              <w:jc w:val="center"/>
              <w:rPr>
                <w:rFonts w:ascii="仿宋_GB2312" w:hAnsi="Calibri" w:eastAsia="仿宋_GB2312" w:cs="Arial Black"/>
                <w:kern w:val="0"/>
                <w:sz w:val="24"/>
              </w:rPr>
            </w:pPr>
            <w:r>
              <w:rPr>
                <w:rFonts w:hint="eastAsia" w:ascii="仿宋_GB2312" w:hAnsi="Calibri" w:eastAsia="仿宋_GB2312" w:cs="Arial Black"/>
                <w:kern w:val="0"/>
                <w:sz w:val="24"/>
              </w:rPr>
              <w:t>财政补助事业单位</w:t>
            </w:r>
          </w:p>
        </w:tc>
        <w:tc>
          <w:tcPr>
            <w:tcW w:w="2622"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3</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保定市满城区妇幼保健计划生育服务中心</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4</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保定市满城区人民医院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vAlign w:val="center"/>
          </w:tcPr>
          <w:p>
            <w:pPr>
              <w:widowControl/>
              <w:spacing w:line="240" w:lineRule="exact"/>
              <w:jc w:val="center"/>
              <w:rPr>
                <w:rFonts w:ascii="仿宋" w:hAnsi="仿宋" w:eastAsia="仿宋" w:cs="宋体"/>
                <w:color w:val="000000"/>
                <w:kern w:val="0"/>
                <w:sz w:val="24"/>
              </w:rP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5</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保定市满城区满城镇中心卫生院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6</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保定市满城区神星镇中心卫生院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7</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保定市满城区大册营镇中心卫生院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8</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保定市满城区南韩村镇中心卫生院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9</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保定市满城区石井乡中心卫生院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10</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保定市满城区白龙乡卫生院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11</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保定市满城区坨南乡卫生院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12</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保定市满城区刘家台乡卫生院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13</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保定市满城区方顺桥镇卫生院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14</w:t>
            </w:r>
          </w:p>
        </w:tc>
        <w:tc>
          <w:tcPr>
            <w:tcW w:w="3673" w:type="dxa"/>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保定市满城区于家庄乡卫生院</w:t>
            </w:r>
          </w:p>
        </w:tc>
        <w:tc>
          <w:tcPr>
            <w:tcW w:w="2157"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Pr>
          <w:p>
            <w:pPr>
              <w:jc w:val="cente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15</w:t>
            </w:r>
          </w:p>
        </w:tc>
        <w:tc>
          <w:tcPr>
            <w:tcW w:w="3673" w:type="dxa"/>
            <w:tcBorders>
              <w:bottom w:val="single" w:color="auto" w:sz="4" w:space="0"/>
            </w:tcBorders>
            <w:vAlign w:val="center"/>
          </w:tcPr>
          <w:p>
            <w:pPr>
              <w:widowControl/>
              <w:spacing w:line="24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保定市满城区要庄乡卫生院</w:t>
            </w:r>
          </w:p>
        </w:tc>
        <w:tc>
          <w:tcPr>
            <w:tcW w:w="2157" w:type="dxa"/>
            <w:tcBorders>
              <w:bottom w:val="single" w:color="auto" w:sz="4" w:space="0"/>
            </w:tcBorders>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4"/>
              </w:rPr>
              <w:t>财政补助事业单位</w:t>
            </w:r>
          </w:p>
        </w:tc>
        <w:tc>
          <w:tcPr>
            <w:tcW w:w="2622" w:type="dxa"/>
            <w:tcBorders>
              <w:bottom w:val="single" w:color="auto" w:sz="4" w:space="0"/>
            </w:tcBorders>
            <w:vAlign w:val="center"/>
          </w:tcPr>
          <w:p>
            <w:pPr>
              <w:widowControl/>
              <w:spacing w:line="240" w:lineRule="exact"/>
              <w:jc w:val="center"/>
              <w:rPr>
                <w:rFonts w:ascii="仿宋_GB2312" w:hAnsi="宋体" w:eastAsia="仿宋_GB2312" w:cs="宋体"/>
                <w:color w:val="000000"/>
                <w:kern w:val="0"/>
                <w:sz w:val="24"/>
              </w:rPr>
            </w:pPr>
            <w:r>
              <w:rPr>
                <w:rFonts w:hint="eastAsia" w:ascii="仿宋" w:hAnsi="仿宋" w:eastAsia="仿宋" w:cs="宋体"/>
                <w:color w:val="000000"/>
                <w:kern w:val="0"/>
                <w:sz w:val="24"/>
              </w:rPr>
              <w:t>财政性资金定额或定项补助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rPr>
        <w:t xml:space="preserve">   </w:t>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本部门2020年度收、支总计（含结转和结余）110923.44万元。与2019年度决算相比，收支各增加33250.45万元，增长74.85%，主要原因是年初政府性基金预算财政拨款结转到2020年支出。</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t xml:space="preserve">      </w:t>
      </w:r>
    </w:p>
    <w:p>
      <w:pPr>
        <w:adjustRightInd w:val="0"/>
        <w:snapToGrid w:val="0"/>
        <w:rPr>
          <w:rFonts w:ascii="仿宋_GB2312" w:hAnsi="Times New Roman" w:eastAsia="仿宋_GB2312" w:cs="Wingdings"/>
          <w:sz w:val="32"/>
          <w:szCs w:val="32"/>
        </w:rPr>
      </w:pPr>
      <w:r>
        <w:rPr>
          <w:rFonts w:hint="eastAsia"/>
        </w:rPr>
        <w:t xml:space="preserve">       </w:t>
      </w:r>
      <w:r>
        <w:drawing>
          <wp:inline distT="0" distB="0" distL="114300" distR="114300">
            <wp:extent cx="4572635" cy="2727960"/>
            <wp:effectExtent l="4445" t="4445" r="13970" b="1079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adjustRightInd w:val="0"/>
        <w:snapToGrid w:val="0"/>
        <w:rPr>
          <w:rFonts w:ascii="仿宋_GB2312" w:hAnsi="Times New Roman" w:eastAsia="仿宋_GB2312" w:cs="Wingdings"/>
          <w:sz w:val="32"/>
          <w:szCs w:val="32"/>
        </w:rPr>
      </w:pPr>
    </w:p>
    <w:p>
      <w:pPr>
        <w:keepNext/>
        <w:keepLines/>
        <w:snapToGrid w:val="0"/>
        <w:spacing w:line="600" w:lineRule="exact"/>
        <w:ind w:firstLine="320" w:firstLineChars="1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本部门2020年度本年收入合计43701.63万元，其中：财政拨款收入15180.45万元，占34.74%；事业收入19858.53万元，占45.44%；经营收入0万元，占0%；其他收入8652.65万元，占19.80%；上级补助收入10</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万元，占0.02%。如图所示</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rPr>
          <w:rFonts w:ascii="仿宋_GB2312" w:hAnsi="Times New Roman" w:eastAsia="仿宋_GB2312" w:cs="Wingdings"/>
          <w:sz w:val="32"/>
          <w:szCs w:val="32"/>
        </w:rPr>
      </w:pPr>
      <w:r>
        <w:rPr>
          <w:rFonts w:hint="eastAsia" w:ascii="仿宋_GB2312" w:hAnsi="Times New Roman" w:eastAsia="仿宋_GB2312" w:cs="Wingdings"/>
          <w:sz w:val="32"/>
          <w:szCs w:val="32"/>
        </w:rPr>
        <w:t xml:space="preserve">          </w:t>
      </w:r>
      <w:r>
        <w:rPr>
          <w:rFonts w:hint="eastAsia" w:ascii="仿宋_GB2312" w:hAnsi="Times New Roman" w:eastAsia="仿宋_GB2312" w:cs="Wingdings"/>
          <w:sz w:val="32"/>
          <w:szCs w:val="32"/>
        </w:rPr>
        <w:drawing>
          <wp:inline distT="0" distB="0" distL="114300" distR="114300">
            <wp:extent cx="3747135" cy="2476500"/>
            <wp:effectExtent l="0" t="0" r="5715" b="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16"/>
                    <a:stretch>
                      <a:fillRect/>
                    </a:stretch>
                  </pic:blipFill>
                  <pic:spPr>
                    <a:xfrm>
                      <a:off x="0" y="0"/>
                      <a:ext cx="3747135" cy="2476500"/>
                    </a:xfrm>
                    <a:prstGeom prst="rect">
                      <a:avLst/>
                    </a:prstGeom>
                  </pic:spPr>
                </pic:pic>
              </a:graphicData>
            </a:graphic>
          </wp:inline>
        </w:drawing>
      </w:r>
    </w:p>
    <w:p>
      <w:pPr>
        <w:snapToGrid w:val="0"/>
        <w:spacing w:line="600" w:lineRule="exact"/>
        <w:outlineLvl w:val="1"/>
        <w:rPr>
          <w:rFonts w:ascii="黑体" w:hAnsi="Calibri" w:eastAsia="黑体" w:cs="Times New Roman"/>
          <w:sz w:val="32"/>
          <w:szCs w:val="32"/>
        </w:rPr>
      </w:pP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本部门2020年度本年支出合计46620.90万元，其中：基本支出32436.47万元，占69.57%；项目支出14184.43万元，占30.43%；经营支出0万元，占0%。如图所示：</w:t>
      </w:r>
    </w:p>
    <w:p>
      <w:pPr>
        <w:adjustRightInd w:val="0"/>
        <w:snapToGrid w:val="0"/>
        <w:ind w:firstLine="640" w:firstLineChars="200"/>
        <w:rPr>
          <w:rFonts w:ascii="仿宋_GB2312" w:hAnsi="Times New Roman" w:eastAsia="仿宋_GB2312" w:cs="Wingdings"/>
          <w:sz w:val="32"/>
          <w:szCs w:val="32"/>
        </w:rPr>
      </w:pPr>
    </w:p>
    <w:p>
      <w:pPr>
        <w:adjustRightInd w:val="0"/>
        <w:snapToGrid w:val="0"/>
        <w:ind w:firstLine="640" w:firstLineChars="200"/>
        <w:rPr>
          <w:rFonts w:ascii="仿宋_GB2312" w:hAnsi="Times New Roman" w:eastAsia="仿宋_GB2312" w:cs="Wingdings"/>
          <w:sz w:val="32"/>
          <w:szCs w:val="32"/>
        </w:rPr>
      </w:pPr>
    </w:p>
    <w:p>
      <w:pPr>
        <w:adjustRightInd w:val="0"/>
        <w:snapToGrid w:val="0"/>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drawing>
          <wp:inline distT="0" distB="0" distL="114300" distR="114300">
            <wp:extent cx="4584065" cy="2755265"/>
            <wp:effectExtent l="0" t="0" r="6985" b="698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7"/>
                    <a:stretch>
                      <a:fillRect/>
                    </a:stretch>
                  </pic:blipFill>
                  <pic:spPr>
                    <a:xfrm>
                      <a:off x="0" y="0"/>
                      <a:ext cx="4584065" cy="2755265"/>
                    </a:xfrm>
                    <a:prstGeom prst="rect">
                      <a:avLst/>
                    </a:prstGeom>
                  </pic:spPr>
                </pic:pic>
              </a:graphicData>
            </a:graphic>
          </wp:inline>
        </w:drawing>
      </w:r>
    </w:p>
    <w:p>
      <w:pPr>
        <w:adjustRightInd w:val="0"/>
        <w:snapToGrid w:val="0"/>
        <w:spacing w:line="600" w:lineRule="exact"/>
        <w:ind w:firstLine="1920" w:firstLineChars="600"/>
        <w:rPr>
          <w:rFonts w:ascii="仿宋_GB2312" w:hAnsi="Times New Roman" w:eastAsia="仿宋_GB2312" w:cs="Wingding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本部门2020年度财政拨款本年收入15180.45万元,比2019年度减少2290.68万元，降低13.11%，主要是</w:t>
      </w:r>
      <w:r>
        <w:rPr>
          <w:rFonts w:hint="eastAsia" w:ascii="仿宋" w:hAnsi="仿宋" w:eastAsia="仿宋" w:cs="仿宋"/>
          <w:sz w:val="32"/>
          <w:szCs w:val="32"/>
        </w:rPr>
        <w:t>2020年政府性基金预算财政拨款收入较2019年有所减少；</w:t>
      </w:r>
      <w:r>
        <w:rPr>
          <w:rFonts w:hint="eastAsia" w:ascii="仿宋_GB2312" w:hAnsi="Times New Roman" w:eastAsia="仿宋_GB2312" w:cs="Wingdings"/>
          <w:sz w:val="32"/>
          <w:szCs w:val="32"/>
        </w:rPr>
        <w:t>本年支出18079.35万元，增加7219.62万元，增长66.48%，主要是2019年的项目结转结余资金于2020年支出。具体情况如下：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14124.67万元，比上年增加3653.54万元；主要是公共卫生及应急物资储备等财政拨款收入增加；本年支出15518.12万元，比上年增加4658.39万元，增长42.90%，主要是2019年项目结转结余资金的支出及应对新冠疫情等支出增加。</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1055.78万元，比上年减少5944.22万元，降低84.92%，主要原因是2019年政府性基金未支出，年底进行结转，2020年减少了财政拨款收入；本年支出2561.23万元，比上年增加2561.23万元，增长100%，主要是2019年的结转结余资金在2020年支出。</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15180.45万元，完成年初预算的172.73%,比年初预算增加6391.94万元，决算数大于预算数主要原因是年初预算不涉及政府性基金预算及粮油物资储备等项目收入；本年支出18079.35万元，完成年初预算的205.72%,比年初预算增加9290.84万元，决算数大于预算数主要原因是主要是增加了政府性基金、粮油物资储备及临时性追加项目的经费支出。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160.72%，比年初预算增加5336.16万元，主要是年初预算不涉及粮油物资储备及临时性追加项目经费等；支出完成年初预算176.57%，比年初预算增加6729.61万元，主要是增加了粮油物资储备及临时性追加项目经费的支出。</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政府性基金预算财政拨款本年收入1055.78万元，比年初预算增加1055.78万元，主要是年初预算不涉及政府性基金预算收入；支出2561.23万元，比年初预算增加2561.23万元，主要是2019年结转结余资金在2020年支出。</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18079.35万元，主要用于以下方面（按本部门支出的功能分类大类进行列举，可对各类资多支出用途进行概括说明）：比如：一般公共服务（类）支出4.00万元，占0.02%，；社会保障和就业（类）支出 472.55万元，占2.61%；卫生健康（类）支出13342.58万元，占73.80%；城乡社区（类）支出1505.44万元，占8.33%；农林水支出82.97万元，占0.46%；住房保障支出116.03万元，占 0.64%;粮油物资储备支出1500万元，占8.30%；抗疫特别国债安排的支出1055.78万元，占5.84%。</w:t>
      </w:r>
    </w:p>
    <w:p>
      <w:pPr>
        <w:adjustRightInd w:val="0"/>
        <w:snapToGrid w:val="0"/>
        <w:rPr>
          <w:rFonts w:ascii="楷体_GB2312" w:hAnsi="Times New Roman" w:eastAsia="楷体_GB2312" w:cs="Mongolian Baiti"/>
          <w:b/>
          <w:bCs/>
          <w:sz w:val="32"/>
          <w:szCs w:val="32"/>
        </w:rPr>
      </w:pPr>
    </w:p>
    <w:p>
      <w:pPr>
        <w:adjustRightInd w:val="0"/>
        <w:snapToGrid w:val="0"/>
        <w:rPr>
          <w:rFonts w:ascii="楷体_GB2312" w:hAnsi="Times New Roman" w:eastAsia="楷体_GB2312" w:cs="Mongolian Baiti"/>
          <w:b/>
          <w:bCs/>
          <w:sz w:val="32"/>
          <w:szCs w:val="32"/>
        </w:rPr>
      </w:pPr>
    </w:p>
    <w:p>
      <w:pPr>
        <w:adjustRightInd w:val="0"/>
        <w:snapToGrid w:val="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drawing>
          <wp:inline distT="0" distB="0" distL="114300" distR="114300">
            <wp:extent cx="5643245" cy="3096260"/>
            <wp:effectExtent l="0" t="0" r="14605" b="889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8"/>
                    <a:stretch>
                      <a:fillRect/>
                    </a:stretch>
                  </pic:blipFill>
                  <pic:spPr>
                    <a:xfrm>
                      <a:off x="0" y="0"/>
                      <a:ext cx="5643245" cy="3096260"/>
                    </a:xfrm>
                    <a:prstGeom prst="rect">
                      <a:avLst/>
                    </a:prstGeom>
                  </pic:spPr>
                </pic:pic>
              </a:graphicData>
            </a:graphic>
          </wp:inline>
        </w:drawing>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firstLine="321" w:firstLineChars="1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年度财政拨款基本支出3894.92万元，其中：人员经费 3256.28万元，主要包括基本工资、津贴补贴、奖金、绩效工资、机关事业单位基本养老保险缴费、职业年金缴费、职工基本医疗保险缴费、住房公积金、其他社会保障缴费、其他工资福利支出、退休费、生活补助、奖励金、其他对个人和家庭的补助支出；公用经费638.64万元，主要包括办公费、印刷费、水费、电费、邮电费、取暖费、维修（护）费、专用材料费、劳务费、公务用车运行维护费。</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widowControl/>
        <w:ind w:firstLine="640" w:firstLineChars="200"/>
        <w:rPr>
          <w:rFonts w:ascii="Lao UI" w:hAnsi="Lao UI" w:eastAsia="仿宋_GB2312" w:cs="Lao UI"/>
          <w:sz w:val="32"/>
          <w:szCs w:val="32"/>
        </w:rPr>
      </w:pPr>
      <w:r>
        <w:rPr>
          <w:rFonts w:hint="eastAsia" w:ascii="仿宋_GB2312" w:hAnsi="Times New Roman" w:eastAsia="仿宋_GB2312" w:cs="Wingdings"/>
          <w:sz w:val="32"/>
          <w:szCs w:val="32"/>
        </w:rPr>
        <w:t>本部门2020年度“三公”经费财政拨款支出预算为30.44万元，支出决算为23.39万元，完成预算的76.84%,较预算减少7.05万元，降低23.16%，；较2019年度减少0.89万元，降低3.67%，</w:t>
      </w:r>
      <w:r>
        <w:rPr>
          <w:rFonts w:ascii="Lao UI" w:hAnsi="Lao UI" w:eastAsia="仿宋_GB2312" w:cs="Lao UI"/>
          <w:sz w:val="32"/>
          <w:szCs w:val="32"/>
        </w:rPr>
        <w:t>主要是</w:t>
      </w:r>
      <w:r>
        <w:rPr>
          <w:rFonts w:ascii="Lao UI" w:hAnsi="Lao UI" w:eastAsia="仿宋" w:cs="Lao UI"/>
          <w:sz w:val="32"/>
          <w:szCs w:val="32"/>
        </w:rPr>
        <w:t>我部门认真落实中央</w:t>
      </w:r>
      <w:r>
        <w:rPr>
          <w:rFonts w:hint="eastAsia" w:ascii="Lao UI" w:hAnsi="Lao UI" w:eastAsia="仿宋" w:cs="Lao UI"/>
          <w:sz w:val="32"/>
          <w:szCs w:val="32"/>
          <w:lang w:eastAsia="zh-CN"/>
        </w:rPr>
        <w:t>八项规定</w:t>
      </w:r>
      <w:r>
        <w:rPr>
          <w:rFonts w:ascii="Lao UI" w:hAnsi="Lao UI" w:eastAsia="仿宋" w:cs="Lao UI"/>
          <w:sz w:val="32"/>
          <w:szCs w:val="32"/>
        </w:rPr>
        <w:t>精神和厉行节约要求，管理制度不断完善，严格执行省财政厅只减不增的原则，使“三公”经费支出得到了有效控制。</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本部门2020年因公出国（境）费支出0万元，完成预算的0%。</w:t>
      </w:r>
      <w:r>
        <w:rPr>
          <w:rFonts w:hint="eastAsia" w:ascii="仿宋_GB2312" w:hAnsi="Times New Roman" w:eastAsia="仿宋_GB2312" w:cs="Wingdings"/>
          <w:sz w:val="32"/>
          <w:szCs w:val="32"/>
        </w:rPr>
        <w:t>因公出国（境）团组0个、共0人、参加其他单位组织的因公出国（境）团组0个、共0人/无本单位组织的出国（境）团组。未发生‘因公出国（境）费’支出，与年初预算持平；与2019年度决算支出持平。</w:t>
      </w:r>
    </w:p>
    <w:p>
      <w:pPr>
        <w:widowControl/>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本部门2020年公务用车购置及运行维护费支出23.39万元，完成预算的76.84%，</w:t>
      </w:r>
      <w:r>
        <w:rPr>
          <w:rFonts w:hint="eastAsia" w:ascii="仿宋_GB2312" w:hAnsi="Times New Roman" w:eastAsia="仿宋_GB2312" w:cs="Wingdings"/>
          <w:sz w:val="32"/>
          <w:szCs w:val="32"/>
        </w:rPr>
        <w:t>较预算减少7.05万元，降低23.16%；较上年减少0.89万元，降低3.67%,主要是</w:t>
      </w:r>
      <w:r>
        <w:rPr>
          <w:rFonts w:ascii="Lao UI" w:hAnsi="Lao UI" w:eastAsia="仿宋" w:cs="Lao UI"/>
          <w:sz w:val="32"/>
          <w:szCs w:val="32"/>
        </w:rPr>
        <w:t>我部门</w:t>
      </w:r>
      <w:r>
        <w:rPr>
          <w:rFonts w:hint="eastAsia" w:ascii="Lao UI" w:hAnsi="Lao UI" w:eastAsia="仿宋" w:cs="Lao UI"/>
          <w:sz w:val="32"/>
          <w:szCs w:val="32"/>
        </w:rPr>
        <w:t>没有公务用车购置费用支出。</w:t>
      </w:r>
      <w:r>
        <w:rPr>
          <w:rFonts w:hint="eastAsia" w:ascii="仿宋_GB2312" w:hAnsi="Times New Roman" w:eastAsia="仿宋_GB2312" w:cs="Mongolian Baiti"/>
          <w:b/>
          <w:bCs/>
          <w:sz w:val="32"/>
          <w:szCs w:val="32"/>
        </w:rPr>
        <w:t>其中：</w:t>
      </w:r>
    </w:p>
    <w:p>
      <w:pPr>
        <w:widowControl/>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本部门2020年度公务用车购置量0辆，发生“公务用车购置”经费支出0万元。未发生‘公务用车购置’经费支出，与年初预算持平；与2019年度决算支出持平。</w:t>
      </w:r>
    </w:p>
    <w:p>
      <w:pPr>
        <w:widowControl/>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本部门2020年度单位公务用车保有量33辆,发生运行维护费支出23.39万元，。公车运行维护费支出较预算减少7.05万元，降低23.16%；较上年减少0.89万元，降低3.67%，主要是</w:t>
      </w:r>
      <w:r>
        <w:rPr>
          <w:rFonts w:ascii="Lao UI" w:hAnsi="Lao UI" w:eastAsia="仿宋" w:cs="Lao UI"/>
          <w:sz w:val="32"/>
          <w:szCs w:val="32"/>
        </w:rPr>
        <w:t>我部门认真落实中央</w:t>
      </w:r>
      <w:r>
        <w:rPr>
          <w:rFonts w:hint="eastAsia" w:ascii="Lao UI" w:hAnsi="Lao UI" w:eastAsia="仿宋" w:cs="Lao UI"/>
          <w:sz w:val="32"/>
          <w:szCs w:val="32"/>
          <w:lang w:eastAsia="zh-CN"/>
        </w:rPr>
        <w:t>八项规定</w:t>
      </w:r>
      <w:r>
        <w:rPr>
          <w:rFonts w:ascii="Lao UI" w:hAnsi="Lao UI" w:eastAsia="仿宋" w:cs="Lao UI"/>
          <w:sz w:val="32"/>
          <w:szCs w:val="32"/>
        </w:rPr>
        <w:t>精神和厉行节约要求，管理制度不断完善，严格执行省财政厅只减不增的原则，使“三公”经费支出得到了有效控制。</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本部门2020年公务用车购置及运行维护费支出23.39万元，完成预算的76.84%。发生</w:t>
      </w:r>
      <w:r>
        <w:rPr>
          <w:rFonts w:hint="eastAsia" w:ascii="仿宋_GB2312" w:hAnsi="Times New Roman" w:eastAsia="仿宋_GB2312" w:cs="Wingdings"/>
          <w:sz w:val="32"/>
          <w:szCs w:val="32"/>
        </w:rPr>
        <w:t>公务接待共0批次、0人次。未发生‘公务接待费’支出，与年初预算持平；与2019年度决算支出持平。</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hint="eastAsia" w:ascii="楷体_GB2312" w:hAnsi="楷体_GB2312"/>
          <w:b/>
          <w:bCs/>
          <w:sz w:val="32"/>
          <w:szCs w:val="32"/>
        </w:rPr>
      </w:pPr>
      <w:r>
        <w:rPr>
          <w:rFonts w:hint="eastAsia" w:ascii="楷体" w:hAnsi="楷体" w:eastAsia="楷体" w:cs="楷体"/>
          <w:b/>
          <w:bCs/>
          <w:sz w:val="32"/>
          <w:szCs w:val="32"/>
        </w:rPr>
        <w:t>（一）预算绩效管理工作开展情况</w:t>
      </w:r>
    </w:p>
    <w:p>
      <w:pP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根据预算绩效管理要求，本部门组织对2020年度项目支出全面开展绩效自评，其中，一般公共预算一级项目58个，二级项目0个，共涉及资金12953.22万元，占一般公共预算项目支出总额的100%；政府性基金预算一级项目0个，二级项目0个,共涉及资金0万元，占政府性基金预算项目支出总额的0%。</w:t>
      </w:r>
    </w:p>
    <w:p>
      <w:pPr>
        <w:adjustRightInd w:val="0"/>
        <w:snapToGrid w:val="0"/>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组织对“农村部分计划生育家庭奖励扶助”一级项目开展了部门评价，涉及一般公共预算支出234.0</w:t>
      </w:r>
      <w:r>
        <w:rPr>
          <w:rFonts w:ascii="仿宋" w:hAnsi="仿宋" w:eastAsia="仿宋" w:cs="仿宋"/>
          <w:sz w:val="32"/>
          <w:szCs w:val="32"/>
        </w:rPr>
        <w:t>5</w:t>
      </w:r>
      <w:r>
        <w:rPr>
          <w:rFonts w:hint="eastAsia" w:ascii="仿宋" w:hAnsi="仿宋" w:eastAsia="仿宋" w:cs="仿宋"/>
          <w:sz w:val="32"/>
          <w:szCs w:val="32"/>
        </w:rPr>
        <w:t>万元。从评价情况来看，本部门对评价项目能按时、按质、按量对资金予以作用及发放到位。</w:t>
      </w:r>
    </w:p>
    <w:p>
      <w:pPr>
        <w:adjustRightInd w:val="0"/>
        <w:snapToGrid w:val="0"/>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 部门决算中项目绩效自评结果。</w:t>
      </w:r>
    </w:p>
    <w:p>
      <w:pP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本部门在今年部门决算公开中反映“农村部分计划生育家庭奖励扶助”项目绩效自评结果。</w:t>
      </w:r>
    </w:p>
    <w:p>
      <w:pPr>
        <w:numPr>
          <w:ilvl w:val="0"/>
          <w:numId w:val="4"/>
        </w:numPr>
        <w:adjustRightInd w:val="0"/>
        <w:snapToGri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农村部分计划生育家庭奖励扶助制度，是在各地现行计划生育奖励优惠政策基础上，针对农村只有一个子女和两个女孩的计划生育家庭，夫妇年满60周岁以后，由中央、区财政安排专项资金给予奖励扶助的一项基本的计划生育奖励制度奖励扶助政策。设定该项目产出指标为扶助对象确认准确率达到100%，奖扶资金发放率达到100%，扶助对象奖励扶助资金10月12日前足额发放；设定效果指标为政策落实率达到100%，群众满意度是否超过 90</w:t>
      </w:r>
      <w:r>
        <w:rPr>
          <w:rFonts w:ascii="仿宋" w:hAnsi="仿宋" w:eastAsia="仿宋" w:cs="仿宋"/>
          <w:sz w:val="32"/>
          <w:szCs w:val="32"/>
        </w:rPr>
        <w:t>.00</w:t>
      </w:r>
      <w:r>
        <w:rPr>
          <w:rFonts w:hint="eastAsia" w:ascii="仿宋" w:hAnsi="仿宋" w:eastAsia="仿宋" w:cs="仿宋"/>
          <w:sz w:val="32"/>
          <w:szCs w:val="32"/>
        </w:rPr>
        <w:t>%。2020年，我区农村部分计划生育家庭奖励扶助工作圆满完成，为部分农村计划生育家庭奖励扶对象2438名，按照960元/人/年的标准发放奖励扶助金 234.0</w:t>
      </w:r>
      <w:r>
        <w:rPr>
          <w:rFonts w:ascii="仿宋" w:hAnsi="仿宋" w:eastAsia="仿宋" w:cs="仿宋"/>
          <w:sz w:val="32"/>
          <w:szCs w:val="32"/>
        </w:rPr>
        <w:t>5</w:t>
      </w:r>
      <w:r>
        <w:rPr>
          <w:rFonts w:hint="eastAsia" w:ascii="仿宋" w:hAnsi="仿宋" w:eastAsia="仿宋" w:cs="仿宋"/>
          <w:sz w:val="32"/>
          <w:szCs w:val="32"/>
        </w:rPr>
        <w:t>万元，其中市县负担93.62万元（区级财政配套资金46.8</w:t>
      </w:r>
      <w:r>
        <w:rPr>
          <w:rFonts w:ascii="仿宋" w:hAnsi="仿宋" w:eastAsia="仿宋" w:cs="仿宋"/>
          <w:sz w:val="32"/>
          <w:szCs w:val="32"/>
        </w:rPr>
        <w:t>1</w:t>
      </w:r>
      <w:r>
        <w:rPr>
          <w:rFonts w:hint="eastAsia" w:ascii="仿宋" w:hAnsi="仿宋" w:eastAsia="仿宋" w:cs="仿宋"/>
          <w:sz w:val="32"/>
          <w:szCs w:val="32"/>
        </w:rPr>
        <w:t>万元）。项目绩效目标完成情况：一是解决农村独生子女和双女户家庭的养老问题，提高家庭发展能力；二是缓解计划生育困难家庭在生产、生活、医疗和养老方面的特殊困难，保障和改善民生，促进社会和谐稳定。发现的主要问题及原因：无。下一步改进措施：无。绩效自评等级为“优”。</w:t>
      </w:r>
    </w:p>
    <w:p>
      <w:pPr>
        <w:adjustRightInd w:val="0"/>
        <w:snapToGrid w:val="0"/>
        <w:spacing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（三）财政评价项目绩效评价结果：无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本部门2020年度机关运行经费支出638.64万元，比2019年度增加182.74万元，增长40.08%。主要原因是发放村卫生室人员工资导致劳务费增加及新冠疫情以来我部门工作人员经常加班导致水、电费经费支出的增长。</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本部门2020年度政府采购支出总额3808.26万元，从采购类型来看，</w:t>
      </w:r>
      <w:r>
        <w:rPr>
          <w:rFonts w:hint="eastAsia" w:ascii="仿宋_GB2312" w:hAnsi="仿宋_GB2312" w:eastAsia="仿宋_GB2312" w:cs="仿宋_GB2312"/>
          <w:color w:val="000000"/>
          <w:kern w:val="0"/>
          <w:sz w:val="32"/>
          <w:szCs w:val="32"/>
          <w:lang w:bidi="ar"/>
        </w:rPr>
        <w:t>政府采购货物支出3247.68 万元、政府采购工程支出534.39万元、政府采购服务支出 26.19万元。授予中小企业合同金3807.45万元，占政府采购支出总额的99.98%，其中授予小微企业合同金额417.97万元，占政府采购支出总额的10.98%。</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33辆，比上年减少1辆，主要是疾病预防控制中心一辆冷链运输车年限到期进行报废处理。其中，副部（省）级及以上领导用车0辆，主要领导干部用车0辆，机要通信用车0辆，应急保障用车0辆，执法执勤用车0辆，特种专业技术用车8辆，离退休干部用车0辆，其他用车25辆，其他用车主要是救护车及冷链运输车；</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单位价值50万元以上通用设备0台，与2019年度持平，单位价值100万元以上专用设备24台，比上年增加24套，主要是区医院购置设备。</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本部门2020年度未发生国有资金经营预算收支及结转结余情况，故国有资本经营预算财政拨款支出决算表以空表列示。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-1065530</wp:posOffset>
                </wp:positionH>
                <wp:positionV relativeFrom="paragraph">
                  <wp:posOffset>391160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3.9pt;margin-top:30.8pt;height:263.1pt;width:613.65pt;z-index:251661312;v-text-anchor:middle;mso-width-relative:page;mso-height-relative:page;" fillcolor="#7F7F7F [1612]" filled="t" stroked="t" coordsize="21600,21600" o:gfxdata="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hDZ4SdgAAAAMAQAADwAA&#10;AAAAAAABACAAAAAiAAAAZHJzL2Rvd25yZXYueG1sUEsBAhQAFAAAAAgAh07iQMGdnwmIAgAATAUA&#10;AA4AAAAAAAAAAQAgAAAAJwEAAGRycy9lMm9Eb2MueG1sUEsFBgAAAAAGAAYAWQEAACEGA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bookmarkStart w:id="0" w:name="_GoBack"/>
      <w:bookmarkEnd w:id="0"/>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755"/>
        <w:gridCol w:w="3374"/>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5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748"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部门：保定市满城区卫生健康局</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5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748"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8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748"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14124.67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1055.78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10.00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19858.53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8652.65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472.55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41884.13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1505.44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82.97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116.03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1500.00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18"/>
                <w:szCs w:val="18"/>
                <w:lang w:bidi="ar"/>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24</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lang w:bidi="ar"/>
              </w:rPr>
            </w:pP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二十五、抗疫特别国债安排支出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1055.78</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43701.63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46620.90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bidi="ar"/>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11760.09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8840.81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55461.72　</w:t>
            </w:r>
          </w:p>
        </w:tc>
        <w:tc>
          <w:tcPr>
            <w:tcW w:w="33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55461.72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6"/>
        <w:tblW w:w="10319" w:type="dxa"/>
        <w:jc w:val="center"/>
        <w:tblLayout w:type="fixed"/>
        <w:tblCellMar>
          <w:top w:w="0" w:type="dxa"/>
          <w:left w:w="0" w:type="dxa"/>
          <w:bottom w:w="0" w:type="dxa"/>
          <w:right w:w="0" w:type="dxa"/>
        </w:tblCellMar>
      </w:tblPr>
      <w:tblGrid>
        <w:gridCol w:w="717"/>
        <w:gridCol w:w="50"/>
        <w:gridCol w:w="50"/>
        <w:gridCol w:w="3130"/>
        <w:gridCol w:w="1285"/>
        <w:gridCol w:w="1248"/>
        <w:gridCol w:w="787"/>
        <w:gridCol w:w="1048"/>
        <w:gridCol w:w="567"/>
        <w:gridCol w:w="500"/>
        <w:gridCol w:w="937"/>
      </w:tblGrid>
      <w:tr>
        <w:tblPrEx>
          <w:tblCellMar>
            <w:top w:w="0" w:type="dxa"/>
            <w:left w:w="0" w:type="dxa"/>
            <w:bottom w:w="0" w:type="dxa"/>
            <w:right w:w="0" w:type="dxa"/>
          </w:tblCellMar>
        </w:tblPrEx>
        <w:trPr>
          <w:trHeight w:val="670" w:hRule="atLeast"/>
          <w:jc w:val="center"/>
        </w:trPr>
        <w:tc>
          <w:tcPr>
            <w:tcW w:w="10319"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71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3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8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8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4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718"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部门：保定市满城区卫生健康局</w:t>
            </w: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3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8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8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00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393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28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2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78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10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5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50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93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80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313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2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3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0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3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393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2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5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5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9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393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43701.63</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15180.45</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10.00</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19858.53</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8652.65</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政府办公厅（室）及相关机构事务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行政事业单位养老支出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2080502</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事业单位离退休</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147.68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147.68</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228.80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228.80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96.06</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96.06</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40470.30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11949.12</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10.00</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19858.53</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8652.65</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卫生健康管理事务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570.62</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570.62</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2100101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468.22</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468.22</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2100199</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其他卫生健康管理事务支出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102.40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102.40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21002</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公立医院</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30475.58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3625.00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18260.63</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8589.95</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2100201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综合医院</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30290.58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3440.00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18260.63</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8589.95</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2100299</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其他公立医院支出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185.00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185.00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21003</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基层医疗卫生机构</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2072.39</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1631.37</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441.02</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2100302</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乡镇卫生院</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1367.39</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926.37</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441.02</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2100399</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其他基层医疗卫生机构支出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705.00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705.00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公共卫生</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6712.31</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5516.32</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10.00</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1156.88</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29.11</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疾病预防控制机构</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976.92</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458.11</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489.71</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29.11</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2100403</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妇幼保健机构</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1364.64</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687.46</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10.00</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667.17</w:t>
            </w: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2100408</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基本公共卫生服务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2918.71</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2918.71</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2100409</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重大公共卫生服务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947.99</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947.99</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2100410</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突发公共卫生事件应急处理</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504.05</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504.05</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21007</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计划生育事务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502.01</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502.01</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2100717</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计划生育服务</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367.44</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367.44</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2100799</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其他计划生育事务支出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134.58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134.58</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89.30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89.30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7.20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7.20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2101102</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事业单位医疗</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82.10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21099</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48.09</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14.50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33.59</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2109901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48.09</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14.50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33.59</w:t>
            </w: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213</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农林水支出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82.97</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82.97</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21305</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扶贫</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82.97</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82.97</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2130504</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农村基础设施建设</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82.97</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82.97</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116.03</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116.03</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116.03</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116.03</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116.03</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116.03</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222</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粮油物资储备支出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1500.00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1500.00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22205</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重要商品储备</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1500.00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1500.00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2220511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应急物资储备</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1500.00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1500.00</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234</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抗疫特别国债安排的支出</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1055.78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1055.78</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23401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基础设施建设</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1055.78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1055.78</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0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2340101</w:t>
            </w:r>
          </w:p>
        </w:tc>
        <w:tc>
          <w:tcPr>
            <w:tcW w:w="31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公共卫生体系建设</w:t>
            </w:r>
          </w:p>
        </w:tc>
        <w:tc>
          <w:tcPr>
            <w:tcW w:w="12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1055.78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1055.78</w:t>
            </w:r>
          </w:p>
        </w:tc>
        <w:tc>
          <w:tcPr>
            <w:tcW w:w="7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319"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r>
        <w:tblPrEx>
          <w:tblCellMar>
            <w:top w:w="0" w:type="dxa"/>
            <w:left w:w="0" w:type="dxa"/>
            <w:bottom w:w="0" w:type="dxa"/>
            <w:right w:w="0" w:type="dxa"/>
          </w:tblCellMar>
        </w:tblPrEx>
        <w:trPr>
          <w:trHeight w:val="385" w:hRule="atLeast"/>
          <w:jc w:val="center"/>
        </w:trPr>
        <w:tc>
          <w:tcPr>
            <w:tcW w:w="10319"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22"/>
                <w:lang w:bidi="ar"/>
              </w:rPr>
            </w:pPr>
          </w:p>
        </w:tc>
      </w:tr>
    </w:tbl>
    <w:p>
      <w:pPr>
        <w:jc w:val="left"/>
      </w:pPr>
    </w:p>
    <w:p>
      <w:r>
        <w:br w:type="page"/>
      </w:r>
    </w:p>
    <w:tbl>
      <w:tblPr>
        <w:tblStyle w:val="6"/>
        <w:tblW w:w="9680" w:type="dxa"/>
        <w:jc w:val="center"/>
        <w:tblLayout w:type="fixed"/>
        <w:tblCellMar>
          <w:top w:w="0" w:type="dxa"/>
          <w:left w:w="0" w:type="dxa"/>
          <w:bottom w:w="0" w:type="dxa"/>
          <w:right w:w="0" w:type="dxa"/>
        </w:tblCellMar>
      </w:tblPr>
      <w:tblGrid>
        <w:gridCol w:w="941"/>
        <w:gridCol w:w="53"/>
        <w:gridCol w:w="111"/>
        <w:gridCol w:w="2255"/>
        <w:gridCol w:w="1162"/>
        <w:gridCol w:w="1138"/>
        <w:gridCol w:w="1087"/>
        <w:gridCol w:w="938"/>
        <w:gridCol w:w="812"/>
        <w:gridCol w:w="1183"/>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2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3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8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3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1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83"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3360"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lang w:bidi="ar"/>
              </w:rPr>
              <w:t>部门：保定市满城区卫生健康局</w:t>
            </w:r>
          </w:p>
        </w:tc>
        <w:tc>
          <w:tcPr>
            <w:tcW w:w="116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3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8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3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995"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336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3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08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93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81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18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25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0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9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1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25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1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25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8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3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1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8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33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3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0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93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81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18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33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r>
              <w:rPr>
                <w:rFonts w:hint="eastAsia" w:ascii="宋体" w:hAnsi="宋体" w:eastAsia="宋体" w:cs="宋体"/>
                <w:b/>
                <w:color w:val="000000"/>
                <w:sz w:val="22"/>
                <w:szCs w:val="22"/>
              </w:rPr>
              <w:t>46620.90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r>
              <w:rPr>
                <w:rFonts w:hint="eastAsia" w:ascii="宋体" w:hAnsi="宋体" w:eastAsia="宋体" w:cs="宋体"/>
                <w:b/>
                <w:color w:val="000000"/>
                <w:sz w:val="22"/>
                <w:szCs w:val="22"/>
              </w:rPr>
              <w:t>32436.47</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r>
              <w:rPr>
                <w:rFonts w:hint="eastAsia" w:ascii="宋体" w:hAnsi="宋体" w:eastAsia="宋体" w:cs="宋体"/>
                <w:b/>
                <w:color w:val="000000"/>
                <w:sz w:val="22"/>
                <w:szCs w:val="22"/>
              </w:rPr>
              <w:t>14184.43</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政府办公厅（室）及相关机构事务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4.00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行政事业单位养老支出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472.55</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2080502</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事业单位离退休</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147.68</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147.68</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228.80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228.80</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96.06</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96.06</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41884.13</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31847.89</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10036.24</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卫生健康管理事务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580.17</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479.77</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100.40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2100101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477.77</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477.77</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2100199</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其他卫生健康管理事务支出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102.40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2.00</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100.40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21002</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公立医院</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32064.76</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27027.58</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5037.18</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2100201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综合医院</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31879.76</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26850.58</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5029.18</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2100299</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其他公立医院支出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185.00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177.00</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8.00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21003</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基层医疗卫生机构</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2072.39</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2072.39</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2100302</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乡镇卫生院</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1367.39</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1367.39</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2100399</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其他基层医疗卫生机构支出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705.00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705.00</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公共卫生</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6527.78</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2145.26</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4382.52</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疾病预防控制机构</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1058.67</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1051.75</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6.92</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2100403</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妇幼保健机构</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1313.45</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1093.51</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219.95</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2100408</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基本公共卫生服务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2835.22</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2835.22</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2100409</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重大公共卫生服务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916.39</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916.39</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2100410</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突发公共卫生事件应急处理</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404.05</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404.05</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21007</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计划生育事务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501.64</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501.64</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2100717</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计划生育服务</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367.44</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367.44</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2100799</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其他计划生育事务支出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134.21</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134.21</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89.30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89.30</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7.20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7.20</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2101102</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事业单位医疗</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82.10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82.10</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21099</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48.09</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33.59</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14.50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2109901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48.09</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33.59</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14.50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212</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城乡社区支出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1505.44</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1505.44</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21208</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国有土地使用权出让收入安排的支出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1505.44</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1505.44</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2120803</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szCs w:val="22"/>
              </w:rPr>
            </w:pPr>
            <w:r>
              <w:rPr>
                <w:rFonts w:hint="eastAsia" w:ascii="宋体" w:hAnsi="宋体" w:eastAsia="宋体" w:cs="宋体"/>
                <w:color w:val="000000"/>
                <w:sz w:val="22"/>
                <w:szCs w:val="22"/>
              </w:rPr>
              <w:t>城市建设支出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1505.44</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1505.44</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213</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农林水支出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82.97</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82.97</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21305</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扶贫</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82.97</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82.97</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2130504</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农村基础设施建设</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82.97</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82.97</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116.03</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116.03</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116.03</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116.03</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116.03</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116.03</w:t>
            </w: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222</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粮油物资储备支出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1500.00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1500.00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22205</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重要商品储备</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1500.00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1500.00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2220511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应急物资储备</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1500.00</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1500.00</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234</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抗疫特别国债安排的支出</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1055.78</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1055.78</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23401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基础设施建设</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1055.78</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1055.78</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2340101</w:t>
            </w:r>
          </w:p>
        </w:tc>
        <w:tc>
          <w:tcPr>
            <w:tcW w:w="22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公共卫生体系建设</w:t>
            </w:r>
          </w:p>
        </w:tc>
        <w:tc>
          <w:tcPr>
            <w:tcW w:w="11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1055.78</w:t>
            </w:r>
          </w:p>
        </w:tc>
        <w:tc>
          <w:tcPr>
            <w:tcW w:w="11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0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r>
              <w:rPr>
                <w:rFonts w:hint="eastAsia" w:ascii="宋体" w:hAnsi="宋体" w:eastAsia="宋体" w:cs="宋体"/>
                <w:color w:val="000000"/>
                <w:sz w:val="22"/>
                <w:szCs w:val="22"/>
              </w:rPr>
              <w:t>1055.78</w:t>
            </w:r>
          </w:p>
        </w:tc>
        <w:tc>
          <w:tcPr>
            <w:tcW w:w="9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8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c>
          <w:tcPr>
            <w:tcW w:w="11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szCs w:val="22"/>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2706"/>
        <w:gridCol w:w="1850"/>
        <w:gridCol w:w="2112"/>
        <w:gridCol w:w="1544"/>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317"/>
              <w:gridCol w:w="465"/>
              <w:gridCol w:w="855"/>
              <w:gridCol w:w="2349"/>
              <w:gridCol w:w="446"/>
              <w:gridCol w:w="855"/>
              <w:gridCol w:w="863"/>
              <w:gridCol w:w="737"/>
              <w:gridCol w:w="597"/>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49"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197"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部门：保定市满城区卫生健康局</w:t>
                  </w:r>
                </w:p>
              </w:tc>
              <w:tc>
                <w:tcPr>
                  <w:tcW w:w="465"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85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49"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6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334"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6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847"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5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349"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5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6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3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59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349"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6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3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59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14124.67</w:t>
                  </w: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4.00</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4.00</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1055.78</w:t>
                  </w: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472.55</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472.55</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13342.58</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13342.58</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1505.44</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1505.44</w:t>
                  </w: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82.97</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82.97</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116.03</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116.03</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1500.00</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1500.00</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1055.78</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1055.78</w:t>
                  </w: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18079.35</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15518.12</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2561.23</w:t>
                  </w: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8446.62</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2952.07</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5494.56</w:t>
                  </w: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49"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5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26525.97</w:t>
                  </w:r>
                </w:p>
              </w:tc>
              <w:tc>
                <w:tcPr>
                  <w:tcW w:w="86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18470.19</w:t>
                  </w:r>
                </w:p>
              </w:tc>
              <w:tc>
                <w:tcPr>
                  <w:tcW w:w="73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8055.78</w:t>
                  </w:r>
                </w:p>
              </w:tc>
              <w:tc>
                <w:tcPr>
                  <w:tcW w:w="59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3637" w:type="dxa"/>
                  <w:gridSpan w:val="3"/>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6099" w:type="dxa"/>
                  <w:gridSpan w:val="7"/>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70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12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部门：保定市满城区卫生健康局</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70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12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401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5976"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70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8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11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014"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70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8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1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1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70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8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11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1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01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1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0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401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15518.12</w:t>
            </w:r>
          </w:p>
        </w:tc>
        <w:tc>
          <w:tcPr>
            <w:tcW w:w="21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3894.91</w:t>
            </w:r>
          </w:p>
        </w:tc>
        <w:tc>
          <w:tcPr>
            <w:tcW w:w="20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11623.21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w:t>
            </w:r>
          </w:p>
        </w:tc>
        <w:tc>
          <w:tcPr>
            <w:tcW w:w="27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一般公共服务支出</w:t>
            </w:r>
          </w:p>
        </w:tc>
        <w:tc>
          <w:tcPr>
            <w:tcW w:w="1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4.00</w:t>
            </w:r>
          </w:p>
        </w:tc>
        <w:tc>
          <w:tcPr>
            <w:tcW w:w="21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0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w:t>
            </w:r>
          </w:p>
        </w:tc>
        <w:tc>
          <w:tcPr>
            <w:tcW w:w="27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政府办公厅（室）及相关机构事务</w:t>
            </w:r>
          </w:p>
        </w:tc>
        <w:tc>
          <w:tcPr>
            <w:tcW w:w="1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4.00</w:t>
            </w:r>
          </w:p>
        </w:tc>
        <w:tc>
          <w:tcPr>
            <w:tcW w:w="21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0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27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1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4.00</w:t>
            </w:r>
          </w:p>
        </w:tc>
        <w:tc>
          <w:tcPr>
            <w:tcW w:w="21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0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27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社会保障和就业支出</w:t>
            </w:r>
          </w:p>
        </w:tc>
        <w:tc>
          <w:tcPr>
            <w:tcW w:w="1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472.55</w:t>
            </w:r>
          </w:p>
        </w:tc>
        <w:tc>
          <w:tcPr>
            <w:tcW w:w="21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472.55</w:t>
            </w:r>
          </w:p>
        </w:tc>
        <w:tc>
          <w:tcPr>
            <w:tcW w:w="20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w:t>
            </w:r>
          </w:p>
        </w:tc>
        <w:tc>
          <w:tcPr>
            <w:tcW w:w="27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行政事业单位养老支出</w:t>
            </w:r>
          </w:p>
        </w:tc>
        <w:tc>
          <w:tcPr>
            <w:tcW w:w="1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472.55</w:t>
            </w:r>
          </w:p>
        </w:tc>
        <w:tc>
          <w:tcPr>
            <w:tcW w:w="211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472.55</w:t>
            </w:r>
          </w:p>
        </w:tc>
        <w:tc>
          <w:tcPr>
            <w:tcW w:w="20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2080502</w:t>
            </w:r>
          </w:p>
        </w:tc>
        <w:tc>
          <w:tcPr>
            <w:tcW w:w="270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事业单位离退休</w:t>
            </w:r>
          </w:p>
        </w:tc>
        <w:tc>
          <w:tcPr>
            <w:tcW w:w="185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147.68</w:t>
            </w:r>
          </w:p>
        </w:tc>
        <w:tc>
          <w:tcPr>
            <w:tcW w:w="2112"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147.68</w:t>
            </w:r>
          </w:p>
        </w:tc>
        <w:tc>
          <w:tcPr>
            <w:tcW w:w="2014"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850"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228.80</w:t>
            </w:r>
          </w:p>
        </w:tc>
        <w:tc>
          <w:tcPr>
            <w:tcW w:w="2112"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228.80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96.06</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96.06</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13342.58</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3306.34</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10036.24</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卫生健康管理事务</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580.17</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479.77</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100.40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2100101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477.77</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477.77</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2100199</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其他卫生健康管理事务支出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102.40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100.40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21002</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公立医院</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5214.18</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177.00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5037.18</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2100201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综合医院</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5029.18</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5029.18</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2100299</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其他公立医院支出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185.00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177.00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21003</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基层医疗卫生机构</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1631.37</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1631.37</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2100302</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乡镇卫生院</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926.37</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926.37</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2100399</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其他基层医疗卫生机构支出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705.00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705.00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21004</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公共卫生</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5311.41</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928.89</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4382.52</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2100401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疾病预防控制机构</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458.11</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451.19</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6.92</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2100403</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妇幼保健机构</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697.65</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477.71</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219.95</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2100408</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基本公共卫生服务</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2835.22</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2835.22</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2100409</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重大公共卫生服务</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916.39</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916.39</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2100410</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突发公共卫生事件应急处理</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404.05</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404.05</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21007</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计划生育事务</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501.64</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501.64</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2100717</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计划生育服务</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367.44</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367.44</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2100799</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其他计划生育事务支出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134.21</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134.21</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21011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行政事业单位医疗</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89.30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89.30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7.20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7.20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2101102</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事业单位医疗</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82.10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82.10</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21099</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14.50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14.50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2109901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其他卫生健康支出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14.50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14.50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213</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农林水支出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82.97</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82.97</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21305</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扶贫</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82.97</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82.97</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2130504</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农村基础设施建设</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82.97</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82.97</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221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住房保障支出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116.03</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116.03</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22102</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住房改革支出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116.03</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116.03</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116.03</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116.03</w:t>
            </w: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222</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粮油物资储备支出</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1500.00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1500.00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22205</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重要商品储备</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1500.00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1500.00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2220511</w:t>
            </w:r>
          </w:p>
        </w:tc>
        <w:tc>
          <w:tcPr>
            <w:tcW w:w="2706"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color w:val="000000"/>
                <w:sz w:val="22"/>
              </w:rPr>
            </w:pPr>
            <w:r>
              <w:rPr>
                <w:rFonts w:hint="eastAsia" w:ascii="宋体" w:hAnsi="宋体" w:eastAsia="宋体" w:cs="宋体"/>
                <w:color w:val="000000"/>
                <w:sz w:val="22"/>
              </w:rPr>
              <w:t>应急物资储备</w:t>
            </w:r>
          </w:p>
        </w:tc>
        <w:tc>
          <w:tcPr>
            <w:tcW w:w="1850"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1500.00</w:t>
            </w:r>
          </w:p>
        </w:tc>
        <w:tc>
          <w:tcPr>
            <w:tcW w:w="2112" w:type="dxa"/>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p>
        </w:tc>
        <w:tc>
          <w:tcPr>
            <w:tcW w:w="2014" w:type="dxa"/>
            <w:gridSpan w:val="2"/>
            <w:tcBorders>
              <w:top w:val="single" w:color="auto" w:sz="4" w:space="0"/>
              <w:left w:val="single" w:color="auto" w:sz="4" w:space="0"/>
              <w:bottom w:val="single" w:color="auto" w:sz="4" w:space="0"/>
              <w:right w:val="single" w:color="auto" w:sz="4" w:space="0"/>
            </w:tcBorders>
          </w:tcPr>
          <w:p>
            <w:pPr>
              <w:jc w:val="right"/>
              <w:rPr>
                <w:rFonts w:ascii="宋体" w:hAnsi="宋体" w:eastAsia="宋体" w:cs="宋体"/>
                <w:color w:val="000000"/>
                <w:sz w:val="18"/>
                <w:szCs w:val="18"/>
              </w:rPr>
            </w:pPr>
            <w:r>
              <w:rPr>
                <w:rFonts w:hint="eastAsia" w:ascii="宋体" w:hAnsi="宋体" w:eastAsia="宋体" w:cs="宋体"/>
                <w:color w:val="000000"/>
                <w:sz w:val="18"/>
                <w:szCs w:val="18"/>
              </w:rPr>
              <w:t>1500.00</w:t>
            </w: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部门：保定市满城区卫生健康局</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3090.68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638.64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1358.39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33.05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141.57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23.00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79.62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345.10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458.72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30.05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231.52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0.41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226.53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67.80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4.20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239.59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27.46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5.44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165.60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120.97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227.02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36.98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204.51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3.70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23.39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0.16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3256.28</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638.64</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部门：保定市满城区卫生健康局</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30.44</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30.44</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30.44</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23.39</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23.39</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23.39</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847" w:type="dxa"/>
        <w:jc w:val="center"/>
        <w:tblLayout w:type="fixed"/>
        <w:tblCellMar>
          <w:top w:w="0" w:type="dxa"/>
          <w:left w:w="0" w:type="dxa"/>
          <w:bottom w:w="0" w:type="dxa"/>
          <w:right w:w="0" w:type="dxa"/>
        </w:tblCellMar>
      </w:tblPr>
      <w:tblGrid>
        <w:gridCol w:w="676"/>
        <w:gridCol w:w="50"/>
        <w:gridCol w:w="50"/>
        <w:gridCol w:w="3465"/>
        <w:gridCol w:w="1061"/>
        <w:gridCol w:w="987"/>
        <w:gridCol w:w="1074"/>
        <w:gridCol w:w="559"/>
        <w:gridCol w:w="876"/>
        <w:gridCol w:w="1049"/>
      </w:tblGrid>
      <w:tr>
        <w:tblPrEx>
          <w:tblCellMar>
            <w:top w:w="0" w:type="dxa"/>
            <w:left w:w="0" w:type="dxa"/>
            <w:bottom w:w="0" w:type="dxa"/>
            <w:right w:w="0" w:type="dxa"/>
          </w:tblCellMar>
        </w:tblPrEx>
        <w:trPr>
          <w:trHeight w:val="780" w:hRule="atLeast"/>
          <w:jc w:val="center"/>
        </w:trPr>
        <w:tc>
          <w:tcPr>
            <w:tcW w:w="9847"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67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347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6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98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7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56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927"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678"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部门：保定市满城区卫生健康局</w:t>
            </w:r>
          </w:p>
        </w:tc>
        <w:tc>
          <w:tcPr>
            <w:tcW w:w="4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347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62"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988"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7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56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927"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423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6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98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2512"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0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76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347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7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8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0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76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347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7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8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76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347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7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8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423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423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r>
              <w:rPr>
                <w:rFonts w:hint="eastAsia" w:ascii="宋体" w:hAnsi="宋体" w:eastAsia="宋体" w:cs="宋体"/>
                <w:b/>
                <w:color w:val="000000"/>
                <w:szCs w:val="22"/>
              </w:rPr>
              <w:t>7000.00</w:t>
            </w: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r>
              <w:rPr>
                <w:rFonts w:hint="eastAsia" w:ascii="宋体" w:hAnsi="宋体" w:eastAsia="宋体" w:cs="宋体"/>
                <w:b/>
                <w:color w:val="000000"/>
                <w:szCs w:val="22"/>
              </w:rPr>
              <w:t>1055.78</w:t>
            </w: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r>
              <w:rPr>
                <w:rFonts w:hint="eastAsia" w:ascii="宋体" w:hAnsi="宋体" w:eastAsia="宋体" w:cs="宋体"/>
                <w:b/>
                <w:color w:val="000000"/>
                <w:szCs w:val="22"/>
              </w:rPr>
              <w:t>2561.23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r>
              <w:rPr>
                <w:rFonts w:hint="eastAsia" w:ascii="宋体" w:hAnsi="宋体" w:eastAsia="宋体" w:cs="宋体"/>
                <w:b/>
                <w:color w:val="000000"/>
                <w:szCs w:val="22"/>
              </w:rPr>
              <w:t>2561.23</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r>
              <w:rPr>
                <w:rFonts w:hint="eastAsia" w:ascii="宋体" w:hAnsi="宋体" w:eastAsia="宋体" w:cs="宋体"/>
                <w:b/>
                <w:color w:val="000000"/>
                <w:szCs w:val="22"/>
              </w:rPr>
              <w:t>5494.56</w:t>
            </w:r>
          </w:p>
        </w:tc>
      </w:tr>
      <w:tr>
        <w:tblPrEx>
          <w:tblCellMar>
            <w:top w:w="0" w:type="dxa"/>
            <w:left w:w="0" w:type="dxa"/>
            <w:bottom w:w="0" w:type="dxa"/>
            <w:right w:w="0" w:type="dxa"/>
          </w:tblCellMar>
        </w:tblPrEx>
        <w:trPr>
          <w:trHeight w:val="308" w:hRule="atLeast"/>
          <w:jc w:val="center"/>
        </w:trPr>
        <w:tc>
          <w:tcPr>
            <w:tcW w:w="76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212</w:t>
            </w:r>
          </w:p>
        </w:tc>
        <w:tc>
          <w:tcPr>
            <w:tcW w:w="34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城乡社区支出</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7000.00</w:t>
            </w: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1505.44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1505.44</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5494.56</w:t>
            </w:r>
          </w:p>
        </w:tc>
      </w:tr>
      <w:tr>
        <w:tblPrEx>
          <w:tblCellMar>
            <w:top w:w="0" w:type="dxa"/>
            <w:left w:w="0" w:type="dxa"/>
            <w:bottom w:w="0" w:type="dxa"/>
            <w:right w:w="0" w:type="dxa"/>
          </w:tblCellMar>
        </w:tblPrEx>
        <w:trPr>
          <w:trHeight w:val="308" w:hRule="atLeast"/>
          <w:jc w:val="center"/>
        </w:trPr>
        <w:tc>
          <w:tcPr>
            <w:tcW w:w="76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21208</w:t>
            </w:r>
          </w:p>
        </w:tc>
        <w:tc>
          <w:tcPr>
            <w:tcW w:w="34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国有土地使用权出让收入安排的支出</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7000.00</w:t>
            </w: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1505.44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1505.44</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5494.56</w:t>
            </w:r>
          </w:p>
        </w:tc>
      </w:tr>
      <w:tr>
        <w:tblPrEx>
          <w:tblCellMar>
            <w:top w:w="0" w:type="dxa"/>
            <w:left w:w="0" w:type="dxa"/>
            <w:bottom w:w="0" w:type="dxa"/>
            <w:right w:w="0" w:type="dxa"/>
          </w:tblCellMar>
        </w:tblPrEx>
        <w:trPr>
          <w:trHeight w:val="308" w:hRule="atLeast"/>
          <w:jc w:val="center"/>
        </w:trPr>
        <w:tc>
          <w:tcPr>
            <w:tcW w:w="76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2120803</w:t>
            </w:r>
          </w:p>
        </w:tc>
        <w:tc>
          <w:tcPr>
            <w:tcW w:w="34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城市建设支出</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7000.00</w:t>
            </w: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1505.44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1505.44</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5494.56</w:t>
            </w:r>
          </w:p>
        </w:tc>
      </w:tr>
      <w:tr>
        <w:tblPrEx>
          <w:tblCellMar>
            <w:top w:w="0" w:type="dxa"/>
            <w:left w:w="0" w:type="dxa"/>
            <w:bottom w:w="0" w:type="dxa"/>
            <w:right w:w="0" w:type="dxa"/>
          </w:tblCellMar>
        </w:tblPrEx>
        <w:trPr>
          <w:trHeight w:val="308" w:hRule="atLeast"/>
          <w:jc w:val="center"/>
        </w:trPr>
        <w:tc>
          <w:tcPr>
            <w:tcW w:w="76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234</w:t>
            </w:r>
          </w:p>
        </w:tc>
        <w:tc>
          <w:tcPr>
            <w:tcW w:w="34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抗疫特别国债安排的支出</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r>
      <w:tr>
        <w:tblPrEx>
          <w:tblCellMar>
            <w:top w:w="0" w:type="dxa"/>
            <w:left w:w="0" w:type="dxa"/>
            <w:bottom w:w="0" w:type="dxa"/>
            <w:right w:w="0" w:type="dxa"/>
          </w:tblCellMar>
        </w:tblPrEx>
        <w:trPr>
          <w:trHeight w:val="308" w:hRule="atLeast"/>
          <w:jc w:val="center"/>
        </w:trPr>
        <w:tc>
          <w:tcPr>
            <w:tcW w:w="76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23401</w:t>
            </w:r>
          </w:p>
        </w:tc>
        <w:tc>
          <w:tcPr>
            <w:tcW w:w="34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基础设施建设</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r>
      <w:tr>
        <w:tblPrEx>
          <w:tblCellMar>
            <w:top w:w="0" w:type="dxa"/>
            <w:left w:w="0" w:type="dxa"/>
            <w:bottom w:w="0" w:type="dxa"/>
            <w:right w:w="0" w:type="dxa"/>
          </w:tblCellMar>
        </w:tblPrEx>
        <w:trPr>
          <w:trHeight w:val="308" w:hRule="atLeast"/>
          <w:jc w:val="center"/>
        </w:trPr>
        <w:tc>
          <w:tcPr>
            <w:tcW w:w="76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2340101</w:t>
            </w:r>
          </w:p>
        </w:tc>
        <w:tc>
          <w:tcPr>
            <w:tcW w:w="34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1"/>
              </w:rPr>
            </w:pPr>
            <w:r>
              <w:rPr>
                <w:rFonts w:hint="eastAsia" w:ascii="宋体" w:hAnsi="宋体" w:eastAsia="宋体" w:cs="宋体"/>
                <w:color w:val="000000"/>
                <w:szCs w:val="21"/>
              </w:rPr>
              <w:t>公共卫生体系建设</w:t>
            </w: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9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10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r>
              <w:rPr>
                <w:rFonts w:hint="eastAsia" w:ascii="宋体" w:hAnsi="宋体" w:eastAsia="宋体" w:cs="宋体"/>
                <w:color w:val="000000"/>
                <w:szCs w:val="21"/>
              </w:rPr>
              <w:t>1055.78</w:t>
            </w:r>
          </w:p>
        </w:tc>
        <w:tc>
          <w:tcPr>
            <w:tcW w:w="10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1"/>
              </w:rPr>
            </w:pPr>
          </w:p>
        </w:tc>
      </w:tr>
    </w:tbl>
    <w:p>
      <w:pPr>
        <w:rPr>
          <w:rFonts w:ascii="宋体" w:hAnsi="宋体" w:eastAsia="宋体" w:cs="宋体"/>
          <w:sz w:val="20"/>
          <w:szCs w:val="22"/>
        </w:rPr>
      </w:pPr>
      <w:r>
        <w:rPr>
          <w:rFonts w:hint="eastAsia" w:ascii="宋体" w:hAnsi="宋体" w:eastAsia="宋体" w:cs="宋体"/>
          <w:sz w:val="20"/>
          <w:szCs w:val="22"/>
        </w:rPr>
        <w:t>注：本表反映部门本年度政府性基金预算财政拨款收入、支出及结转结余情况。</w:t>
      </w: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tbl>
      <w:tblPr>
        <w:tblStyle w:val="6"/>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保定市满城区卫生健康局</w:t>
            </w: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宋体" w:cs="黑体"/>
          <w:sz w:val="56"/>
          <w:szCs w:val="72"/>
        </w:rPr>
      </w:pPr>
      <w:r>
        <w:rPr>
          <w:rFonts w:hint="eastAsia" w:ascii="宋体" w:hAnsi="宋体" w:eastAsia="宋体" w:cs="宋体"/>
        </w:rPr>
        <w:t>注：本表反映部门本年度国有资本经营预算财政拨款收入、支出及结转结余情况。我单位没有国有资本经营预算财政拨款支出，故空表列示。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Cambria">
    <w:panose1 w:val="020405030504060A0204"/>
    <w:charset w:val="00"/>
    <w:family w:val="roman"/>
    <w:pitch w:val="default"/>
    <w:sig w:usb0="E00002FF" w:usb1="4000045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Lao UI">
    <w:panose1 w:val="020B0502040204020203"/>
    <w:charset w:val="00"/>
    <w:family w:val="swiss"/>
    <w:pitch w:val="default"/>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5F222FFA"/>
    <w:multiLevelType w:val="singleLevel"/>
    <w:tmpl w:val="5F222FFA"/>
    <w:lvl w:ilvl="0" w:tentative="0">
      <w:start w:val="1"/>
      <w:numFmt w:val="decimal"/>
      <w:suff w:val="nothing"/>
      <w:lvlText w:val="（%1）"/>
      <w:lvlJc w:val="left"/>
    </w:lvl>
  </w:abstractNum>
  <w:abstractNum w:abstractNumId="3">
    <w:nsid w:val="78C1413D"/>
    <w:multiLevelType w:val="singleLevel"/>
    <w:tmpl w:val="78C1413D"/>
    <w:lvl w:ilvl="0" w:tentative="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NWY1MGFiMTk0OTY1MDgwNjc4NDJlN2FmMjBkNWUifQ=="/>
  </w:docVars>
  <w:rsids>
    <w:rsidRoot w:val="34C45458"/>
    <w:rsid w:val="00015DB1"/>
    <w:rsid w:val="00061A05"/>
    <w:rsid w:val="0018668E"/>
    <w:rsid w:val="001B73D2"/>
    <w:rsid w:val="001E62BF"/>
    <w:rsid w:val="00293E7B"/>
    <w:rsid w:val="002D1F4F"/>
    <w:rsid w:val="002E5241"/>
    <w:rsid w:val="00366D90"/>
    <w:rsid w:val="003D678E"/>
    <w:rsid w:val="00535A96"/>
    <w:rsid w:val="006372F4"/>
    <w:rsid w:val="00801F66"/>
    <w:rsid w:val="009334BF"/>
    <w:rsid w:val="00936E3D"/>
    <w:rsid w:val="00C54C55"/>
    <w:rsid w:val="00E117D6"/>
    <w:rsid w:val="022555A9"/>
    <w:rsid w:val="022B1B63"/>
    <w:rsid w:val="02723384"/>
    <w:rsid w:val="02BC34D8"/>
    <w:rsid w:val="03EA13C9"/>
    <w:rsid w:val="04653D74"/>
    <w:rsid w:val="04D36118"/>
    <w:rsid w:val="04F34F34"/>
    <w:rsid w:val="04F779F7"/>
    <w:rsid w:val="04FB061E"/>
    <w:rsid w:val="058B71E0"/>
    <w:rsid w:val="05CF2231"/>
    <w:rsid w:val="05DE37D2"/>
    <w:rsid w:val="05E3690D"/>
    <w:rsid w:val="0608639C"/>
    <w:rsid w:val="06090952"/>
    <w:rsid w:val="06DC1229"/>
    <w:rsid w:val="070A381B"/>
    <w:rsid w:val="07CD4568"/>
    <w:rsid w:val="0B8423A3"/>
    <w:rsid w:val="0C042EF0"/>
    <w:rsid w:val="0DDA5631"/>
    <w:rsid w:val="0E035E0C"/>
    <w:rsid w:val="0EA325C9"/>
    <w:rsid w:val="0EAE3C22"/>
    <w:rsid w:val="0EFC673C"/>
    <w:rsid w:val="0F486FC9"/>
    <w:rsid w:val="10E064EA"/>
    <w:rsid w:val="120909E0"/>
    <w:rsid w:val="149D4D26"/>
    <w:rsid w:val="14E4172D"/>
    <w:rsid w:val="160F794E"/>
    <w:rsid w:val="166A5C34"/>
    <w:rsid w:val="169C3A1B"/>
    <w:rsid w:val="16A22616"/>
    <w:rsid w:val="17562FA1"/>
    <w:rsid w:val="17A93022"/>
    <w:rsid w:val="191168A8"/>
    <w:rsid w:val="198C78E6"/>
    <w:rsid w:val="19AD67A8"/>
    <w:rsid w:val="19B65A1F"/>
    <w:rsid w:val="1A374CD4"/>
    <w:rsid w:val="1A6D3BD4"/>
    <w:rsid w:val="1AF3028F"/>
    <w:rsid w:val="1B293304"/>
    <w:rsid w:val="1D2D4534"/>
    <w:rsid w:val="1D4D0981"/>
    <w:rsid w:val="1DA51F72"/>
    <w:rsid w:val="1DF14B87"/>
    <w:rsid w:val="1E715FA2"/>
    <w:rsid w:val="1F801F11"/>
    <w:rsid w:val="20825CC7"/>
    <w:rsid w:val="20EC7496"/>
    <w:rsid w:val="221F48AF"/>
    <w:rsid w:val="224B025F"/>
    <w:rsid w:val="22505246"/>
    <w:rsid w:val="241C3FD7"/>
    <w:rsid w:val="245A74D9"/>
    <w:rsid w:val="246D2463"/>
    <w:rsid w:val="268249C5"/>
    <w:rsid w:val="277C5E7B"/>
    <w:rsid w:val="27AF58C8"/>
    <w:rsid w:val="27CA75F3"/>
    <w:rsid w:val="27E03CA6"/>
    <w:rsid w:val="29677048"/>
    <w:rsid w:val="2A1E5343"/>
    <w:rsid w:val="2A756181"/>
    <w:rsid w:val="2B2E205F"/>
    <w:rsid w:val="2B435D90"/>
    <w:rsid w:val="2B4A26C4"/>
    <w:rsid w:val="2CB35064"/>
    <w:rsid w:val="2D966970"/>
    <w:rsid w:val="2DE4742B"/>
    <w:rsid w:val="2E2A0B01"/>
    <w:rsid w:val="2F8C1D4B"/>
    <w:rsid w:val="2FB75CF2"/>
    <w:rsid w:val="2FB96948"/>
    <w:rsid w:val="2FCE10E3"/>
    <w:rsid w:val="32C24F26"/>
    <w:rsid w:val="32CF054A"/>
    <w:rsid w:val="3327616A"/>
    <w:rsid w:val="33C564A2"/>
    <w:rsid w:val="33DF437C"/>
    <w:rsid w:val="341C7D43"/>
    <w:rsid w:val="34700CF0"/>
    <w:rsid w:val="34BB2D11"/>
    <w:rsid w:val="34C45458"/>
    <w:rsid w:val="35AD446F"/>
    <w:rsid w:val="35C83C42"/>
    <w:rsid w:val="361218BF"/>
    <w:rsid w:val="3633059B"/>
    <w:rsid w:val="36B015EC"/>
    <w:rsid w:val="37033F9C"/>
    <w:rsid w:val="384864DC"/>
    <w:rsid w:val="38E73105"/>
    <w:rsid w:val="39854BDC"/>
    <w:rsid w:val="398B4EFB"/>
    <w:rsid w:val="3A5C5B31"/>
    <w:rsid w:val="3BCE6CB9"/>
    <w:rsid w:val="3BD53D3D"/>
    <w:rsid w:val="3C2246BC"/>
    <w:rsid w:val="3C5C46EB"/>
    <w:rsid w:val="3D3E56E5"/>
    <w:rsid w:val="3DD4109A"/>
    <w:rsid w:val="3E2A023D"/>
    <w:rsid w:val="3EC66F2F"/>
    <w:rsid w:val="3F922E30"/>
    <w:rsid w:val="41D47CF6"/>
    <w:rsid w:val="445C44D5"/>
    <w:rsid w:val="448A1425"/>
    <w:rsid w:val="452300EC"/>
    <w:rsid w:val="469E6DF5"/>
    <w:rsid w:val="47D52F15"/>
    <w:rsid w:val="4AF1585D"/>
    <w:rsid w:val="4B2550B6"/>
    <w:rsid w:val="4C82714D"/>
    <w:rsid w:val="4CB90692"/>
    <w:rsid w:val="4CE72F7B"/>
    <w:rsid w:val="4CFE4BA0"/>
    <w:rsid w:val="4E9E25E0"/>
    <w:rsid w:val="4EAE1AE2"/>
    <w:rsid w:val="507B4B48"/>
    <w:rsid w:val="508E5351"/>
    <w:rsid w:val="50C62416"/>
    <w:rsid w:val="50D60437"/>
    <w:rsid w:val="50E1457F"/>
    <w:rsid w:val="515A49F0"/>
    <w:rsid w:val="52767EF9"/>
    <w:rsid w:val="52B52F0F"/>
    <w:rsid w:val="52EB6421"/>
    <w:rsid w:val="53766811"/>
    <w:rsid w:val="55B86182"/>
    <w:rsid w:val="55DC77C0"/>
    <w:rsid w:val="56722C9D"/>
    <w:rsid w:val="57063244"/>
    <w:rsid w:val="57CB6AE4"/>
    <w:rsid w:val="57D72FF3"/>
    <w:rsid w:val="58483B2F"/>
    <w:rsid w:val="587F19AB"/>
    <w:rsid w:val="58973FB9"/>
    <w:rsid w:val="58F415E0"/>
    <w:rsid w:val="58FB1D05"/>
    <w:rsid w:val="59D8227B"/>
    <w:rsid w:val="5B1B7064"/>
    <w:rsid w:val="5B932A52"/>
    <w:rsid w:val="5BE81478"/>
    <w:rsid w:val="5C1D28CC"/>
    <w:rsid w:val="5C3F0738"/>
    <w:rsid w:val="5CCC0396"/>
    <w:rsid w:val="5D06233D"/>
    <w:rsid w:val="5D0C63C4"/>
    <w:rsid w:val="5DDF2BF3"/>
    <w:rsid w:val="5E0F7D1E"/>
    <w:rsid w:val="5ECB70B9"/>
    <w:rsid w:val="5FB55BC2"/>
    <w:rsid w:val="609F1A57"/>
    <w:rsid w:val="622D7E9F"/>
    <w:rsid w:val="62754474"/>
    <w:rsid w:val="641F1735"/>
    <w:rsid w:val="64764EC4"/>
    <w:rsid w:val="65381E16"/>
    <w:rsid w:val="65FE40E1"/>
    <w:rsid w:val="66D93DA5"/>
    <w:rsid w:val="67D4211F"/>
    <w:rsid w:val="67F83202"/>
    <w:rsid w:val="6865515E"/>
    <w:rsid w:val="686D5549"/>
    <w:rsid w:val="6878095F"/>
    <w:rsid w:val="69AC2C11"/>
    <w:rsid w:val="6A343A8D"/>
    <w:rsid w:val="6B5E160E"/>
    <w:rsid w:val="6C5C5D14"/>
    <w:rsid w:val="6D856DB8"/>
    <w:rsid w:val="6DB57952"/>
    <w:rsid w:val="6E522CB2"/>
    <w:rsid w:val="6E716E44"/>
    <w:rsid w:val="6EC10A35"/>
    <w:rsid w:val="702511F0"/>
    <w:rsid w:val="70C4514A"/>
    <w:rsid w:val="72996E6A"/>
    <w:rsid w:val="729F49D0"/>
    <w:rsid w:val="72A3458C"/>
    <w:rsid w:val="73697366"/>
    <w:rsid w:val="73D824BD"/>
    <w:rsid w:val="73D86E65"/>
    <w:rsid w:val="73F95EA7"/>
    <w:rsid w:val="74285070"/>
    <w:rsid w:val="74AC44DE"/>
    <w:rsid w:val="74AE49B8"/>
    <w:rsid w:val="74B50E20"/>
    <w:rsid w:val="74C83724"/>
    <w:rsid w:val="750B5E1D"/>
    <w:rsid w:val="753B3F46"/>
    <w:rsid w:val="769E6124"/>
    <w:rsid w:val="76FC571E"/>
    <w:rsid w:val="77630A20"/>
    <w:rsid w:val="7B5E0EEC"/>
    <w:rsid w:val="7C93104E"/>
    <w:rsid w:val="7D036989"/>
    <w:rsid w:val="7D223662"/>
    <w:rsid w:val="7DA505B8"/>
    <w:rsid w:val="7E477530"/>
    <w:rsid w:val="7E9A7AF3"/>
    <w:rsid w:val="7F080326"/>
    <w:rsid w:val="7FA81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chart" Target="charts/chart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6083312792704"/>
          <c:y val="0.134346504559271"/>
          <c:w val="0.872861720483116"/>
          <c:h val="0.773738601823708"/>
        </c:manualLayout>
      </c:layout>
      <c:barChart>
        <c:barDir val="col"/>
        <c:grouping val="stacked"/>
        <c:varyColors val="0"/>
        <c:ser>
          <c:idx val="0"/>
          <c:order val="0"/>
          <c:tx>
            <c:strRef>
              <c:f>"收支总计"</c:f>
              <c:strCache>
                <c:ptCount val="1"/>
                <c:pt idx="0">
                  <c:v>收支总计</c:v>
                </c:pt>
              </c:strCache>
            </c:strRef>
          </c:tx>
          <c:spPr>
            <a:solidFill>
              <a:schemeClr val="accent1"/>
            </a:solidFill>
            <a:ln>
              <a:noFill/>
            </a:ln>
            <a:effectLst/>
          </c:spPr>
          <c:invertIfNegative val="0"/>
          <c:dLbls>
            <c:dLbl>
              <c:idx val="0"/>
              <c:layout>
                <c:manualLayout>
                  <c:x val="0"/>
                  <c:y val="-0.337539432176656"/>
                </c:manualLayout>
              </c:layout>
              <c:dLblPos val="inBase"/>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801261829652997"/>
                </c:manualLayout>
              </c:layout>
              <c:dLblPos val="inBase"/>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[Book1.xlsx]Sheet1!$B$5:$B$6</c:f>
              <c:strCache>
                <c:ptCount val="2"/>
                <c:pt idx="0">
                  <c:v>2019年</c:v>
                </c:pt>
                <c:pt idx="1">
                  <c:v>2020年</c:v>
                </c:pt>
              </c:strCache>
            </c:strRef>
          </c:cat>
          <c:val>
            <c:numRef>
              <c:f>[Book1.xlsx]Sheet1!$C$5:$C$6</c:f>
              <c:numCache>
                <c:formatCode>General</c:formatCode>
                <c:ptCount val="2"/>
                <c:pt idx="0">
                  <c:v>44422.54</c:v>
                </c:pt>
                <c:pt idx="1">
                  <c:v>110923.44</c:v>
                </c:pt>
              </c:numCache>
            </c:numRef>
          </c:val>
        </c:ser>
        <c:dLbls>
          <c:showLegendKey val="0"/>
          <c:showVal val="1"/>
          <c:showCatName val="0"/>
          <c:showSerName val="0"/>
          <c:showPercent val="0"/>
          <c:showBubbleSize val="0"/>
        </c:dLbls>
        <c:gapWidth val="150"/>
        <c:overlap val="100"/>
        <c:axId val="78328192"/>
        <c:axId val="78329728"/>
      </c:barChart>
      <c:catAx>
        <c:axId val="7832819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78329728"/>
        <c:crosses val="autoZero"/>
        <c:auto val="1"/>
        <c:lblAlgn val="ctr"/>
        <c:lblOffset val="100"/>
        <c:noMultiLvlLbl val="0"/>
      </c:catAx>
      <c:valAx>
        <c:axId val="78329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328192"/>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10461</Words>
  <Characters>14417</Characters>
  <Lines>124</Lines>
  <Paragraphs>35</Paragraphs>
  <TotalTime>1</TotalTime>
  <ScaleCrop>false</ScaleCrop>
  <LinksUpToDate>false</LinksUpToDate>
  <CharactersWithSpaces>14724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dcterms:modified xsi:type="dcterms:W3CDTF">2022-05-24T07:05:33Z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40A17EA1F73E4430AA89270AE7623B32</vt:lpwstr>
  </property>
</Properties>
</file>