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-982345</wp:posOffset>
            </wp:positionH>
            <wp:positionV relativeFrom="page">
              <wp:posOffset>-635000</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0"/>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hint="eastAsia" w:ascii="楷体_GB2312" w:hAnsi="楷体_GB2312" w:eastAsia="楷体_GB2312" w:cs="楷体_GB2312"/>
          <w:color w:val="000000" w:themeColor="text1"/>
          <w:kern w:val="0"/>
          <w:sz w:val="40"/>
          <w:szCs w:val="40"/>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保定市满城区退役军人事务局</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tabs>
          <w:tab w:val="left" w:pos="2728"/>
        </w:tabs>
        <w:jc w:val="center"/>
        <w:rPr>
          <w:rFonts w:hint="eastAsia" w:ascii="黑体" w:hAnsi="Times New Roman" w:eastAsia="黑体" w:cs="Times New Roman"/>
          <w:sz w:val="48"/>
          <w:szCs w:val="48"/>
        </w:rPr>
      </w:pPr>
    </w:p>
    <w:p>
      <w:pPr>
        <w:tabs>
          <w:tab w:val="left" w:pos="2728"/>
        </w:tabs>
        <w:jc w:val="center"/>
        <w:rPr>
          <w:rFonts w:hint="eastAsia" w:ascii="黑体" w:hAnsi="Times New Roman" w:eastAsia="黑体" w:cs="Times New Roman"/>
          <w:sz w:val="48"/>
          <w:szCs w:val="48"/>
        </w:rPr>
      </w:pPr>
    </w:p>
    <w:p>
      <w:pPr>
        <w:tabs>
          <w:tab w:val="left" w:pos="2728"/>
        </w:tabs>
        <w:jc w:val="center"/>
        <w:rPr>
          <w:rFonts w:hint="eastAsia"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3"/>
        <w:numPr>
          <w:ilvl w:val="0"/>
          <w:numId w:val="1"/>
        </w:numPr>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rPr>
        <w:t>部门职责</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（一）贯彻执行国家、省、市思想政治、管理保障和安置优抚等工作政策法规。表扬彰显退役军人为党、国家和人民牺牲奉献的精神风范和价值导向。</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（二）负责全区军队转业干部、复员干部、离退休干部、退役士兵、符合条件消防员和无军籍</w:t>
      </w:r>
      <w:r>
        <w:rPr>
          <w:rFonts w:hint="eastAsia" w:ascii="仿宋_GB2312" w:hAnsi="Times New Roman" w:eastAsia="仿宋_GB2312" w:cs="Wingdings"/>
          <w:sz w:val="32"/>
          <w:szCs w:val="32"/>
          <w:lang w:eastAsia="zh-CN"/>
        </w:rPr>
        <w:t>退</w:t>
      </w:r>
      <w:r>
        <w:rPr>
          <w:rFonts w:hint="eastAsia" w:ascii="仿宋_GB2312" w:hAnsi="Times New Roman" w:eastAsia="仿宋_GB2312" w:cs="Wingdings"/>
          <w:sz w:val="32"/>
          <w:szCs w:val="32"/>
        </w:rPr>
        <w:t>休退职职工的移交安置工作以及自主择业、就业退役军人的服务管理工作。</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（三）组织指导退役军人教育培训工作，协调扶持退役军人和随军随调家属就业创业。</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（四）</w:t>
      </w:r>
      <w:r>
        <w:rPr>
          <w:rFonts w:hint="eastAsia" w:ascii="仿宋_GB2312" w:hAnsi="Times New Roman" w:eastAsia="仿宋_GB2312" w:cs="Wingdings"/>
          <w:sz w:val="32"/>
          <w:szCs w:val="32"/>
          <w:lang w:eastAsia="zh-CN"/>
        </w:rPr>
        <w:t>会同有关部门贯彻落实</w:t>
      </w:r>
      <w:r>
        <w:rPr>
          <w:rFonts w:hint="eastAsia" w:ascii="仿宋_GB2312" w:hAnsi="Times New Roman" w:eastAsia="仿宋_GB2312" w:cs="Wingdings"/>
          <w:sz w:val="32"/>
          <w:szCs w:val="32"/>
        </w:rPr>
        <w:t>退役军人特殊保障政策</w:t>
      </w:r>
      <w:r>
        <w:rPr>
          <w:rFonts w:hint="eastAsia" w:ascii="仿宋_GB2312" w:hAnsi="Times New Roman" w:eastAsia="仿宋_GB2312" w:cs="Wingdings"/>
          <w:sz w:val="32"/>
          <w:szCs w:val="32"/>
          <w:lang w:eastAsia="zh-CN"/>
        </w:rPr>
        <w:t>并组织实施，贯彻落实省、市关于部分</w:t>
      </w:r>
      <w:r>
        <w:rPr>
          <w:rFonts w:hint="eastAsia" w:ascii="仿宋_GB2312" w:hAnsi="Times New Roman" w:eastAsia="仿宋_GB2312" w:cs="Wingdings"/>
          <w:sz w:val="32"/>
          <w:szCs w:val="32"/>
        </w:rPr>
        <w:t>企业军队转业干部解困政策。</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（五）组织协调落实移交地方的离退休军人、符合条件的其他退役军人和无军籍退休退职职工的住房保障工作，以及退役军人医疗保障、社会保险等待遇保障工作。</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（六）组织指导伤病残退役军人服务管理和抚恤工作。</w:t>
      </w:r>
      <w:r>
        <w:rPr>
          <w:rFonts w:hint="eastAsia" w:ascii="仿宋_GB2312" w:hAnsi="Times New Roman" w:eastAsia="仿宋_GB2312" w:cs="Wingdings"/>
          <w:sz w:val="32"/>
          <w:szCs w:val="32"/>
          <w:lang w:eastAsia="zh-CN"/>
        </w:rPr>
        <w:t>贯彻</w:t>
      </w:r>
      <w:r>
        <w:rPr>
          <w:rFonts w:hint="eastAsia" w:ascii="仿宋_GB2312" w:hAnsi="Times New Roman" w:eastAsia="仿宋_GB2312" w:cs="Wingdings"/>
          <w:sz w:val="32"/>
          <w:szCs w:val="32"/>
        </w:rPr>
        <w:t>落实有关退役军人医疗、疗养、养老等机构的规划政策;承担不适宜继续服役的伤病残军人相关工作;组织指导军供服务保障工作。</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（七）组织指导全区拥军优属工作。负责现役军人、退役军人、军队文职人员、军属和符合条件的消防员的优待、抚恤等工作，</w:t>
      </w:r>
      <w:r>
        <w:rPr>
          <w:rFonts w:hint="eastAsia" w:ascii="仿宋_GB2312" w:hAnsi="Times New Roman" w:eastAsia="仿宋_GB2312" w:cs="Wingdings"/>
          <w:sz w:val="32"/>
          <w:szCs w:val="32"/>
          <w:lang w:eastAsia="zh-CN"/>
        </w:rPr>
        <w:t>贯彻</w:t>
      </w:r>
      <w:r>
        <w:rPr>
          <w:rFonts w:hint="eastAsia" w:ascii="仿宋_GB2312" w:hAnsi="Times New Roman" w:eastAsia="仿宋_GB2312" w:cs="Wingdings"/>
          <w:sz w:val="32"/>
          <w:szCs w:val="32"/>
        </w:rPr>
        <w:t>落实国民党抗战老兵等有关人员优待政策。</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（八）负责烈士及退役军人荣誉奖励、军人公墓管理维护、纪念活动等工作。依法承担英雄烈士保护相关工作，</w:t>
      </w:r>
      <w:r>
        <w:rPr>
          <w:rFonts w:hint="eastAsia" w:ascii="仿宋_GB2312" w:hAnsi="Times New Roman" w:eastAsia="仿宋_GB2312" w:cs="Wingdings"/>
          <w:sz w:val="32"/>
          <w:szCs w:val="32"/>
          <w:lang w:eastAsia="zh-CN"/>
        </w:rPr>
        <w:t>审核拟列入全国、省级、市级和区级重点保护单位的烈士纪念建筑物名录，</w:t>
      </w:r>
      <w:r>
        <w:rPr>
          <w:rFonts w:hint="eastAsia" w:ascii="仿宋_GB2312" w:hAnsi="Times New Roman" w:eastAsia="仿宋_GB2312" w:cs="Wingdings"/>
          <w:sz w:val="32"/>
          <w:szCs w:val="32"/>
        </w:rPr>
        <w:t>总结表彰和宣扬退役军人、退役军人工作单位和个人先进典型事迹。</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（九）</w:t>
      </w:r>
      <w:r>
        <w:rPr>
          <w:rFonts w:hint="eastAsia" w:ascii="仿宋_GB2312" w:hAnsi="Times New Roman" w:eastAsia="仿宋_GB2312" w:cs="Wingdings"/>
          <w:sz w:val="32"/>
          <w:szCs w:val="32"/>
          <w:lang w:eastAsia="zh-CN"/>
        </w:rPr>
        <w:t>指导并监督检查</w:t>
      </w:r>
      <w:r>
        <w:rPr>
          <w:rFonts w:hint="eastAsia" w:ascii="仿宋_GB2312" w:hAnsi="Times New Roman" w:eastAsia="仿宋_GB2312" w:cs="Wingdings"/>
          <w:sz w:val="32"/>
          <w:szCs w:val="32"/>
        </w:rPr>
        <w:t>退役军人相关法律法规和政策</w:t>
      </w:r>
      <w:r>
        <w:rPr>
          <w:rFonts w:hint="eastAsia" w:ascii="仿宋_GB2312" w:hAnsi="Times New Roman" w:eastAsia="仿宋_GB2312" w:cs="Wingdings"/>
          <w:sz w:val="32"/>
          <w:szCs w:val="32"/>
          <w:lang w:eastAsia="zh-CN"/>
        </w:rPr>
        <w:t>措施的落实，</w:t>
      </w:r>
      <w:r>
        <w:rPr>
          <w:rFonts w:hint="eastAsia" w:ascii="仿宋_GB2312" w:hAnsi="Times New Roman" w:eastAsia="仿宋_GB2312" w:cs="Wingdings"/>
          <w:sz w:val="32"/>
          <w:szCs w:val="32"/>
        </w:rPr>
        <w:t>组织开展退役军人权益维护和有关人员的帮扶援助工作。</w:t>
      </w:r>
    </w:p>
    <w:p>
      <w:pPr>
        <w:adjustRightInd w:val="0"/>
        <w:snapToGrid w:val="0"/>
        <w:spacing w:line="600" w:lineRule="exact"/>
        <w:ind w:firstLine="640" w:firstLineChars="200"/>
        <w:rPr>
          <w:rFonts w:hint="eastAsia" w:ascii="仿宋" w:hAnsi="仿宋" w:eastAsia="仿宋" w:cs="仿宋"/>
          <w:color w:val="000000"/>
          <w:spacing w:val="-8"/>
          <w:sz w:val="32"/>
          <w:szCs w:val="32"/>
        </w:rPr>
      </w:pPr>
      <w:r>
        <w:rPr>
          <w:rFonts w:hint="eastAsia" w:ascii="仿宋_GB2312" w:hAnsi="Times New Roman" w:eastAsia="仿宋_GB2312" w:cs="Wingdings"/>
          <w:sz w:val="32"/>
          <w:szCs w:val="32"/>
        </w:rPr>
        <w:t>（十）完成区委、区政府交办的其他任务</w:t>
      </w:r>
      <w:r>
        <w:rPr>
          <w:rFonts w:hint="eastAsia" w:ascii="仿宋" w:hAnsi="仿宋" w:eastAsia="仿宋" w:cs="仿宋"/>
          <w:color w:val="000000"/>
          <w:spacing w:val="-8"/>
          <w:sz w:val="32"/>
          <w:szCs w:val="32"/>
        </w:rPr>
        <w:t>。</w:t>
      </w:r>
    </w:p>
    <w:p>
      <w:pPr>
        <w:numPr>
          <w:ilvl w:val="0"/>
          <w:numId w:val="0"/>
        </w:numPr>
      </w:pPr>
    </w:p>
    <w:p>
      <w:pPr>
        <w:keepNext/>
        <w:keepLines/>
        <w:numPr>
          <w:ilvl w:val="0"/>
          <w:numId w:val="1"/>
        </w:numPr>
        <w:spacing w:line="580" w:lineRule="exact"/>
        <w:ind w:left="0" w:leftChars="0" w:firstLine="640" w:firstLineChars="200"/>
        <w:jc w:val="left"/>
        <w:outlineLvl w:val="0"/>
        <w:rPr>
          <w:rFonts w:hint="eastAsia" w:ascii="黑体" w:hAnsi="Calibri" w:eastAsia="黑体" w:cs="黑体"/>
          <w:kern w:val="0"/>
          <w:sz w:val="32"/>
          <w:szCs w:val="32"/>
        </w:rPr>
      </w:pPr>
      <w:r>
        <w:rPr>
          <w:rFonts w:hint="eastAsia" w:ascii="黑体" w:hAnsi="Calibri" w:eastAsia="黑体" w:cs="黑体"/>
          <w:kern w:val="0"/>
          <w:sz w:val="32"/>
          <w:szCs w:val="32"/>
        </w:rPr>
        <w:t>机构设置</w:t>
      </w:r>
    </w:p>
    <w:p>
      <w:pPr>
        <w:spacing w:line="580" w:lineRule="exact"/>
        <w:ind w:firstLine="640" w:firstLineChars="200"/>
        <w:rPr>
          <w:rFonts w:hint="eastAsia" w:ascii="仿宋" w:hAnsi="仿宋" w:eastAsia="仿宋" w:cs="仿宋"/>
          <w:kern w:val="0"/>
          <w:sz w:val="32"/>
          <w:szCs w:val="32"/>
        </w:rPr>
      </w:pPr>
      <w:r>
        <w:rPr>
          <w:rFonts w:hint="eastAsia" w:ascii="仿宋_GB2312" w:hAnsi="Times New Roman" w:eastAsia="仿宋_GB2312" w:cs="Wingdings"/>
          <w:sz w:val="32"/>
          <w:szCs w:val="32"/>
        </w:rPr>
        <w:t>从决算编报单位构成看，纳入2</w:t>
      </w:r>
      <w:r>
        <w:rPr>
          <w:rFonts w:hint="eastAsia" w:ascii="仿宋_GB2312" w:hAnsi="Times New Roman" w:eastAsia="仿宋_GB2312" w:cs="Wingdings"/>
          <w:sz w:val="32"/>
          <w:szCs w:val="32"/>
          <w:lang w:val="en-US" w:eastAsia="zh-CN"/>
        </w:rPr>
        <w:t>020</w:t>
      </w:r>
      <w:r>
        <w:rPr>
          <w:rFonts w:hint="eastAsia" w:ascii="仿宋_GB2312" w:hAnsi="Times New Roman" w:eastAsia="仿宋_GB2312" w:cs="Wingdings"/>
          <w:sz w:val="32"/>
          <w:szCs w:val="32"/>
        </w:rPr>
        <w:t xml:space="preserve">年度本部门决算汇编范围的独立核算单位（以下简称“单位”）共 </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noWrap w:val="0"/>
            <w:vAlign w:val="center"/>
          </w:tcPr>
          <w:p>
            <w:pPr>
              <w:spacing w:line="560" w:lineRule="exact"/>
              <w:jc w:val="center"/>
              <w:rPr>
                <w:rFonts w:ascii="仿宋_GB2312" w:hAnsi="Calibri" w:eastAsia="仿宋_GB2312" w:cs="Arial Black"/>
                <w:b/>
                <w:bCs/>
                <w:kern w:val="0"/>
                <w:sz w:val="28"/>
                <w:szCs w:val="28"/>
                <w:lang w:val="en-US" w:eastAsia="zh-CN" w:bidi="ar-SA"/>
              </w:rPr>
            </w:pPr>
            <w:r>
              <w:rPr>
                <w:rFonts w:hint="eastAsia" w:ascii="仿宋_GB2312" w:hAnsi="Calibri" w:eastAsia="仿宋_GB2312" w:cs="Arial Black"/>
                <w:b/>
                <w:bCs/>
                <w:kern w:val="0"/>
                <w:sz w:val="28"/>
                <w:szCs w:val="28"/>
              </w:rPr>
              <w:t>序号</w:t>
            </w:r>
          </w:p>
        </w:tc>
        <w:tc>
          <w:tcPr>
            <w:tcW w:w="3485" w:type="dxa"/>
            <w:noWrap w:val="0"/>
            <w:vAlign w:val="center"/>
          </w:tcPr>
          <w:p>
            <w:pPr>
              <w:spacing w:line="560" w:lineRule="exact"/>
              <w:jc w:val="center"/>
              <w:rPr>
                <w:rFonts w:ascii="仿宋_GB2312" w:hAnsi="Calibri" w:eastAsia="仿宋_GB2312" w:cs="Arial Black"/>
                <w:b/>
                <w:bCs/>
                <w:kern w:val="0"/>
                <w:sz w:val="28"/>
                <w:szCs w:val="28"/>
                <w:lang w:val="en-US" w:eastAsia="zh-CN" w:bidi="ar-SA"/>
              </w:rPr>
            </w:pPr>
            <w:r>
              <w:rPr>
                <w:rFonts w:hint="eastAsia" w:ascii="仿宋_GB2312" w:hAnsi="Calibri" w:eastAsia="仿宋_GB2312" w:cs="Arial Black"/>
                <w:b/>
                <w:bCs/>
                <w:kern w:val="0"/>
                <w:sz w:val="28"/>
                <w:szCs w:val="28"/>
              </w:rPr>
              <w:t>单位名称</w:t>
            </w:r>
          </w:p>
        </w:tc>
        <w:tc>
          <w:tcPr>
            <w:tcW w:w="2445" w:type="dxa"/>
            <w:noWrap w:val="0"/>
            <w:vAlign w:val="center"/>
          </w:tcPr>
          <w:p>
            <w:pPr>
              <w:spacing w:line="560" w:lineRule="exact"/>
              <w:jc w:val="center"/>
              <w:rPr>
                <w:rFonts w:ascii="仿宋_GB2312" w:hAnsi="Calibri" w:eastAsia="仿宋_GB2312" w:cs="Arial Black"/>
                <w:b/>
                <w:bCs/>
                <w:kern w:val="0"/>
                <w:sz w:val="28"/>
                <w:szCs w:val="28"/>
                <w:lang w:val="en-US" w:eastAsia="zh-CN" w:bidi="ar-SA"/>
              </w:rPr>
            </w:pPr>
            <w:r>
              <w:rPr>
                <w:rFonts w:hint="eastAsia" w:ascii="仿宋_GB2312" w:hAnsi="Calibri" w:eastAsia="仿宋_GB2312" w:cs="Arial Black"/>
                <w:b/>
                <w:bCs/>
                <w:kern w:val="0"/>
                <w:sz w:val="28"/>
                <w:szCs w:val="28"/>
              </w:rPr>
              <w:t>单位基本性质</w:t>
            </w:r>
          </w:p>
        </w:tc>
        <w:tc>
          <w:tcPr>
            <w:tcW w:w="2665" w:type="dxa"/>
            <w:noWrap w:val="0"/>
            <w:vAlign w:val="center"/>
          </w:tcPr>
          <w:p>
            <w:pPr>
              <w:spacing w:line="560" w:lineRule="exact"/>
              <w:jc w:val="center"/>
              <w:rPr>
                <w:rFonts w:ascii="仿宋_GB2312" w:hAnsi="Calibri" w:eastAsia="仿宋_GB2312" w:cs="Arial Black"/>
                <w:b/>
                <w:bCs/>
                <w:kern w:val="0"/>
                <w:sz w:val="28"/>
                <w:szCs w:val="28"/>
                <w:lang w:val="en-US" w:eastAsia="zh-CN" w:bidi="ar-SA"/>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noWrap w:val="0"/>
            <w:vAlign w:val="top"/>
          </w:tcPr>
          <w:p>
            <w:pPr>
              <w:spacing w:line="560" w:lineRule="exact"/>
              <w:jc w:val="center"/>
              <w:rPr>
                <w:rFonts w:ascii="仿宋_GB2312" w:hAnsi="Calibri" w:eastAsia="仿宋_GB2312" w:cs="Arial Black"/>
                <w:kern w:val="0"/>
                <w:sz w:val="28"/>
                <w:szCs w:val="28"/>
                <w:lang w:val="en-US" w:eastAsia="zh-CN" w:bidi="ar-SA"/>
              </w:rPr>
            </w:pPr>
            <w:r>
              <w:rPr>
                <w:rFonts w:hint="eastAsia" w:ascii="仿宋_GB2312" w:hAnsi="Calibri" w:eastAsia="仿宋_GB2312" w:cs="Arial Black"/>
                <w:kern w:val="0"/>
                <w:sz w:val="28"/>
                <w:szCs w:val="28"/>
              </w:rPr>
              <w:t>1</w:t>
            </w:r>
          </w:p>
        </w:tc>
        <w:tc>
          <w:tcPr>
            <w:tcW w:w="3485" w:type="dxa"/>
            <w:noWrap w:val="0"/>
            <w:vAlign w:val="top"/>
          </w:tcPr>
          <w:p>
            <w:pPr>
              <w:spacing w:line="560" w:lineRule="exact"/>
              <w:rPr>
                <w:rFonts w:ascii="仿宋_GB2312" w:hAnsi="Calibri" w:eastAsia="仿宋_GB2312" w:cs="Arial Black"/>
                <w:kern w:val="0"/>
                <w:sz w:val="28"/>
                <w:szCs w:val="28"/>
                <w:lang w:val="en-US" w:eastAsia="zh-CN" w:bidi="ar-SA"/>
              </w:rPr>
            </w:pPr>
            <w:r>
              <w:rPr>
                <w:rFonts w:hint="eastAsia" w:ascii="仿宋_GB2312" w:hAnsi="Calibri" w:eastAsia="仿宋_GB2312" w:cs="Arial Black"/>
                <w:kern w:val="0"/>
                <w:sz w:val="28"/>
                <w:szCs w:val="28"/>
                <w:lang w:val="en-US" w:eastAsia="zh-CN" w:bidi="ar-SA"/>
              </w:rPr>
              <w:t>保定市满城区退役军人事务局</w:t>
            </w:r>
          </w:p>
        </w:tc>
        <w:tc>
          <w:tcPr>
            <w:tcW w:w="2445" w:type="dxa"/>
            <w:noWrap w:val="0"/>
            <w:vAlign w:val="top"/>
          </w:tcPr>
          <w:p>
            <w:pPr>
              <w:spacing w:line="560" w:lineRule="exact"/>
              <w:jc w:val="center"/>
              <w:rPr>
                <w:rFonts w:ascii="仿宋_GB2312" w:hAnsi="Calibri" w:eastAsia="仿宋_GB2312" w:cs="Arial Black"/>
                <w:kern w:val="0"/>
                <w:sz w:val="28"/>
                <w:szCs w:val="28"/>
                <w:lang w:val="en-US" w:eastAsia="zh-CN" w:bidi="ar-SA"/>
              </w:rPr>
            </w:pPr>
            <w:r>
              <w:rPr>
                <w:rFonts w:hint="eastAsia" w:ascii="仿宋_GB2312" w:hAnsi="Calibri" w:eastAsia="仿宋_GB2312" w:cs="Arial Black"/>
                <w:kern w:val="0"/>
                <w:sz w:val="28"/>
                <w:szCs w:val="28"/>
                <w:lang w:val="en-US" w:eastAsia="zh-CN" w:bidi="ar-SA"/>
              </w:rPr>
              <w:t>行政单位</w:t>
            </w:r>
          </w:p>
        </w:tc>
        <w:tc>
          <w:tcPr>
            <w:tcW w:w="2665" w:type="dxa"/>
            <w:noWrap w:val="0"/>
            <w:vAlign w:val="top"/>
          </w:tcPr>
          <w:p>
            <w:pPr>
              <w:spacing w:line="560" w:lineRule="exact"/>
              <w:jc w:val="center"/>
              <w:rPr>
                <w:rFonts w:ascii="仿宋_GB2312" w:hAnsi="Calibri" w:eastAsia="仿宋_GB2312" w:cs="Arial Black"/>
                <w:kern w:val="0"/>
                <w:sz w:val="28"/>
                <w:szCs w:val="28"/>
                <w:lang w:val="en-US" w:eastAsia="zh-CN" w:bidi="ar-SA"/>
              </w:rPr>
            </w:pPr>
            <w:r>
              <w:rPr>
                <w:rFonts w:hint="eastAsia" w:ascii="仿宋_GB2312" w:hAnsi="Calibri" w:eastAsia="仿宋_GB2312" w:cs="Arial Black"/>
                <w:kern w:val="0"/>
                <w:sz w:val="28"/>
                <w:szCs w:val="28"/>
                <w:lang w:val="en-US" w:eastAsia="zh-CN" w:bidi="ar-SA"/>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c>
          <w:tcPr>
            <w:tcW w:w="0" w:type="auto"/>
            <w:vAlign w:val="top"/>
          </w:tcPr>
          <w:p>
            <w:pPr>
              <w:spacing w:line="560" w:lineRule="exact"/>
              <w:rPr>
                <w:rFonts w:ascii="仿宋_GB2312" w:hAnsi="Calibri" w:eastAsia="仿宋_GB2312" w:cs="Arial Black"/>
                <w:kern w:val="0"/>
                <w:sz w:val="28"/>
                <w:szCs w:val="28"/>
                <w:lang w:val="en-US" w:eastAsia="zh-CN" w:bidi="ar-SA"/>
              </w:rPr>
            </w:pPr>
          </w:p>
        </w:tc>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c>
          <w:tcPr>
            <w:tcW w:w="0" w:type="auto"/>
            <w:vAlign w:val="top"/>
          </w:tcPr>
          <w:p>
            <w:pPr>
              <w:spacing w:line="560" w:lineRule="exact"/>
              <w:rPr>
                <w:rFonts w:ascii="仿宋_GB2312" w:hAnsi="Calibri" w:eastAsia="仿宋_GB2312" w:cs="Arial Black"/>
                <w:kern w:val="0"/>
                <w:sz w:val="28"/>
                <w:szCs w:val="28"/>
                <w:lang w:val="en-US" w:eastAsia="zh-CN" w:bidi="ar-SA"/>
              </w:rPr>
            </w:pPr>
          </w:p>
        </w:tc>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c>
          <w:tcPr>
            <w:tcW w:w="0" w:type="auto"/>
            <w:vAlign w:val="top"/>
          </w:tcPr>
          <w:p>
            <w:pPr>
              <w:spacing w:line="560" w:lineRule="exact"/>
              <w:rPr>
                <w:rFonts w:ascii="仿宋_GB2312" w:hAnsi="Calibri" w:eastAsia="仿宋_GB2312" w:cs="Arial Black"/>
                <w:kern w:val="0"/>
                <w:sz w:val="28"/>
                <w:szCs w:val="28"/>
                <w:lang w:val="en-US" w:eastAsia="zh-CN" w:bidi="ar-SA"/>
              </w:rPr>
            </w:pPr>
          </w:p>
        </w:tc>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c>
          <w:tcPr>
            <w:tcW w:w="0" w:type="auto"/>
            <w:vAlign w:val="top"/>
          </w:tcPr>
          <w:p>
            <w:pPr>
              <w:spacing w:line="560" w:lineRule="exact"/>
              <w:jc w:val="center"/>
              <w:rPr>
                <w:rFonts w:ascii="仿宋_GB2312" w:hAnsi="Calibri" w:eastAsia="仿宋_GB2312" w:cs="Arial Black"/>
                <w:kern w:val="0"/>
                <w:sz w:val="28"/>
                <w:szCs w:val="28"/>
                <w:lang w:val="en-US" w:eastAsia="zh-CN" w:bidi="ar-SA"/>
              </w:rPr>
            </w:pPr>
          </w:p>
        </w:tc>
      </w:tr>
    </w:tbl>
    <w:p>
      <w:pPr>
        <w:pStyle w:val="2"/>
        <w:numPr>
          <w:ilvl w:val="0"/>
          <w:numId w:val="0"/>
        </w:numPr>
        <w:rPr>
          <w:rFonts w:hint="eastAsia" w:ascii="仿宋" w:hAnsi="仿宋" w:eastAsia="仿宋" w:cs="仿宋"/>
          <w:sz w:val="32"/>
          <w:szCs w:val="32"/>
        </w:rPr>
      </w:pPr>
    </w:p>
    <w:p>
      <w:pPr>
        <w:widowControl/>
        <w:spacing w:after="160" w:line="580" w:lineRule="exact"/>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1"/>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numPr>
          <w:ilvl w:val="0"/>
          <w:numId w:val="2"/>
        </w:numPr>
        <w:snapToGrid w:val="0"/>
        <w:spacing w:line="600" w:lineRule="exact"/>
        <w:ind w:firstLine="420" w:firstLineChars="200"/>
        <w:outlineLvl w:val="1"/>
        <w:rPr>
          <w:rFonts w:hint="eastAsia" w:ascii="黑体" w:hAnsi="Calibri" w:eastAsia="黑体" w:cs="Times New Roman"/>
          <w:sz w:val="32"/>
          <w:szCs w:val="32"/>
        </w:rPr>
      </w:pPr>
      <w:r>
        <w:br w:type="page"/>
      </w:r>
      <w:r>
        <w:rPr>
          <w:rFonts w:hint="eastAsia" w:ascii="黑体" w:hAnsi="Calibri" w:eastAsia="黑体" w:cs="Times New Roman"/>
          <w:sz w:val="32"/>
          <w:szCs w:val="32"/>
        </w:rPr>
        <w:t>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4894.62</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1003.09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25.78</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我部门2019年1月份成立，2019年1-4月份由民政局负责发放优抚对象生活补助，自2019年4月份民政局将涉及全区优抚对象生活补助等经费划转到我部门，由我部门负责发放；2019年1-6月份由人社局负责发放军转干部解困经费，2019年6月份人社局将军转干部解困资金划转到我部门，由我部门负责发放；我部门2019年没有人员经费支出等。以上情况造成2020年</w:t>
      </w:r>
      <w:r>
        <w:rPr>
          <w:rFonts w:hint="eastAsia" w:ascii="仿宋_GB2312" w:hAnsi="Times New Roman" w:eastAsia="仿宋_GB2312" w:cs="Wingdings"/>
          <w:sz w:val="32"/>
          <w:szCs w:val="32"/>
        </w:rPr>
        <w:t>与2019年度决算相比，收支</w:t>
      </w:r>
      <w:r>
        <w:rPr>
          <w:rFonts w:hint="eastAsia" w:ascii="仿宋_GB2312" w:hAnsi="Times New Roman" w:eastAsia="仿宋_GB2312" w:cs="Wingdings"/>
          <w:sz w:val="32"/>
          <w:szCs w:val="32"/>
          <w:lang w:eastAsia="zh-CN"/>
        </w:rPr>
        <w:t>各</w:t>
      </w:r>
      <w:r>
        <w:rPr>
          <w:rFonts w:hint="eastAsia" w:ascii="仿宋_GB2312" w:hAnsi="Times New Roman" w:eastAsia="仿宋_GB2312" w:cs="Wingdings"/>
          <w:sz w:val="32"/>
          <w:szCs w:val="32"/>
        </w:rPr>
        <w:t>增长</w:t>
      </w:r>
      <w:r>
        <w:rPr>
          <w:rFonts w:hint="eastAsia" w:ascii="仿宋_GB2312" w:hAnsi="Times New Roman" w:eastAsia="仿宋_GB2312" w:cs="Wingdings"/>
          <w:sz w:val="32"/>
          <w:szCs w:val="32"/>
          <w:lang w:val="en-US" w:eastAsia="zh-CN"/>
        </w:rPr>
        <w:t>25.78</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p>
    <w:p>
      <w:pPr>
        <w:pStyle w:val="2"/>
        <w:rPr>
          <w:rFonts w:hint="eastAsia" w:ascii="仿宋_GB2312" w:hAnsi="Times New Roman" w:eastAsia="仿宋_GB2312" w:cs="Wingdings"/>
          <w:sz w:val="32"/>
          <w:szCs w:val="32"/>
          <w:lang w:eastAsia="zh-CN"/>
        </w:rPr>
      </w:pPr>
    </w:p>
    <w:p>
      <w:pPr>
        <w:pStyle w:val="2"/>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drawing>
          <wp:anchor distT="0" distB="0" distL="114300" distR="114300" simplePos="0" relativeHeight="251666432" behindDoc="1" locked="0" layoutInCell="1" allowOverlap="1">
            <wp:simplePos x="0" y="0"/>
            <wp:positionH relativeFrom="column">
              <wp:posOffset>218440</wp:posOffset>
            </wp:positionH>
            <wp:positionV relativeFrom="paragraph">
              <wp:posOffset>271780</wp:posOffset>
            </wp:positionV>
            <wp:extent cx="4164965" cy="2273300"/>
            <wp:effectExtent l="0" t="0" r="6985"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pStyle w:val="2"/>
        <w:rPr>
          <w:rFonts w:hint="eastAsia" w:ascii="仿宋_GB2312" w:hAnsi="Times New Roman" w:eastAsia="仿宋_GB2312" w:cs="Wingdings"/>
          <w:sz w:val="32"/>
          <w:szCs w:val="32"/>
          <w:lang w:eastAsia="zh-CN"/>
        </w:rPr>
      </w:pPr>
    </w:p>
    <w:p>
      <w:pPr>
        <w:pStyle w:val="2"/>
        <w:rPr>
          <w:rFonts w:hint="eastAsia" w:ascii="仿宋_GB2312" w:hAnsi="Times New Roman" w:eastAsia="仿宋_GB2312" w:cs="Wingdings"/>
          <w:sz w:val="32"/>
          <w:szCs w:val="32"/>
          <w:lang w:eastAsia="zh-CN"/>
        </w:rPr>
      </w:pPr>
    </w:p>
    <w:p>
      <w:pPr>
        <w:pStyle w:val="2"/>
        <w:rPr>
          <w:rFonts w:hint="eastAsia" w:ascii="仿宋_GB2312" w:hAnsi="Times New Roman" w:eastAsia="仿宋_GB2312" w:cs="Wingdings"/>
          <w:sz w:val="32"/>
          <w:szCs w:val="32"/>
          <w:lang w:eastAsia="zh-CN"/>
        </w:rPr>
      </w:pPr>
    </w:p>
    <w:p>
      <w:pPr>
        <w:pStyle w:val="2"/>
        <w:rPr>
          <w:rFonts w:hint="eastAsia" w:ascii="仿宋_GB2312" w:hAnsi="Times New Roman" w:eastAsia="仿宋_GB2312" w:cs="Wingdings"/>
          <w:sz w:val="32"/>
          <w:szCs w:val="32"/>
          <w:lang w:eastAsia="zh-CN"/>
        </w:rPr>
      </w:pPr>
    </w:p>
    <w:p>
      <w:pPr>
        <w:pStyle w:val="2"/>
        <w:rPr>
          <w:rFonts w:hint="eastAsia" w:ascii="仿宋_GB2312" w:hAnsi="Times New Roman" w:eastAsia="仿宋_GB2312" w:cs="Wingdings"/>
          <w:sz w:val="32"/>
          <w:szCs w:val="32"/>
          <w:lang w:eastAsia="zh-CN"/>
        </w:rPr>
      </w:pPr>
    </w:p>
    <w:p>
      <w:pPr>
        <w:pStyle w:val="2"/>
        <w:rPr>
          <w:rFonts w:hint="eastAsia"/>
          <w:lang w:val="en-US" w:eastAsia="zh-CN"/>
        </w:rPr>
      </w:pPr>
    </w:p>
    <w:p>
      <w:pPr>
        <w:tabs>
          <w:tab w:val="left" w:pos="5800"/>
        </w:tabs>
        <w:adjustRightInd w:val="0"/>
        <w:snapToGrid w:val="0"/>
        <w:spacing w:line="600" w:lineRule="exact"/>
        <w:ind w:firstLine="320" w:firstLineChars="100"/>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hint="eastAsia" w:ascii="仿宋_GB2312" w:hAnsi="Times New Roman" w:eastAsia="仿宋_GB2312" w:cs="Wingdings"/>
          <w:sz w:val="32"/>
          <w:szCs w:val="32"/>
          <w:highlight w:val="yellow"/>
          <w:lang w:eastAsia="zh-CN"/>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4984.62</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4984.62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p>
    <w:p>
      <w:pPr>
        <w:snapToGrid w:val="0"/>
        <w:spacing w:line="600" w:lineRule="exact"/>
        <w:ind w:firstLine="320" w:firstLineChars="1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4984.62</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194.00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4.00</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4700.62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96.00</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pStyle w:val="2"/>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lang w:eastAsia="zh-CN"/>
        </w:rPr>
        <w:drawing>
          <wp:anchor distT="0" distB="0" distL="114300" distR="114300" simplePos="0" relativeHeight="251668480" behindDoc="0" locked="0" layoutInCell="1" allowOverlap="1">
            <wp:simplePos x="0" y="0"/>
            <wp:positionH relativeFrom="column">
              <wp:posOffset>806450</wp:posOffset>
            </wp:positionH>
            <wp:positionV relativeFrom="paragraph">
              <wp:posOffset>54610</wp:posOffset>
            </wp:positionV>
            <wp:extent cx="3905250" cy="3033395"/>
            <wp:effectExtent l="4445" t="4445" r="14605" b="10160"/>
            <wp:wrapNone/>
            <wp:docPr id="11" name="图表 11" descr="7b0a202020202263686172745265734964223a2022323034373232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pStyle w:val="2"/>
        <w:rPr>
          <w:rFonts w:hint="eastAsia" w:ascii="仿宋_GB2312" w:hAnsi="Times New Roman" w:eastAsia="仿宋_GB2312" w:cs="Wingdings"/>
          <w:sz w:val="32"/>
          <w:szCs w:val="32"/>
        </w:rPr>
      </w:pPr>
    </w:p>
    <w:p>
      <w:pPr>
        <w:pStyle w:val="2"/>
        <w:rPr>
          <w:rFonts w:hint="eastAsia" w:ascii="仿宋_GB2312" w:hAnsi="Times New Roman" w:eastAsia="仿宋_GB2312" w:cs="Wingdings"/>
          <w:sz w:val="32"/>
          <w:szCs w:val="32"/>
        </w:rPr>
      </w:pPr>
    </w:p>
    <w:p>
      <w:pPr>
        <w:pStyle w:val="2"/>
        <w:rPr>
          <w:rFonts w:hint="eastAsia" w:ascii="仿宋_GB2312" w:hAnsi="Times New Roman" w:eastAsia="仿宋_GB2312" w:cs="Wingdings"/>
          <w:sz w:val="32"/>
          <w:szCs w:val="32"/>
        </w:rPr>
      </w:pPr>
    </w:p>
    <w:p>
      <w:pPr>
        <w:pStyle w:val="2"/>
        <w:rPr>
          <w:rFonts w:hint="eastAsia" w:ascii="仿宋_GB2312" w:hAnsi="Times New Roman" w:eastAsia="仿宋_GB2312" w:cs="Wingdings"/>
          <w:sz w:val="32"/>
          <w:szCs w:val="32"/>
        </w:rPr>
      </w:pPr>
    </w:p>
    <w:p>
      <w:pPr>
        <w:pStyle w:val="2"/>
        <w:rPr>
          <w:rFonts w:hint="eastAsia" w:ascii="仿宋_GB2312" w:hAnsi="Times New Roman" w:eastAsia="仿宋_GB2312" w:cs="Wingdings"/>
          <w:sz w:val="32"/>
          <w:szCs w:val="32"/>
        </w:rPr>
      </w:pPr>
    </w:p>
    <w:p>
      <w:pPr>
        <w:pStyle w:val="2"/>
        <w:rPr>
          <w:rFonts w:hint="eastAsia" w:ascii="仿宋_GB2312" w:hAnsi="Times New Roman" w:eastAsia="仿宋_GB2312" w:cs="Wingdings"/>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1012825</wp:posOffset>
                </wp:positionH>
                <wp:positionV relativeFrom="paragraph">
                  <wp:posOffset>353060</wp:posOffset>
                </wp:positionV>
                <wp:extent cx="3401695" cy="372745"/>
                <wp:effectExtent l="0" t="0" r="8255" b="8255"/>
                <wp:wrapNone/>
                <wp:docPr id="155" name="文本框 32"/>
                <wp:cNvGraphicFramePr/>
                <a:graphic xmlns:a="http://schemas.openxmlformats.org/drawingml/2006/main">
                  <a:graphicData uri="http://schemas.microsoft.com/office/word/2010/wordprocessingShape">
                    <wps:wsp>
                      <wps:cNvSpPr txBox="1"/>
                      <wps:spPr>
                        <a:xfrm>
                          <a:off x="1985010" y="6242050"/>
                          <a:ext cx="3401695" cy="37274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after="160"/>
                              <w:jc w:val="center"/>
                              <w:rPr>
                                <w:rFonts w:ascii="楷体_GB2312" w:hAnsi="楷体_GB2312" w:eastAsia="楷体_GB2312" w:cs="楷体_GB2312"/>
                                <w:sz w:val="24"/>
                              </w:rPr>
                            </w:pPr>
                            <w:r>
                              <w:rPr>
                                <w:rFonts w:hint="eastAsia" w:ascii="楷体_GB2312" w:hAnsi="楷体_GB2312" w:eastAsia="楷体_GB2312" w:cs="楷体_GB2312"/>
                                <w:sz w:val="24"/>
                              </w:rPr>
                              <w:t>收入决算构成情况</w:t>
                            </w:r>
                          </w:p>
                          <w:p>
                            <w:pPr>
                              <w:spacing w:after="160"/>
                              <w:rPr>
                                <w:rFonts w:ascii="楷体_GB2312" w:hAnsi="楷体_GB2312" w:eastAsia="楷体_GB2312" w:cs="楷体_GB2312"/>
                                <w:sz w:val="18"/>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79.75pt;margin-top:27.8pt;height:29.35pt;width:267.85pt;z-index:251667456;mso-width-relative:page;mso-height-relative:page;" fillcolor="#FFFFFF" filled="t" stroked="f" coordsize="21600,21600" o:gfxdata="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G&#10;ime+1AAAAAoBAAAPAAAAAAAAAAEAIAAAACIAAABkcnMvZG93bnJldi54bWxQSwECFAAUAAAACACH&#10;TuJAvbPrvmECAACsBAAADgAAAAAAAAABACAAAAAjAQAAZHJzL2Uyb0RvYy54bWxQSwUGAAAAAAYA&#10;BgBZAQAA9gUAAAAA&#10;">
                <v:fill on="t" focussize="0,0"/>
                <v:stroke on="f" weight="0.5pt"/>
                <v:imagedata o:title=""/>
                <o:lock v:ext="edit" aspectratio="f"/>
                <v:textbox>
                  <w:txbxContent>
                    <w:p>
                      <w:pPr>
                        <w:adjustRightInd w:val="0"/>
                        <w:snapToGrid w:val="0"/>
                        <w:spacing w:after="160"/>
                        <w:jc w:val="center"/>
                        <w:rPr>
                          <w:rFonts w:ascii="楷体_GB2312" w:hAnsi="楷体_GB2312" w:eastAsia="楷体_GB2312" w:cs="楷体_GB2312"/>
                          <w:sz w:val="24"/>
                        </w:rPr>
                      </w:pPr>
                      <w:r>
                        <w:rPr>
                          <w:rFonts w:hint="eastAsia" w:ascii="楷体_GB2312" w:hAnsi="楷体_GB2312" w:eastAsia="楷体_GB2312" w:cs="楷体_GB2312"/>
                          <w:sz w:val="24"/>
                        </w:rPr>
                        <w:t>收入决算构成情况</w:t>
                      </w:r>
                    </w:p>
                    <w:p>
                      <w:pPr>
                        <w:spacing w:after="160"/>
                        <w:rPr>
                          <w:rFonts w:ascii="楷体_GB2312" w:hAnsi="楷体_GB2312" w:eastAsia="楷体_GB2312" w:cs="楷体_GB2312"/>
                          <w:sz w:val="18"/>
                          <w:szCs w:val="22"/>
                        </w:rPr>
                      </w:pPr>
                    </w:p>
                  </w:txbxContent>
                </v:textbox>
              </v:shape>
            </w:pict>
          </mc:Fallback>
        </mc:AlternateContent>
      </w:r>
    </w:p>
    <w:p>
      <w:pPr>
        <w:pStyle w:val="2"/>
        <w:rPr>
          <w:rFonts w:hint="eastAsia" w:ascii="仿宋_GB2312" w:hAnsi="Times New Roman" w:eastAsia="仿宋_GB2312" w:cs="Wingdings"/>
          <w:sz w:val="32"/>
          <w:szCs w:val="32"/>
        </w:rPr>
      </w:pPr>
    </w:p>
    <w:p>
      <w:pPr>
        <w:keepNext/>
        <w:keepLines/>
        <w:snapToGrid w:val="0"/>
        <w:spacing w:line="600" w:lineRule="exact"/>
        <w:ind w:firstLine="320" w:firstLineChars="1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hint="eastAsia" w:ascii="仿宋_GB2312" w:hAnsi="Times New Roman" w:eastAsia="仿宋_GB2312" w:cs="Wingdings"/>
          <w:sz w:val="32"/>
          <w:szCs w:val="32"/>
          <w:highlight w:val="yellow"/>
          <w:u w:val="none"/>
          <w:lang w:val="en-US" w:eastAsia="zh-CN"/>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4894.62</w:t>
      </w:r>
      <w:r>
        <w:rPr>
          <w:rFonts w:hint="eastAsia" w:ascii="仿宋_GB2312" w:hAnsi="Times New Roman" w:eastAsia="仿宋_GB2312" w:cs="Wingdings"/>
          <w:sz w:val="32"/>
          <w:szCs w:val="32"/>
        </w:rPr>
        <w:t>万元,</w:t>
      </w:r>
      <w:r>
        <w:rPr>
          <w:rFonts w:hint="eastAsia" w:ascii="仿宋" w:hAnsi="仿宋" w:eastAsia="仿宋" w:cs="仿宋"/>
          <w:sz w:val="32"/>
          <w:szCs w:val="32"/>
        </w:rPr>
        <w:t>2019年度形成的财政拨款收支均为一般公共预算财政拨款，</w:t>
      </w:r>
      <w:r>
        <w:rPr>
          <w:rFonts w:hint="eastAsia" w:ascii="仿宋" w:hAnsi="仿宋" w:eastAsia="仿宋" w:cs="仿宋"/>
          <w:sz w:val="32"/>
          <w:szCs w:val="32"/>
          <w:u w:val="none"/>
        </w:rPr>
        <w:t>其中本年收入</w:t>
      </w:r>
      <w:r>
        <w:rPr>
          <w:rFonts w:hint="eastAsia" w:ascii="仿宋" w:hAnsi="仿宋" w:eastAsia="仿宋" w:cs="仿宋"/>
          <w:sz w:val="32"/>
          <w:szCs w:val="32"/>
          <w:u w:val="none"/>
          <w:lang w:val="en-US" w:eastAsia="zh-CN"/>
        </w:rPr>
        <w:t>3891.53</w:t>
      </w:r>
      <w:r>
        <w:rPr>
          <w:rFonts w:hint="eastAsia" w:ascii="仿宋" w:hAnsi="仿宋" w:eastAsia="仿宋" w:cs="仿宋"/>
          <w:sz w:val="32"/>
          <w:szCs w:val="32"/>
          <w:u w:val="none"/>
        </w:rPr>
        <w:t>万元</w:t>
      </w:r>
      <w:r>
        <w:rPr>
          <w:rFonts w:hint="eastAsia" w:ascii="仿宋" w:hAnsi="仿宋" w:eastAsia="仿宋" w:cs="仿宋"/>
          <w:sz w:val="32"/>
          <w:szCs w:val="32"/>
          <w:u w:val="none"/>
          <w:lang w:eastAsia="zh-CN"/>
        </w:rPr>
        <w:t>，</w:t>
      </w:r>
      <w:r>
        <w:rPr>
          <w:rFonts w:hint="eastAsia" w:ascii="仿宋_GB2312" w:hAnsi="Times New Roman" w:eastAsia="仿宋_GB2312" w:cs="Wingdings"/>
          <w:sz w:val="32"/>
          <w:szCs w:val="32"/>
          <w:u w:val="none"/>
        </w:rPr>
        <w:t>比2019年度增加</w:t>
      </w:r>
      <w:r>
        <w:rPr>
          <w:rFonts w:hint="eastAsia" w:ascii="仿宋_GB2312" w:hAnsi="Times New Roman" w:eastAsia="仿宋_GB2312" w:cs="Wingdings"/>
          <w:sz w:val="32"/>
          <w:szCs w:val="32"/>
          <w:u w:val="none"/>
          <w:lang w:val="en-US" w:eastAsia="zh-CN"/>
        </w:rPr>
        <w:t>1003.09</w:t>
      </w:r>
      <w:r>
        <w:rPr>
          <w:rFonts w:hint="eastAsia" w:ascii="仿宋_GB2312" w:hAnsi="Times New Roman" w:eastAsia="仿宋_GB2312" w:cs="Wingdings"/>
          <w:sz w:val="32"/>
          <w:szCs w:val="32"/>
          <w:u w:val="none"/>
        </w:rPr>
        <w:t>万元，增长</w:t>
      </w:r>
      <w:r>
        <w:rPr>
          <w:rFonts w:hint="eastAsia" w:ascii="仿宋_GB2312" w:hAnsi="Times New Roman" w:eastAsia="仿宋_GB2312" w:cs="Wingdings"/>
          <w:sz w:val="32"/>
          <w:szCs w:val="32"/>
          <w:u w:val="none"/>
          <w:lang w:val="en-US" w:eastAsia="zh-CN"/>
        </w:rPr>
        <w:t>25.78</w:t>
      </w:r>
      <w:r>
        <w:rPr>
          <w:rFonts w:hint="eastAsia" w:ascii="仿宋_GB2312" w:hAnsi="Times New Roman" w:eastAsia="仿宋_GB2312" w:cs="Wingdings"/>
          <w:sz w:val="32"/>
          <w:szCs w:val="32"/>
          <w:u w:val="none"/>
        </w:rPr>
        <w:t>%，主要是</w:t>
      </w:r>
      <w:r>
        <w:rPr>
          <w:rFonts w:hint="eastAsia" w:ascii="仿宋_GB2312" w:hAnsi="Times New Roman" w:eastAsia="仿宋_GB2312" w:cs="Wingdings"/>
          <w:sz w:val="32"/>
          <w:szCs w:val="32"/>
          <w:u w:val="none"/>
          <w:lang w:eastAsia="zh-CN"/>
        </w:rPr>
        <w:t>：</w:t>
      </w:r>
      <w:r>
        <w:rPr>
          <w:rFonts w:hint="eastAsia" w:ascii="仿宋_GB2312" w:hAnsi="Times New Roman" w:eastAsia="仿宋_GB2312" w:cs="Wingdings"/>
          <w:sz w:val="32"/>
          <w:szCs w:val="32"/>
          <w:u w:val="none"/>
          <w:lang w:val="en-US" w:eastAsia="zh-CN"/>
        </w:rPr>
        <w:t>我部门2019年1月份成立，2019年1-4月份由民政局负责发放优抚对象生活补助，自2019年4月份民政局将涉及全区优抚对象生活补助等经费划转到我部门，由我部门负责发放；2019年1-6月份由人社局负责发放军转干部解困经费，2019年6月份人社局将军转干部解困资金划转到我部门，由我部门负责发放；2019年本部门没有人员经费方面拨款，2020年有人员经费拨款。</w:t>
      </w:r>
      <w:r>
        <w:rPr>
          <w:rFonts w:hint="eastAsia" w:ascii="仿宋_GB2312" w:hAnsi="Times New Roman" w:eastAsia="仿宋_GB2312" w:cs="Wingdings"/>
          <w:sz w:val="32"/>
          <w:szCs w:val="32"/>
          <w:u w:val="none"/>
        </w:rPr>
        <w:t>本年支出</w:t>
      </w:r>
      <w:r>
        <w:rPr>
          <w:rFonts w:hint="eastAsia" w:ascii="仿宋_GB2312" w:hAnsi="Times New Roman" w:eastAsia="仿宋_GB2312" w:cs="Wingdings"/>
          <w:sz w:val="32"/>
          <w:szCs w:val="32"/>
          <w:u w:val="none"/>
          <w:lang w:val="en-US" w:eastAsia="zh-CN"/>
        </w:rPr>
        <w:t>4894.62</w:t>
      </w:r>
      <w:r>
        <w:rPr>
          <w:rFonts w:hint="eastAsia" w:ascii="仿宋_GB2312" w:hAnsi="Times New Roman" w:eastAsia="仿宋_GB2312" w:cs="Wingdings"/>
          <w:sz w:val="32"/>
          <w:szCs w:val="32"/>
          <w:u w:val="none"/>
        </w:rPr>
        <w:t>万元，增加</w:t>
      </w:r>
      <w:r>
        <w:rPr>
          <w:rFonts w:hint="eastAsia" w:ascii="仿宋_GB2312" w:hAnsi="Times New Roman" w:eastAsia="仿宋_GB2312" w:cs="Wingdings"/>
          <w:sz w:val="32"/>
          <w:szCs w:val="32"/>
          <w:u w:val="none"/>
          <w:lang w:val="en-US" w:eastAsia="zh-CN"/>
        </w:rPr>
        <w:t>1003.09</w:t>
      </w:r>
      <w:r>
        <w:rPr>
          <w:rFonts w:hint="eastAsia" w:ascii="仿宋_GB2312" w:hAnsi="Times New Roman" w:eastAsia="仿宋_GB2312" w:cs="Wingdings"/>
          <w:sz w:val="32"/>
          <w:szCs w:val="32"/>
          <w:u w:val="none"/>
        </w:rPr>
        <w:t>万元，增长</w:t>
      </w:r>
      <w:r>
        <w:rPr>
          <w:rFonts w:hint="eastAsia" w:ascii="仿宋_GB2312" w:hAnsi="Times New Roman" w:eastAsia="仿宋_GB2312" w:cs="Wingdings"/>
          <w:sz w:val="32"/>
          <w:szCs w:val="32"/>
          <w:u w:val="none"/>
          <w:lang w:val="en-US" w:eastAsia="zh-CN"/>
        </w:rPr>
        <w:t>25.78</w:t>
      </w:r>
      <w:r>
        <w:rPr>
          <w:rFonts w:hint="eastAsia" w:ascii="仿宋_GB2312" w:hAnsi="Times New Roman" w:eastAsia="仿宋_GB2312" w:cs="Wingdings"/>
          <w:sz w:val="32"/>
          <w:szCs w:val="32"/>
          <w:u w:val="none"/>
        </w:rPr>
        <w:t>%，主要是</w:t>
      </w:r>
      <w:r>
        <w:rPr>
          <w:rFonts w:hint="eastAsia" w:ascii="仿宋_GB2312" w:hAnsi="Times New Roman" w:eastAsia="仿宋_GB2312" w:cs="Wingdings"/>
          <w:sz w:val="32"/>
          <w:szCs w:val="32"/>
          <w:u w:val="none"/>
          <w:lang w:val="en-US" w:eastAsia="zh-CN"/>
        </w:rPr>
        <w:t>我部门2019年1月份成立，2019年1-4月份由民政局负责发放优抚对象生活补助，自2019年4月份民政局将涉及全区优抚对象生活补助等经费划转到我部门，由我局负责发放；2019年1-6月份由人社局负责发放军转干部解困经费，2019年6月份人社局将军转干部解困资金划转到我部门，由我部门负责发放；我部门2019年没有人员经费支出等其他情况，2020年有人员经费支出情况，故2020年</w:t>
      </w:r>
      <w:r>
        <w:rPr>
          <w:rFonts w:hint="eastAsia" w:ascii="仿宋_GB2312" w:hAnsi="Times New Roman" w:eastAsia="仿宋_GB2312" w:cs="Wingdings"/>
          <w:sz w:val="32"/>
          <w:szCs w:val="32"/>
          <w:u w:val="none"/>
        </w:rPr>
        <w:t>与2019年度决算相比，收支</w:t>
      </w:r>
      <w:r>
        <w:rPr>
          <w:rFonts w:hint="eastAsia" w:ascii="仿宋_GB2312" w:hAnsi="Times New Roman" w:eastAsia="仿宋_GB2312" w:cs="Wingdings"/>
          <w:sz w:val="32"/>
          <w:szCs w:val="32"/>
          <w:u w:val="none"/>
          <w:lang w:eastAsia="zh-CN"/>
        </w:rPr>
        <w:t>各</w:t>
      </w:r>
      <w:r>
        <w:rPr>
          <w:rFonts w:hint="eastAsia" w:ascii="仿宋_GB2312" w:hAnsi="Times New Roman" w:eastAsia="仿宋_GB2312" w:cs="Wingdings"/>
          <w:sz w:val="32"/>
          <w:szCs w:val="32"/>
          <w:u w:val="none"/>
        </w:rPr>
        <w:t>增长</w:t>
      </w:r>
      <w:r>
        <w:rPr>
          <w:rFonts w:hint="eastAsia" w:ascii="仿宋_GB2312" w:hAnsi="Times New Roman" w:eastAsia="仿宋_GB2312" w:cs="Wingdings"/>
          <w:sz w:val="32"/>
          <w:szCs w:val="32"/>
          <w:u w:val="none"/>
          <w:lang w:val="en-US" w:eastAsia="zh-CN"/>
        </w:rPr>
        <w:t>25.78</w:t>
      </w:r>
      <w:r>
        <w:rPr>
          <w:rFonts w:hint="eastAsia" w:ascii="仿宋_GB2312" w:hAnsi="Times New Roman" w:eastAsia="仿宋_GB2312" w:cs="Wingdings"/>
          <w:sz w:val="32"/>
          <w:szCs w:val="32"/>
          <w:u w:val="none"/>
        </w:rPr>
        <w:t>%</w:t>
      </w:r>
      <w:r>
        <w:rPr>
          <w:rFonts w:hint="eastAsia" w:ascii="仿宋_GB2312" w:hAnsi="Times New Roman" w:eastAsia="仿宋_GB2312" w:cs="Wingdings"/>
          <w:sz w:val="32"/>
          <w:szCs w:val="32"/>
          <w:u w:val="none"/>
          <w:lang w:eastAsia="zh-CN"/>
        </w:rPr>
        <w:t>。</w:t>
      </w:r>
    </w:p>
    <w:p>
      <w:pPr>
        <w:adjustRightInd w:val="0"/>
        <w:snapToGrid w:val="0"/>
        <w:spacing w:line="600" w:lineRule="exact"/>
        <w:ind w:firstLine="640" w:firstLineChars="200"/>
        <w:rPr>
          <w:rFonts w:ascii="仿宋_GB2312" w:hAnsi="Times New Roman" w:eastAsia="仿宋_GB2312" w:cs="Wingdings"/>
          <w:sz w:val="32"/>
          <w:szCs w:val="32"/>
          <w:u w:val="none"/>
        </w:rPr>
      </w:pPr>
      <w:r>
        <w:rPr>
          <w:rFonts w:hint="eastAsia" w:ascii="仿宋_GB2312" w:hAnsi="Times New Roman" w:eastAsia="仿宋_GB2312" w:cs="Wingdings"/>
          <w:sz w:val="32"/>
          <w:szCs w:val="32"/>
          <w:u w:val="none"/>
        </w:rPr>
        <w:t>具体情况如下：</w:t>
      </w:r>
    </w:p>
    <w:p>
      <w:pPr>
        <w:numPr>
          <w:ilvl w:val="0"/>
          <w:numId w:val="3"/>
        </w:numPr>
        <w:adjustRightInd w:val="0"/>
        <w:snapToGrid w:val="0"/>
        <w:spacing w:line="600" w:lineRule="exact"/>
        <w:ind w:firstLine="640" w:firstLineChars="200"/>
        <w:rPr>
          <w:rFonts w:ascii="仿宋_GB2312" w:hAnsi="Times New Roman" w:eastAsia="仿宋_GB2312" w:cs="Wingdings"/>
          <w:sz w:val="32"/>
          <w:szCs w:val="32"/>
          <w:u w:val="none"/>
        </w:rPr>
      </w:pPr>
      <w:r>
        <w:rPr>
          <w:rFonts w:hint="eastAsia" w:ascii="仿宋_GB2312" w:hAnsi="Times New Roman" w:eastAsia="仿宋_GB2312" w:cs="Wingdings"/>
          <w:sz w:val="32"/>
          <w:szCs w:val="32"/>
          <w:u w:val="none"/>
        </w:rPr>
        <w:t>一般公共预算财政拨款本年收入</w:t>
      </w:r>
      <w:r>
        <w:rPr>
          <w:rFonts w:hint="eastAsia" w:ascii="仿宋_GB2312" w:hAnsi="Times New Roman" w:eastAsia="仿宋_GB2312" w:cs="Wingdings"/>
          <w:sz w:val="32"/>
          <w:szCs w:val="32"/>
          <w:u w:val="none"/>
          <w:lang w:val="en-US" w:eastAsia="zh-CN"/>
        </w:rPr>
        <w:t>4845.62</w:t>
      </w:r>
      <w:r>
        <w:rPr>
          <w:rFonts w:hint="eastAsia" w:ascii="仿宋_GB2312" w:hAnsi="Times New Roman" w:eastAsia="仿宋_GB2312" w:cs="Wingdings"/>
          <w:sz w:val="32"/>
          <w:szCs w:val="32"/>
          <w:u w:val="none"/>
        </w:rPr>
        <w:t>万元，比上年增加</w:t>
      </w:r>
      <w:r>
        <w:rPr>
          <w:rFonts w:hint="eastAsia" w:ascii="仿宋_GB2312" w:hAnsi="Times New Roman" w:eastAsia="仿宋_GB2312" w:cs="Wingdings"/>
          <w:sz w:val="32"/>
          <w:szCs w:val="32"/>
          <w:u w:val="none"/>
          <w:lang w:val="en-US" w:eastAsia="zh-CN"/>
        </w:rPr>
        <w:t>954.09</w:t>
      </w:r>
      <w:r>
        <w:rPr>
          <w:rFonts w:hint="eastAsia" w:ascii="仿宋_GB2312" w:hAnsi="Times New Roman" w:eastAsia="仿宋_GB2312" w:cs="Wingdings"/>
          <w:sz w:val="32"/>
          <w:szCs w:val="32"/>
          <w:u w:val="none"/>
        </w:rPr>
        <w:t>万元；主要是</w:t>
      </w:r>
      <w:r>
        <w:rPr>
          <w:rFonts w:hint="eastAsia" w:ascii="仿宋_GB2312" w:hAnsi="Times New Roman" w:eastAsia="仿宋_GB2312" w:cs="Wingdings"/>
          <w:sz w:val="32"/>
          <w:szCs w:val="32"/>
          <w:u w:val="none"/>
          <w:lang w:eastAsia="zh-CN"/>
        </w:rPr>
        <w:t>：</w:t>
      </w:r>
      <w:r>
        <w:rPr>
          <w:rFonts w:hint="eastAsia" w:ascii="仿宋_GB2312" w:hAnsi="Times New Roman" w:eastAsia="仿宋_GB2312" w:cs="Wingdings"/>
          <w:sz w:val="32"/>
          <w:szCs w:val="32"/>
          <w:u w:val="none"/>
        </w:rPr>
        <w:t>本年支出</w:t>
      </w:r>
      <w:r>
        <w:rPr>
          <w:rFonts w:hint="eastAsia" w:ascii="仿宋_GB2312" w:hAnsi="Times New Roman" w:eastAsia="仿宋_GB2312" w:cs="Wingdings"/>
          <w:sz w:val="32"/>
          <w:szCs w:val="32"/>
          <w:u w:val="none"/>
          <w:lang w:val="en-US" w:eastAsia="zh-CN"/>
        </w:rPr>
        <w:t>4845.62</w:t>
      </w:r>
      <w:r>
        <w:rPr>
          <w:rFonts w:hint="eastAsia" w:ascii="仿宋_GB2312" w:hAnsi="Times New Roman" w:eastAsia="仿宋_GB2312" w:cs="Wingdings"/>
          <w:sz w:val="32"/>
          <w:szCs w:val="32"/>
          <w:u w:val="none"/>
        </w:rPr>
        <w:t>万元，比上年增加</w:t>
      </w:r>
      <w:r>
        <w:rPr>
          <w:rFonts w:hint="eastAsia" w:ascii="仿宋_GB2312" w:hAnsi="Times New Roman" w:eastAsia="仿宋_GB2312" w:cs="Wingdings"/>
          <w:sz w:val="32"/>
          <w:szCs w:val="32"/>
          <w:u w:val="none"/>
          <w:lang w:val="en-US" w:eastAsia="zh-CN"/>
        </w:rPr>
        <w:t>954.09</w:t>
      </w:r>
      <w:r>
        <w:rPr>
          <w:rFonts w:hint="eastAsia" w:ascii="仿宋_GB2312" w:hAnsi="Times New Roman" w:eastAsia="仿宋_GB2312" w:cs="Wingdings"/>
          <w:sz w:val="32"/>
          <w:szCs w:val="32"/>
          <w:u w:val="none"/>
        </w:rPr>
        <w:t>万元，增长</w:t>
      </w:r>
      <w:r>
        <w:rPr>
          <w:rFonts w:hint="eastAsia" w:ascii="仿宋_GB2312" w:hAnsi="Times New Roman" w:eastAsia="仿宋_GB2312" w:cs="Wingdings"/>
          <w:sz w:val="32"/>
          <w:szCs w:val="32"/>
          <w:u w:val="none"/>
          <w:lang w:val="en-US" w:eastAsia="zh-CN"/>
        </w:rPr>
        <w:t>24.52</w:t>
      </w:r>
      <w:r>
        <w:rPr>
          <w:rFonts w:hint="eastAsia" w:ascii="仿宋_GB2312" w:hAnsi="Times New Roman" w:eastAsia="仿宋_GB2312" w:cs="Wingdings"/>
          <w:sz w:val="32"/>
          <w:szCs w:val="32"/>
          <w:u w:val="none"/>
        </w:rPr>
        <w:t>%，主要</w:t>
      </w:r>
      <w:r>
        <w:rPr>
          <w:rFonts w:hint="eastAsia" w:ascii="仿宋_GB2312" w:hAnsi="Times New Roman" w:eastAsia="仿宋_GB2312" w:cs="Wingdings"/>
          <w:sz w:val="32"/>
          <w:szCs w:val="32"/>
          <w:u w:val="none"/>
          <w:lang w:eastAsia="zh-CN"/>
        </w:rPr>
        <w:t>原因</w:t>
      </w:r>
      <w:r>
        <w:rPr>
          <w:rFonts w:hint="eastAsia" w:ascii="仿宋_GB2312" w:hAnsi="Times New Roman" w:eastAsia="仿宋_GB2312" w:cs="Wingdings"/>
          <w:sz w:val="32"/>
          <w:szCs w:val="32"/>
          <w:u w:val="none"/>
        </w:rPr>
        <w:t>是</w:t>
      </w:r>
      <w:r>
        <w:rPr>
          <w:rFonts w:hint="eastAsia" w:ascii="仿宋_GB2312" w:hAnsi="Times New Roman" w:eastAsia="仿宋_GB2312" w:cs="Wingdings"/>
          <w:sz w:val="32"/>
          <w:szCs w:val="32"/>
          <w:u w:val="none"/>
          <w:lang w:eastAsia="zh-CN"/>
        </w:rPr>
        <w:t>：</w:t>
      </w:r>
      <w:r>
        <w:rPr>
          <w:rFonts w:hint="eastAsia" w:ascii="仿宋_GB2312" w:hAnsi="Times New Roman" w:eastAsia="仿宋_GB2312" w:cs="Wingdings"/>
          <w:sz w:val="32"/>
          <w:szCs w:val="32"/>
          <w:u w:val="none"/>
          <w:lang w:val="en-US" w:eastAsia="zh-CN"/>
        </w:rPr>
        <w:t>我部门2019年1月份成立，2019年1-4月份由民政局负责发放优抚对象生活补助，自2019年4月份民政局将涉及全区优抚对象生活补助等经费划转到我部门，由我部门负责发放；2019年1-6月份由人社局负责发放军转干部解困经费，2019年6月份人社局将军转干部解困资金划转到我部门，由我部门负责发放；2019年本部门没有人员经费方面拨款，2020年本部门有人员经费方面拨款。</w:t>
      </w:r>
    </w:p>
    <w:p>
      <w:pPr>
        <w:numPr>
          <w:ilvl w:val="0"/>
          <w:numId w:val="3"/>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u w:val="none"/>
        </w:rPr>
        <w:t>政府性基金预算财政拨款本年收入</w:t>
      </w:r>
      <w:r>
        <w:rPr>
          <w:rFonts w:hint="eastAsia" w:ascii="仿宋_GB2312" w:hAnsi="Times New Roman" w:eastAsia="仿宋_GB2312" w:cs="Wingdings"/>
          <w:sz w:val="32"/>
          <w:szCs w:val="32"/>
          <w:u w:val="none"/>
          <w:lang w:val="en-US" w:eastAsia="zh-CN"/>
        </w:rPr>
        <w:t>49.00</w:t>
      </w:r>
      <w:r>
        <w:rPr>
          <w:rFonts w:hint="eastAsia" w:ascii="仿宋_GB2312" w:hAnsi="Times New Roman" w:eastAsia="仿宋_GB2312" w:cs="Wingdings"/>
          <w:sz w:val="32"/>
          <w:szCs w:val="32"/>
          <w:u w:val="none"/>
        </w:rPr>
        <w:t>万元，比上年增加</w:t>
      </w:r>
      <w:r>
        <w:rPr>
          <w:rFonts w:hint="eastAsia" w:ascii="仿宋_GB2312" w:hAnsi="Times New Roman" w:eastAsia="仿宋_GB2312" w:cs="Wingdings"/>
          <w:sz w:val="32"/>
          <w:szCs w:val="32"/>
          <w:lang w:val="en-US" w:eastAsia="zh-CN"/>
        </w:rPr>
        <w:t>49.00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2019年没有政府性基金预算财政拨款相关收入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49.00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49.00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2019年没有政府性基金预算财政拨款相关收入。</w:t>
      </w:r>
    </w:p>
    <w:p>
      <w:pPr>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4894.62</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年初预算数为</w:t>
      </w:r>
      <w:r>
        <w:rPr>
          <w:rFonts w:hint="eastAsia" w:ascii="仿宋_GB2312" w:hAnsi="Times New Roman" w:eastAsia="仿宋_GB2312" w:cs="Wingdings"/>
          <w:sz w:val="32"/>
          <w:szCs w:val="32"/>
          <w:lang w:val="en-US" w:eastAsia="zh-CN"/>
        </w:rPr>
        <w:t>2425.32万元，</w:t>
      </w:r>
      <w:r>
        <w:rPr>
          <w:rFonts w:hint="eastAsia" w:ascii="仿宋_GB2312" w:hAnsi="Times New Roman" w:eastAsia="仿宋_GB2312" w:cs="Wingdings"/>
          <w:sz w:val="32"/>
          <w:szCs w:val="32"/>
        </w:rPr>
        <w:t>完成年初预算的</w:t>
      </w:r>
      <w:r>
        <w:rPr>
          <w:rFonts w:hint="eastAsia" w:ascii="仿宋_GB2312" w:hAnsi="Times New Roman" w:eastAsia="仿宋_GB2312" w:cs="Wingdings"/>
          <w:sz w:val="32"/>
          <w:szCs w:val="32"/>
          <w:lang w:val="en-US" w:eastAsia="zh-CN"/>
        </w:rPr>
        <w:t>201.81</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2469.30</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年初预算</w:t>
      </w:r>
      <w:r>
        <w:rPr>
          <w:rFonts w:hint="eastAsia" w:ascii="仿宋_GB2312" w:hAnsi="Times New Roman" w:eastAsia="仿宋_GB2312" w:cs="Wingdings"/>
          <w:sz w:val="32"/>
          <w:szCs w:val="32"/>
          <w:lang w:eastAsia="zh-CN"/>
        </w:rPr>
        <w:t>不涉及部分中央、省市专款和临时性事务支出经费。</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4894.62</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201.81</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2469.30</w:t>
      </w:r>
      <w:r>
        <w:rPr>
          <w:rFonts w:hint="eastAsia" w:ascii="仿宋_GB2312" w:hAnsi="Times New Roman" w:eastAsia="仿宋_GB2312" w:cs="Wingdings"/>
          <w:sz w:val="32"/>
          <w:szCs w:val="32"/>
        </w:rPr>
        <w:t>万元，决算数大于预算数主要原因是主要是</w:t>
      </w:r>
      <w:r>
        <w:rPr>
          <w:rFonts w:hint="eastAsia" w:ascii="仿宋_GB2312" w:hAnsi="Times New Roman" w:eastAsia="仿宋_GB2312" w:cs="Wingdings"/>
          <w:sz w:val="32"/>
          <w:szCs w:val="32"/>
          <w:lang w:eastAsia="zh-CN"/>
        </w:rPr>
        <w:t>不涉及中央、省市专款和临时性事务支出经费</w:t>
      </w:r>
      <w:r>
        <w:rPr>
          <w:rFonts w:hint="eastAsia" w:ascii="仿宋_GB2312" w:hAnsi="Times New Roman" w:eastAsia="仿宋_GB2312" w:cs="Wingdings"/>
          <w:sz w:val="32"/>
          <w:szCs w:val="32"/>
        </w:rPr>
        <w:t>。具体情况如下：</w:t>
      </w:r>
    </w:p>
    <w:p>
      <w:pPr>
        <w:numPr>
          <w:ilvl w:val="0"/>
          <w:numId w:val="4"/>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4845.62万元</w:t>
      </w:r>
      <w:r>
        <w:rPr>
          <w:rFonts w:hint="eastAsia" w:ascii="仿宋_GB2312" w:hAnsi="Times New Roman" w:eastAsia="仿宋_GB2312" w:cs="Wingdings"/>
          <w:sz w:val="32"/>
          <w:szCs w:val="32"/>
        </w:rPr>
        <w:t>完成年初预算</w:t>
      </w:r>
      <w:r>
        <w:rPr>
          <w:rFonts w:hint="eastAsia" w:ascii="仿宋_GB2312" w:hAnsi="Times New Roman" w:eastAsia="仿宋_GB2312" w:cs="Wingdings"/>
          <w:sz w:val="32"/>
          <w:szCs w:val="32"/>
          <w:lang w:val="en-US" w:eastAsia="zh-CN"/>
        </w:rPr>
        <w:t>199.79</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2420.30</w:t>
      </w:r>
      <w:r>
        <w:rPr>
          <w:rFonts w:hint="eastAsia" w:ascii="仿宋_GB2312" w:hAnsi="Times New Roman" w:eastAsia="仿宋_GB2312" w:cs="Wingdings"/>
          <w:sz w:val="32"/>
          <w:szCs w:val="32"/>
        </w:rPr>
        <w:t>万元，主要</w:t>
      </w:r>
      <w:r>
        <w:rPr>
          <w:rFonts w:hint="eastAsia" w:ascii="仿宋_GB2312" w:hAnsi="Times New Roman" w:eastAsia="仿宋_GB2312" w:cs="Wingdings"/>
          <w:sz w:val="32"/>
          <w:szCs w:val="32"/>
          <w:lang w:eastAsia="zh-CN"/>
        </w:rPr>
        <w:t>原因</w:t>
      </w:r>
      <w:r>
        <w:rPr>
          <w:rFonts w:hint="eastAsia" w:ascii="仿宋_GB2312" w:hAnsi="Times New Roman" w:eastAsia="仿宋_GB2312" w:cs="Wingdings"/>
          <w:sz w:val="32"/>
          <w:szCs w:val="32"/>
        </w:rPr>
        <w:t>是</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年初预算</w:t>
      </w:r>
      <w:r>
        <w:rPr>
          <w:rFonts w:hint="eastAsia" w:ascii="仿宋_GB2312" w:hAnsi="Times New Roman" w:eastAsia="仿宋_GB2312" w:cs="Wingdings"/>
          <w:sz w:val="32"/>
          <w:szCs w:val="32"/>
          <w:lang w:eastAsia="zh-CN"/>
        </w:rPr>
        <w:t>不涉及部分中央、省市专款和临时性事务支出经费</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199.79</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2420.30</w:t>
      </w:r>
      <w:r>
        <w:rPr>
          <w:rFonts w:hint="eastAsia" w:ascii="仿宋_GB2312" w:hAnsi="Times New Roman" w:eastAsia="仿宋_GB2312" w:cs="Wingdings"/>
          <w:sz w:val="32"/>
          <w:szCs w:val="32"/>
        </w:rPr>
        <w:t>万元，主要</w:t>
      </w:r>
      <w:r>
        <w:rPr>
          <w:rFonts w:hint="eastAsia" w:ascii="仿宋_GB2312" w:hAnsi="Times New Roman" w:eastAsia="仿宋_GB2312" w:cs="Wingdings"/>
          <w:sz w:val="32"/>
          <w:szCs w:val="32"/>
          <w:lang w:eastAsia="zh-CN"/>
        </w:rPr>
        <w:t>原因</w:t>
      </w:r>
      <w:r>
        <w:rPr>
          <w:rFonts w:hint="eastAsia" w:ascii="仿宋_GB2312" w:hAnsi="Times New Roman" w:eastAsia="仿宋_GB2312" w:cs="Wingdings"/>
          <w:sz w:val="32"/>
          <w:szCs w:val="32"/>
        </w:rPr>
        <w:t>是</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年初预算</w:t>
      </w:r>
      <w:r>
        <w:rPr>
          <w:rFonts w:hint="eastAsia" w:ascii="仿宋_GB2312" w:hAnsi="Times New Roman" w:eastAsia="仿宋_GB2312" w:cs="Wingdings"/>
          <w:sz w:val="32"/>
          <w:szCs w:val="32"/>
          <w:lang w:eastAsia="zh-CN"/>
        </w:rPr>
        <w:t>不涉及部分中央、省市专款和临时性事务支出经费</w:t>
      </w:r>
      <w:r>
        <w:rPr>
          <w:rFonts w:hint="eastAsia" w:ascii="仿宋_GB2312" w:hAnsi="Times New Roman" w:eastAsia="仿宋_GB2312" w:cs="Wingdings"/>
          <w:sz w:val="32"/>
          <w:szCs w:val="32"/>
        </w:rPr>
        <w:t>。</w:t>
      </w:r>
    </w:p>
    <w:p>
      <w:pPr>
        <w:numPr>
          <w:ilvl w:val="0"/>
          <w:numId w:val="4"/>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49.00万元，</w:t>
      </w:r>
      <w:r>
        <w:rPr>
          <w:rFonts w:hint="eastAsia" w:ascii="仿宋_GB2312" w:hAnsi="Times New Roman" w:eastAsia="仿宋_GB2312" w:cs="Wingdings"/>
          <w:sz w:val="32"/>
          <w:szCs w:val="32"/>
          <w:lang w:eastAsia="zh-CN"/>
        </w:rPr>
        <w:t>按要求完成支出</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lang w:eastAsia="zh-CN"/>
        </w:rPr>
        <w:t>。</w:t>
      </w:r>
    </w:p>
    <w:p>
      <w:pPr>
        <w:numPr>
          <w:ilvl w:val="0"/>
          <w:numId w:val="5"/>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numPr>
          <w:ilvl w:val="0"/>
          <w:numId w:val="4"/>
        </w:num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4894.62</w:t>
      </w:r>
      <w:r>
        <w:rPr>
          <w:rFonts w:hint="eastAsia" w:ascii="仿宋_GB2312" w:hAnsi="Times New Roman" w:eastAsia="仿宋_GB2312" w:cs="Wingdings"/>
          <w:sz w:val="32"/>
          <w:szCs w:val="32"/>
        </w:rPr>
        <w:t>万元，主要用于以下方面</w:t>
      </w:r>
      <w:r>
        <w:rPr>
          <w:rFonts w:hint="eastAsia" w:ascii="仿宋_GB2312" w:hAnsi="Times New Roman" w:eastAsia="仿宋_GB2312" w:cs="Wingdings"/>
          <w:sz w:val="32"/>
          <w:szCs w:val="32"/>
          <w:lang w:eastAsia="zh-CN"/>
        </w:rPr>
        <w:t>：</w:t>
      </w:r>
    </w:p>
    <w:p>
      <w:pPr>
        <w:numPr>
          <w:ilvl w:val="0"/>
          <w:numId w:val="4"/>
        </w:numPr>
        <w:adjustRightInd w:val="0"/>
        <w:snapToGrid w:val="0"/>
        <w:spacing w:line="600" w:lineRule="exact"/>
        <w:ind w:firstLine="640" w:firstLineChars="200"/>
        <w:rPr>
          <w:rFonts w:hint="eastAsia" w:ascii="仿宋_GB2312" w:hAnsi="Times New Roman" w:eastAsia="仿宋_GB2312" w:cs="Wingdings"/>
          <w:sz w:val="32"/>
          <w:szCs w:val="32"/>
          <w:lang w:val="en-US" w:eastAsia="zh-CN"/>
        </w:rPr>
      </w:pPr>
      <w:r>
        <w:rPr>
          <w:rFonts w:hint="eastAsia" w:ascii="仿宋_GB2312" w:hAnsi="Times New Roman" w:eastAsia="仿宋_GB2312" w:cs="Wingdings"/>
          <w:sz w:val="32"/>
          <w:szCs w:val="32"/>
        </w:rPr>
        <w:t>一般公共服务（类）支出</w:t>
      </w:r>
      <w:r>
        <w:rPr>
          <w:rFonts w:hint="eastAsia" w:ascii="仿宋_GB2312" w:hAnsi="Times New Roman" w:eastAsia="仿宋_GB2312" w:cs="Wingdings"/>
          <w:sz w:val="32"/>
          <w:szCs w:val="32"/>
          <w:lang w:val="en-US" w:eastAsia="zh-CN"/>
        </w:rPr>
        <w:t>11.00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0.22</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4408.16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90.06</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卫生健康支出</w:t>
      </w:r>
      <w:r>
        <w:rPr>
          <w:rFonts w:hint="eastAsia" w:ascii="仿宋_GB2312" w:hAnsi="Times New Roman" w:eastAsia="仿宋_GB2312" w:cs="Wingdings"/>
          <w:sz w:val="32"/>
          <w:szCs w:val="32"/>
          <w:lang w:val="en-US" w:eastAsia="zh-CN"/>
        </w:rPr>
        <w:t>418.18万元，占比8.54%，住房保障支出8.28万元，占比 0.17% 抗疫特别国债安排的支出49.00万元，占比1.00%。</w:t>
      </w:r>
    </w:p>
    <w:p>
      <w:pPr>
        <w:pStyle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9504" behindDoc="0" locked="0" layoutInCell="1" allowOverlap="1">
            <wp:simplePos x="0" y="0"/>
            <wp:positionH relativeFrom="column">
              <wp:posOffset>377825</wp:posOffset>
            </wp:positionH>
            <wp:positionV relativeFrom="paragraph">
              <wp:posOffset>98425</wp:posOffset>
            </wp:positionV>
            <wp:extent cx="5080000" cy="3810000"/>
            <wp:effectExtent l="4445" t="4445" r="20955" b="52705"/>
            <wp:wrapNone/>
            <wp:docPr id="13" name="图表 13" descr="7b0a202020202263686172745265734964223a2022323034373232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pStyle w:val="2"/>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adjustRightInd w:val="0"/>
        <w:snapToGrid w:val="0"/>
        <w:spacing w:line="600" w:lineRule="exact"/>
        <w:rPr>
          <w:rFonts w:hint="eastAsia" w:ascii="楷体_GB2312" w:hAnsi="Times New Roman" w:eastAsia="楷体_GB2312" w:cs="Mongolian Baiti"/>
          <w:b/>
          <w:bCs/>
          <w:sz w:val="32"/>
          <w:szCs w:val="32"/>
        </w:rPr>
      </w:pPr>
    </w:p>
    <w:p>
      <w:pPr>
        <w:numPr>
          <w:ilvl w:val="0"/>
          <w:numId w:val="5"/>
        </w:numPr>
        <w:adjustRightInd w:val="0"/>
        <w:snapToGrid w:val="0"/>
        <w:spacing w:line="600" w:lineRule="exact"/>
        <w:ind w:left="420" w:leftChars="200" w:firstLine="0" w:firstLineChars="0"/>
        <w:rPr>
          <w:rFonts w:hint="eastAsia"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一般公共预算基本支出决算情况说明</w:t>
      </w:r>
    </w:p>
    <w:p>
      <w:pPr>
        <w:numPr>
          <w:ilvl w:val="0"/>
          <w:numId w:val="0"/>
        </w:numPr>
        <w:adjustRightInd w:val="0"/>
        <w:snapToGrid w:val="0"/>
        <w:spacing w:line="600" w:lineRule="exact"/>
        <w:ind w:firstLine="640" w:firstLineChars="200"/>
        <w:rPr>
          <w:rFonts w:hint="eastAsia" w:ascii="仿宋_GB2312" w:hAnsi="Times New Roman" w:eastAsia="仿宋_GB2312" w:cs="Wingdings"/>
          <w:sz w:val="32"/>
          <w:szCs w:val="32"/>
          <w:lang w:val="en-US" w:eastAsia="zh-CN"/>
        </w:rPr>
      </w:pPr>
      <w:r>
        <w:rPr>
          <w:rFonts w:hint="eastAsia" w:ascii="仿宋_GB2312" w:hAnsi="Times New Roman" w:eastAsia="仿宋_GB2312" w:cs="Wingdings"/>
          <w:sz w:val="32"/>
          <w:szCs w:val="32"/>
          <w:lang w:val="en-US" w:eastAsia="zh-CN"/>
        </w:rPr>
        <w:t>2020 年度财政拨款基本支出194.00万元，其中：人员经费 177.38万元，主要包括基本工资、津贴补贴、奖金、绩效工资、机关事业单位基本养老保险缴费、职业年金缴费、职工基本医疗保险缴费、住房公积金、其他社会保障缴费、其他工资福利支出、奖励金、其他对个人和家庭的补助支出；公用经费16.62万元，主要包括办公费、水费、电费、邮电费、取暖费、公务用车运行维护费、其他交通费用。</w:t>
      </w:r>
    </w:p>
    <w:p>
      <w:pPr>
        <w:keepNext/>
        <w:keepLines/>
        <w:snapToGrid w:val="0"/>
        <w:spacing w:line="600" w:lineRule="exact"/>
        <w:ind w:firstLine="640" w:firstLineChars="200"/>
        <w:outlineLvl w:val="1"/>
        <w:rPr>
          <w:rFonts w:ascii="仿宋_GB2312" w:hAnsi="Times New Roman" w:eastAsia="仿宋_GB2312" w:cs="Wingdings"/>
          <w:sz w:val="32"/>
          <w:szCs w:val="32"/>
          <w:highlight w:val="yellow"/>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numPr>
          <w:ilvl w:val="0"/>
          <w:numId w:val="0"/>
        </w:numPr>
        <w:adjustRightInd w:val="0"/>
        <w:snapToGrid w:val="0"/>
        <w:spacing w:line="600" w:lineRule="exact"/>
        <w:ind w:firstLine="640" w:firstLineChars="200"/>
        <w:rPr>
          <w:rFonts w:hint="default" w:ascii="仿宋_GB2312" w:hAnsi="Times New Roman" w:eastAsia="仿宋_GB2312" w:cs="Wingdings"/>
          <w:sz w:val="32"/>
          <w:szCs w:val="32"/>
          <w:lang w:val="en-US" w:eastAsia="zh-CN"/>
        </w:rPr>
      </w:pPr>
      <w:r>
        <w:rPr>
          <w:rFonts w:hint="eastAsia" w:ascii="仿宋_GB2312" w:hAnsi="Times New Roman" w:eastAsia="仿宋_GB2312" w:cs="Wingdings"/>
          <w:sz w:val="32"/>
          <w:szCs w:val="32"/>
          <w:lang w:val="en-US" w:eastAsia="zh-CN"/>
        </w:rPr>
        <w:t>本部门2020年度“三公”经费财政拨款支出预算为2.50万元，支出决算为2.50元，完成预算的100%,较2019年度减少15.30万元，减少85.96%，主要原因是本年度没有购置公务用车。</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Times New Roman" w:eastAsia="仿宋_GB2312" w:cs="Wingdings"/>
          <w:sz w:val="32"/>
          <w:szCs w:val="32"/>
          <w:lang w:val="en-US" w:eastAsia="zh-CN"/>
        </w:rPr>
        <w:t>本部门2020年因公出国（境）费支出0.00万元，完成预算的100%。因公出国（境）团组0个、共0人、参加其他单位组织的因公出国（境）团组0个、共0人、无本单位组织的出国（境）团组。因公出国（境）费支出较预算减少0万元，减少0%,主要是与年初预算数持平；较上年减少0万元，降低0%,主要是上年无因公出国（境）费相关支出。</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Times New Roman" w:eastAsia="仿宋_GB2312" w:cs="Wingdings"/>
          <w:sz w:val="32"/>
          <w:szCs w:val="32"/>
          <w:lang w:val="en-US" w:eastAsia="zh-CN"/>
        </w:rPr>
        <w:t>本部门2020年公务用车购置及运行维护费支出2.50万元，完成预算的100%，较预算减少0.00万元，降低0%,主要是与年初预算数持平；较上年减少15.30万元，降低85.96%,主要是今年没有购置公务用车。</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color w:val="000000"/>
          <w:sz w:val="32"/>
          <w:szCs w:val="32"/>
          <w:highlight w:val="yellow"/>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万元。公务用车购置费支出较预算减少</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本年度无公务车购置经费支出</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17.79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本年度无公务车购置经费支出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,发生运行维护费支出2.50万元，</w:t>
      </w:r>
      <w:r>
        <w:rPr>
          <w:rFonts w:hint="eastAsia" w:ascii="仿宋_GB2312" w:hAnsi="Times New Roman" w:eastAsia="仿宋_GB2312" w:cs="Wingdings"/>
          <w:sz w:val="32"/>
          <w:szCs w:val="32"/>
        </w:rPr>
        <w:t>公车运行维护费支出</w:t>
      </w:r>
      <w:r>
        <w:rPr>
          <w:rFonts w:hint="eastAsia" w:ascii="仿宋_GB2312" w:hAnsi="Times New Roman" w:eastAsia="仿宋_GB2312" w:cs="Wingdings"/>
          <w:sz w:val="32"/>
          <w:szCs w:val="32"/>
          <w:lang w:eastAsia="zh-CN"/>
        </w:rPr>
        <w:t>与年初预算数持平</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2.49</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99.60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2019年度公务车于2019年7月份购置，公务车运行维护费为0.01万元</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highlight w:val="yellow"/>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与年初预算数持平</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上年没有公务接待费相关支出。</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0" w:firstLineChars="200"/>
        <w:rPr>
          <w:rFonts w:ascii="楷体_GB2312" w:hAnsi="楷体_GB2312" w:eastAsia="楷体_GB2312" w:cs="楷体_GB2312"/>
          <w:b/>
          <w:bCs/>
          <w:sz w:val="32"/>
          <w:szCs w:val="32"/>
        </w:rPr>
      </w:pPr>
      <w:r>
        <w:rPr>
          <w:rFonts w:hint="eastAsia" w:ascii="仿宋_GB2312" w:hAnsi="仿宋_GB2312" w:eastAsia="仿宋_GB2312" w:cs="仿宋_GB2312"/>
          <w:b w:val="0"/>
          <w:bCs w:val="0"/>
          <w:sz w:val="32"/>
          <w:szCs w:val="32"/>
        </w:rPr>
        <w:t>（一）预算绩效管理工作开展情况。</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根据预算绩效管理要求，本部门组织对2020年度项目支出全面开展绩效自评，其中，一般公共预算一级项目</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个，二级项目</w:t>
      </w:r>
      <w:r>
        <w:rPr>
          <w:rFonts w:hint="eastAsia" w:ascii="仿宋_GB2312" w:hAnsi="仿宋_GB2312" w:eastAsia="仿宋_GB2312" w:cs="仿宋_GB2312"/>
          <w:b w:val="0"/>
          <w:bCs w:val="0"/>
          <w:sz w:val="32"/>
          <w:szCs w:val="32"/>
          <w:lang w:val="en-US" w:eastAsia="zh-CN"/>
        </w:rPr>
        <w:t>65</w:t>
      </w:r>
      <w:r>
        <w:rPr>
          <w:rFonts w:hint="eastAsia" w:ascii="仿宋_GB2312" w:hAnsi="仿宋_GB2312" w:eastAsia="仿宋_GB2312" w:cs="仿宋_GB2312"/>
          <w:b w:val="0"/>
          <w:bCs w:val="0"/>
          <w:sz w:val="32"/>
          <w:szCs w:val="32"/>
        </w:rPr>
        <w:t>个，共涉及资金</w:t>
      </w:r>
      <w:r>
        <w:rPr>
          <w:rFonts w:hint="eastAsia" w:ascii="仿宋_GB2312" w:hAnsi="仿宋_GB2312" w:eastAsia="仿宋_GB2312" w:cs="仿宋_GB2312"/>
          <w:b w:val="0"/>
          <w:bCs w:val="0"/>
          <w:sz w:val="32"/>
          <w:szCs w:val="32"/>
          <w:lang w:val="en-US" w:eastAsia="zh-CN"/>
        </w:rPr>
        <w:t>5084.72</w:t>
      </w:r>
      <w:r>
        <w:rPr>
          <w:rFonts w:hint="eastAsia" w:ascii="仿宋_GB2312" w:hAnsi="仿宋_GB2312" w:eastAsia="仿宋_GB2312" w:cs="仿宋_GB2312"/>
          <w:b w:val="0"/>
          <w:bCs w:val="0"/>
          <w:sz w:val="32"/>
          <w:szCs w:val="32"/>
        </w:rPr>
        <w:t>万元，占一般公共预算项目支出总额的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；政府性基金预算一级项目</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个，二级项目</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个,共涉及资金</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万元，占政府性基金预算项目支出总额的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p>
    <w:p>
      <w:pPr>
        <w:adjustRightInd w:val="0"/>
        <w:snapToGrid w:val="0"/>
        <w:spacing w:line="600" w:lineRule="exact"/>
        <w:ind w:firstLine="640" w:firstLineChars="200"/>
        <w:rPr>
          <w:rFonts w:ascii="楷体_GB2312" w:hAnsi="楷体_GB2312" w:eastAsia="楷体_GB2312" w:cs="楷体_GB2312"/>
          <w:b/>
          <w:bCs/>
          <w:sz w:val="32"/>
          <w:szCs w:val="32"/>
        </w:rPr>
      </w:pPr>
      <w:r>
        <w:rPr>
          <w:rFonts w:hint="eastAsia" w:ascii="仿宋_GB2312" w:hAnsi="仿宋_GB2312" w:eastAsia="仿宋_GB2312" w:cs="仿宋_GB2312"/>
          <w:b w:val="0"/>
          <w:bCs w:val="0"/>
          <w:sz w:val="32"/>
          <w:szCs w:val="32"/>
        </w:rPr>
        <w:t>（二） 部门决算中项目绩效自评结果</w:t>
      </w:r>
      <w:r>
        <w:rPr>
          <w:rFonts w:hint="eastAsia" w:ascii="楷体_GB2312" w:hAnsi="楷体_GB2312" w:eastAsia="楷体_GB2312" w:cs="楷体_GB2312"/>
          <w:b/>
          <w:bCs/>
          <w:sz w:val="32"/>
          <w:szCs w:val="32"/>
        </w:rPr>
        <w:t>。</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本部门在今年部门决算公开中反映</w:t>
      </w:r>
      <w:r>
        <w:rPr>
          <w:rFonts w:hint="eastAsia" w:ascii="仿宋_GB2312" w:hAnsi="仿宋_GB2312" w:eastAsia="仿宋_GB2312" w:cs="仿宋_GB2312"/>
          <w:b w:val="0"/>
          <w:bCs w:val="0"/>
          <w:sz w:val="32"/>
          <w:szCs w:val="32"/>
          <w:lang w:eastAsia="zh-CN"/>
        </w:rPr>
        <w:t>抗疫特别国债</w:t>
      </w:r>
      <w:r>
        <w:rPr>
          <w:rFonts w:hint="eastAsia" w:ascii="仿宋_GB2312" w:hAnsi="仿宋_GB2312" w:eastAsia="仿宋_GB2312" w:cs="仿宋_GB2312"/>
          <w:b w:val="0"/>
          <w:bCs w:val="0"/>
          <w:sz w:val="32"/>
          <w:szCs w:val="32"/>
        </w:rPr>
        <w:t>项目及绩效自评结果。</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抗疫特别国债</w:t>
      </w:r>
      <w:r>
        <w:rPr>
          <w:rFonts w:hint="eastAsia" w:ascii="仿宋_GB2312" w:hAnsi="仿宋_GB2312" w:eastAsia="仿宋_GB2312" w:cs="仿宋_GB2312"/>
          <w:b w:val="0"/>
          <w:bCs w:val="0"/>
          <w:sz w:val="32"/>
          <w:szCs w:val="32"/>
        </w:rPr>
        <w:t>项目自评综述：根据年初设定的绩效目标，</w:t>
      </w:r>
      <w:r>
        <w:rPr>
          <w:rFonts w:hint="eastAsia" w:ascii="仿宋_GB2312" w:hAnsi="仿宋_GB2312" w:eastAsia="仿宋_GB2312" w:cs="仿宋_GB2312"/>
          <w:b w:val="0"/>
          <w:bCs w:val="0"/>
          <w:sz w:val="32"/>
          <w:szCs w:val="32"/>
          <w:lang w:eastAsia="zh-CN"/>
        </w:rPr>
        <w:t>抗疫特别国债</w:t>
      </w:r>
      <w:r>
        <w:rPr>
          <w:rFonts w:hint="eastAsia" w:ascii="仿宋_GB2312" w:hAnsi="仿宋_GB2312" w:eastAsia="仿宋_GB2312" w:cs="仿宋_GB2312"/>
          <w:b w:val="0"/>
          <w:bCs w:val="0"/>
          <w:sz w:val="32"/>
          <w:szCs w:val="32"/>
        </w:rPr>
        <w:t>项目绩效自评得分为</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分（绩效自评表附后）。全年预算数为</w:t>
      </w:r>
      <w:r>
        <w:rPr>
          <w:rFonts w:hint="eastAsia" w:ascii="仿宋_GB2312" w:hAnsi="仿宋_GB2312" w:eastAsia="仿宋_GB2312" w:cs="仿宋_GB2312"/>
          <w:b w:val="0"/>
          <w:bCs w:val="0"/>
          <w:sz w:val="32"/>
          <w:szCs w:val="32"/>
          <w:lang w:val="en-US" w:eastAsia="zh-CN"/>
        </w:rPr>
        <w:t>49.00</w:t>
      </w:r>
      <w:r>
        <w:rPr>
          <w:rFonts w:hint="eastAsia" w:ascii="仿宋_GB2312" w:hAnsi="仿宋_GB2312" w:eastAsia="仿宋_GB2312" w:cs="仿宋_GB2312"/>
          <w:b w:val="0"/>
          <w:bCs w:val="0"/>
          <w:sz w:val="32"/>
          <w:szCs w:val="32"/>
        </w:rPr>
        <w:t>万元，执行数为</w:t>
      </w:r>
      <w:r>
        <w:rPr>
          <w:rFonts w:hint="eastAsia" w:ascii="仿宋_GB2312" w:hAnsi="仿宋_GB2312" w:eastAsia="仿宋_GB2312" w:cs="仿宋_GB2312"/>
          <w:b w:val="0"/>
          <w:bCs w:val="0"/>
          <w:sz w:val="32"/>
          <w:szCs w:val="32"/>
          <w:lang w:val="en-US" w:eastAsia="zh-CN"/>
        </w:rPr>
        <w:t>49.00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p>
    <w:p>
      <w:pPr>
        <w:numPr>
          <w:ilvl w:val="0"/>
          <w:numId w:val="6"/>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项目绩效目标完成情况：</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一、资金情况分析。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抗疫特别国债资金</w:t>
      </w:r>
      <w:r>
        <w:rPr>
          <w:rFonts w:hint="eastAsia" w:ascii="仿宋_GB2312" w:hAnsi="仿宋_GB2312" w:eastAsia="仿宋_GB2312" w:cs="仿宋_GB2312"/>
          <w:b w:val="0"/>
          <w:bCs w:val="0"/>
          <w:sz w:val="32"/>
          <w:szCs w:val="32"/>
          <w:lang w:eastAsia="zh-CN"/>
        </w:rPr>
        <w:t>由满城区财政</w:t>
      </w:r>
      <w:r>
        <w:rPr>
          <w:rFonts w:hint="eastAsia" w:ascii="仿宋_GB2312" w:hAnsi="仿宋_GB2312" w:eastAsia="仿宋_GB2312" w:cs="仿宋_GB2312"/>
          <w:b w:val="0"/>
          <w:bCs w:val="0"/>
          <w:sz w:val="32"/>
          <w:szCs w:val="32"/>
        </w:rPr>
        <w:t>拨款，根据支出情况拟定项目资金的计划审批表再报送财政局审批，根据</w:t>
      </w:r>
      <w:r>
        <w:rPr>
          <w:rFonts w:hint="eastAsia" w:ascii="仿宋_GB2312" w:hAnsi="仿宋_GB2312" w:eastAsia="仿宋_GB2312" w:cs="仿宋_GB2312"/>
          <w:b w:val="0"/>
          <w:bCs w:val="0"/>
          <w:sz w:val="32"/>
          <w:szCs w:val="32"/>
          <w:lang w:eastAsia="zh-CN"/>
        </w:rPr>
        <w:t>符合条件</w:t>
      </w:r>
      <w:r>
        <w:rPr>
          <w:rFonts w:hint="eastAsia" w:ascii="仿宋_GB2312" w:hAnsi="仿宋_GB2312" w:eastAsia="仿宋_GB2312" w:cs="仿宋_GB2312"/>
          <w:b w:val="0"/>
          <w:bCs w:val="0"/>
          <w:sz w:val="32"/>
          <w:szCs w:val="32"/>
        </w:rPr>
        <w:t>优抚对象实际情况，按时足额拨放经费。项目资金严格按照项目支出的范围、用途控制，坚持专款专用，不挤占挪用。</w:t>
      </w:r>
    </w:p>
    <w:p>
      <w:pPr>
        <w:numPr>
          <w:ilvl w:val="0"/>
          <w:numId w:val="0"/>
        </w:numPr>
        <w:ind w:leftChars="200" w:firstLine="640" w:firstLineChars="200"/>
        <w:outlineLvl w:val="0"/>
        <w:rPr>
          <w:rFonts w:hint="eastAsia" w:ascii="楷体_GB2312" w:hAnsi="黑体" w:eastAsia="楷体_GB2312"/>
          <w:b w:val="0"/>
          <w:bCs/>
          <w:sz w:val="32"/>
          <w:szCs w:val="32"/>
        </w:rPr>
      </w:pPr>
      <w:r>
        <w:rPr>
          <w:rFonts w:hint="eastAsia" w:ascii="楷体_GB2312" w:hAnsi="黑体" w:eastAsia="楷体_GB2312"/>
          <w:b w:val="0"/>
          <w:bCs/>
          <w:sz w:val="32"/>
          <w:szCs w:val="32"/>
          <w:lang w:eastAsia="zh-CN"/>
        </w:rPr>
        <w:t>二、总体目标完成情况分析。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总体绩效目标完成良好，根据</w:t>
      </w:r>
      <w:r>
        <w:rPr>
          <w:rFonts w:hint="eastAsia" w:ascii="仿宋_GB2312" w:hAnsi="仿宋_GB2312" w:eastAsia="仿宋_GB2312" w:cs="仿宋_GB2312"/>
          <w:b w:val="0"/>
          <w:bCs w:val="0"/>
          <w:sz w:val="32"/>
          <w:szCs w:val="32"/>
          <w:lang w:eastAsia="zh-CN"/>
        </w:rPr>
        <w:t>符合条件的</w:t>
      </w:r>
      <w:r>
        <w:rPr>
          <w:rFonts w:hint="eastAsia" w:ascii="仿宋_GB2312" w:hAnsi="仿宋_GB2312" w:eastAsia="仿宋_GB2312" w:cs="仿宋_GB2312"/>
          <w:b w:val="0"/>
          <w:bCs w:val="0"/>
          <w:sz w:val="32"/>
          <w:szCs w:val="32"/>
        </w:rPr>
        <w:t>优抚对象实际情况，按时足额拨放经费。提高优抚对象生活待遇，保持退役军人基本稳定</w:t>
      </w:r>
      <w:r>
        <w:rPr>
          <w:rFonts w:hint="eastAsia" w:ascii="仿宋_GB2312" w:hAnsi="仿宋_GB2312" w:eastAsia="仿宋_GB2312" w:cs="仿宋_GB2312"/>
          <w:b w:val="0"/>
          <w:bCs w:val="0"/>
          <w:sz w:val="32"/>
          <w:szCs w:val="32"/>
          <w:lang w:eastAsia="zh-CN"/>
        </w:rPr>
        <w:t>。</w:t>
      </w:r>
    </w:p>
    <w:p>
      <w:pPr>
        <w:pStyle w:val="2"/>
        <w:numPr>
          <w:ilvl w:val="0"/>
          <w:numId w:val="0"/>
        </w:numPr>
        <w:ind w:leftChars="200"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三、绩效指标完成情况分析。</w:t>
      </w:r>
    </w:p>
    <w:p>
      <w:pPr>
        <w:adjustRightInd w:val="0"/>
        <w:snapToGrid w:val="0"/>
        <w:spacing w:line="600" w:lineRule="exact"/>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1.产出指标完成情况分析。</w:t>
      </w:r>
    </w:p>
    <w:p>
      <w:pPr>
        <w:adjustRightInd w:val="0"/>
        <w:snapToGrid w:val="0"/>
        <w:spacing w:line="600" w:lineRule="exact"/>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（1）数量指标。</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补助率的年度指标值100%，全年完成值100%，数量指标完成。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（2）质量指标。</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指标值100%，全年完成值100%，质量指标完成。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时效指标。</w:t>
      </w:r>
    </w:p>
    <w:p>
      <w:pPr>
        <w:adjustRightInd w:val="0"/>
        <w:snapToGrid w:val="0"/>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达到预期值，按时拨付率在</w:t>
      </w:r>
      <w:r>
        <w:rPr>
          <w:rFonts w:hint="eastAsia" w:ascii="仿宋_GB2312" w:hAnsi="仿宋_GB2312" w:eastAsia="仿宋_GB2312" w:cs="仿宋_GB2312"/>
          <w:b w:val="0"/>
          <w:bCs w:val="0"/>
          <w:sz w:val="32"/>
          <w:szCs w:val="32"/>
          <w:lang w:val="en-US" w:eastAsia="zh-CN"/>
        </w:rPr>
        <w:t>100%</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（4）成本指标。</w:t>
      </w:r>
    </w:p>
    <w:p>
      <w:pPr>
        <w:adjustRightInd w:val="0"/>
        <w:snapToGrid w:val="0"/>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资金成本</w:t>
      </w:r>
      <w:r>
        <w:rPr>
          <w:rFonts w:hint="eastAsia" w:ascii="仿宋_GB2312" w:hAnsi="仿宋_GB2312" w:eastAsia="仿宋_GB2312" w:cs="仿宋_GB2312"/>
          <w:b w:val="0"/>
          <w:bCs w:val="0"/>
          <w:sz w:val="32"/>
          <w:szCs w:val="32"/>
          <w:lang w:val="en-US" w:eastAsia="zh-CN"/>
        </w:rPr>
        <w:t>49万元，执行49万元，成本指标完成。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2.效益指标完成情况分析。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 w:hAnsi="仿宋" w:eastAsia="仿宋" w:cs="仿宋"/>
          <w:sz w:val="32"/>
          <w:szCs w:val="32"/>
        </w:rPr>
        <w:t>（</w:t>
      </w:r>
      <w:r>
        <w:rPr>
          <w:rFonts w:hint="eastAsia" w:ascii="仿宋_GB2312" w:hAnsi="仿宋_GB2312" w:eastAsia="仿宋_GB2312" w:cs="仿宋_GB2312"/>
          <w:b w:val="0"/>
          <w:bCs w:val="0"/>
          <w:sz w:val="32"/>
          <w:szCs w:val="32"/>
        </w:rPr>
        <w:t>1）经济效益。</w:t>
      </w:r>
    </w:p>
    <w:p>
      <w:pPr>
        <w:adjustRightInd w:val="0"/>
        <w:snapToGrid w:val="0"/>
        <w:spacing w:line="60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补贴发放率</w:t>
      </w:r>
      <w:r>
        <w:rPr>
          <w:rFonts w:hint="eastAsia" w:ascii="仿宋_GB2312" w:hAnsi="仿宋_GB2312" w:eastAsia="仿宋_GB2312" w:cs="仿宋_GB2312"/>
          <w:b w:val="0"/>
          <w:bCs w:val="0"/>
          <w:sz w:val="32"/>
          <w:szCs w:val="32"/>
          <w:lang w:val="en-US" w:eastAsia="zh-CN"/>
        </w:rPr>
        <w:t>100%，经济效益指标完成。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（2）社会效益。</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完成值100%，提高了退役军人群体的生活水平</w:t>
      </w:r>
      <w:r>
        <w:rPr>
          <w:rFonts w:hint="eastAsia" w:ascii="仿宋_GB2312" w:hAnsi="仿宋_GB2312" w:eastAsia="仿宋_GB2312" w:cs="仿宋_GB2312"/>
          <w:b w:val="0"/>
          <w:bCs w:val="0"/>
          <w:sz w:val="32"/>
          <w:szCs w:val="32"/>
          <w:lang w:eastAsia="zh-CN"/>
        </w:rPr>
        <w:t>。</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（3）生态效益。</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无。</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可持续影响。</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无。</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3.满意度指标完成情况分析。</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服务群体满意度在90%以上，稳定了社会秩序</w:t>
      </w:r>
      <w:r>
        <w:rPr>
          <w:rFonts w:hint="eastAsia" w:ascii="仿宋_GB2312" w:hAnsi="仿宋_GB2312" w:eastAsia="仿宋_GB2312" w:cs="仿宋_GB2312"/>
          <w:b w:val="0"/>
          <w:bCs w:val="0"/>
          <w:sz w:val="32"/>
          <w:szCs w:val="32"/>
          <w:lang w:eastAsia="zh-CN"/>
        </w:rPr>
        <w:t>。</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发现的主要问题和改进措施</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无。</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绩效自评结果拟应用情况</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本自评结果拟用于与今后项目资金的申请和使用。</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六、绩效自评工作开展情况</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通过</w:t>
      </w:r>
      <w:r>
        <w:rPr>
          <w:rFonts w:hint="eastAsia" w:ascii="仿宋_GB2312" w:hAnsi="仿宋_GB2312" w:eastAsia="仿宋_GB2312" w:cs="仿宋_GB2312"/>
          <w:b w:val="0"/>
          <w:bCs w:val="0"/>
          <w:sz w:val="32"/>
          <w:szCs w:val="32"/>
        </w:rPr>
        <w:t>绩效自评工作</w:t>
      </w:r>
      <w:r>
        <w:rPr>
          <w:rFonts w:hint="eastAsia" w:ascii="仿宋_GB2312" w:hAnsi="仿宋_GB2312" w:eastAsia="仿宋_GB2312" w:cs="仿宋_GB2312"/>
          <w:b w:val="0"/>
          <w:bCs w:val="0"/>
          <w:sz w:val="32"/>
          <w:szCs w:val="32"/>
          <w:lang w:eastAsia="zh-CN"/>
        </w:rPr>
        <w:t>能更好的了解各个项目指标完成情况。</w:t>
      </w:r>
    </w:p>
    <w:p>
      <w:pPr>
        <w:adjustRightInd w:val="0"/>
        <w:snapToGrid w:val="0"/>
        <w:spacing w:line="600" w:lineRule="exact"/>
        <w:ind w:firstLine="320" w:firstLineChars="1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七、其他需要说明的问题</w:t>
      </w:r>
    </w:p>
    <w:p>
      <w:pPr>
        <w:adjustRightInd w:val="0"/>
        <w:snapToGrid w:val="0"/>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无。</w:t>
      </w:r>
    </w:p>
    <w:p>
      <w:pPr>
        <w:spacing w:line="580" w:lineRule="exact"/>
        <w:rPr>
          <w:rFonts w:hint="eastAsia" w:ascii="仿宋_GB2312" w:hAnsi="仿宋_GB2312" w:eastAsia="仿宋_GB2312" w:cs="仿宋_GB2312"/>
          <w:sz w:val="32"/>
          <w:szCs w:val="32"/>
        </w:rPr>
      </w:pPr>
    </w:p>
    <w:tbl>
      <w:tblPr>
        <w:tblStyle w:val="6"/>
        <w:tblW w:w="8967" w:type="dxa"/>
        <w:tblInd w:w="93" w:type="dxa"/>
        <w:shd w:val="clear" w:color="auto" w:fill="auto"/>
        <w:tblLayout w:type="autofit"/>
        <w:tblCellMar>
          <w:top w:w="0" w:type="dxa"/>
          <w:left w:w="108" w:type="dxa"/>
          <w:bottom w:w="0" w:type="dxa"/>
          <w:right w:w="108" w:type="dxa"/>
        </w:tblCellMar>
      </w:tblPr>
      <w:tblGrid>
        <w:gridCol w:w="588"/>
        <w:gridCol w:w="808"/>
        <w:gridCol w:w="796"/>
        <w:gridCol w:w="1254"/>
        <w:gridCol w:w="536"/>
        <w:gridCol w:w="997"/>
        <w:gridCol w:w="1476"/>
        <w:gridCol w:w="667"/>
        <w:gridCol w:w="596"/>
        <w:gridCol w:w="1249"/>
      </w:tblGrid>
      <w:tr>
        <w:tblPrEx>
          <w:shd w:val="clear" w:color="auto" w:fill="auto"/>
          <w:tblCellMar>
            <w:top w:w="0" w:type="dxa"/>
            <w:left w:w="108" w:type="dxa"/>
            <w:bottom w:w="0" w:type="dxa"/>
            <w:right w:w="108" w:type="dxa"/>
          </w:tblCellMar>
        </w:tblPrEx>
        <w:trPr>
          <w:trHeight w:val="390" w:hRule="atLeast"/>
        </w:trPr>
        <w:tc>
          <w:tcPr>
            <w:tcW w:w="8967" w:type="dxa"/>
            <w:gridSpan w:val="10"/>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保定市满城区退役军人事务局2020年抗疫特别国债项目绩效自评表</w:t>
            </w:r>
          </w:p>
        </w:tc>
      </w:tr>
      <w:tr>
        <w:tblPrEx>
          <w:shd w:val="clear" w:color="auto" w:fill="auto"/>
          <w:tblCellMar>
            <w:top w:w="0" w:type="dxa"/>
            <w:left w:w="108" w:type="dxa"/>
            <w:bottom w:w="0" w:type="dxa"/>
            <w:right w:w="108" w:type="dxa"/>
          </w:tblCellMar>
        </w:tblPrEx>
        <w:trPr>
          <w:trHeight w:val="300" w:hRule="atLeast"/>
        </w:trPr>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757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抗疫国债保障困难群众基本生活补助</w:t>
            </w:r>
          </w:p>
        </w:tc>
      </w:tr>
      <w:tr>
        <w:tblPrEx>
          <w:shd w:val="clear" w:color="auto" w:fill="auto"/>
          <w:tblCellMar>
            <w:top w:w="0" w:type="dxa"/>
            <w:left w:w="108" w:type="dxa"/>
            <w:bottom w:w="0" w:type="dxa"/>
            <w:right w:w="108" w:type="dxa"/>
          </w:tblCellMar>
        </w:tblPrEx>
        <w:trPr>
          <w:trHeight w:val="270" w:hRule="atLeast"/>
        </w:trPr>
        <w:tc>
          <w:tcPr>
            <w:tcW w:w="13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57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480" w:hRule="atLeast"/>
        </w:trPr>
        <w:tc>
          <w:tcPr>
            <w:tcW w:w="13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预算执行情况（万元）</w:t>
            </w:r>
          </w:p>
        </w:tc>
        <w:tc>
          <w:tcPr>
            <w:tcW w:w="20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5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预算数(A)</w:t>
            </w:r>
          </w:p>
        </w:tc>
        <w:tc>
          <w:tcPr>
            <w:tcW w:w="27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执行数(B) </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预算执行率(B/A)</w:t>
            </w:r>
          </w:p>
        </w:tc>
      </w:tr>
      <w:tr>
        <w:tblPrEx>
          <w:shd w:val="clear" w:color="auto" w:fill="auto"/>
          <w:tblCellMar>
            <w:top w:w="0" w:type="dxa"/>
            <w:left w:w="108" w:type="dxa"/>
            <w:bottom w:w="0" w:type="dxa"/>
            <w:right w:w="108" w:type="dxa"/>
          </w:tblCellMar>
        </w:tblPrEx>
        <w:trPr>
          <w:trHeight w:val="270" w:hRule="atLeast"/>
        </w:trPr>
        <w:tc>
          <w:tcPr>
            <w:tcW w:w="13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投资金额</w:t>
            </w:r>
          </w:p>
        </w:tc>
        <w:tc>
          <w:tcPr>
            <w:tcW w:w="15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49万</w:t>
            </w:r>
          </w:p>
        </w:tc>
        <w:tc>
          <w:tcPr>
            <w:tcW w:w="27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108" w:type="dxa"/>
            <w:bottom w:w="0" w:type="dxa"/>
            <w:right w:w="108" w:type="dxa"/>
          </w:tblCellMar>
        </w:tblPrEx>
        <w:trPr>
          <w:trHeight w:val="300" w:hRule="atLeast"/>
        </w:trPr>
        <w:tc>
          <w:tcPr>
            <w:tcW w:w="13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0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其中：抗疫特别国债资金</w:t>
            </w:r>
          </w:p>
        </w:tc>
        <w:tc>
          <w:tcPr>
            <w:tcW w:w="15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49万</w:t>
            </w:r>
          </w:p>
        </w:tc>
        <w:tc>
          <w:tcPr>
            <w:tcW w:w="27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shd w:val="clear" w:color="auto" w:fill="auto"/>
          <w:tblCellMar>
            <w:top w:w="0" w:type="dxa"/>
            <w:left w:w="108" w:type="dxa"/>
            <w:bottom w:w="0" w:type="dxa"/>
            <w:right w:w="108" w:type="dxa"/>
          </w:tblCellMar>
        </w:tblPrEx>
        <w:trPr>
          <w:trHeight w:val="300" w:hRule="atLeast"/>
        </w:trPr>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总体目标</w:t>
            </w:r>
          </w:p>
        </w:tc>
        <w:tc>
          <w:tcPr>
            <w:tcW w:w="43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总体目标</w:t>
            </w:r>
          </w:p>
        </w:tc>
        <w:tc>
          <w:tcPr>
            <w:tcW w:w="39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tblPrEx>
          <w:shd w:val="clear" w:color="auto" w:fill="auto"/>
          <w:tblCellMar>
            <w:top w:w="0" w:type="dxa"/>
            <w:left w:w="108" w:type="dxa"/>
            <w:bottom w:w="0" w:type="dxa"/>
            <w:right w:w="108" w:type="dxa"/>
          </w:tblCellMar>
        </w:tblPrEx>
        <w:trPr>
          <w:trHeight w:val="285"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目标1：足额发放到位</w:t>
            </w:r>
          </w:p>
        </w:tc>
        <w:tc>
          <w:tcPr>
            <w:tcW w:w="39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目标1完成情况：足额发放到位</w:t>
            </w: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目标2：符合条件的优抚对象全覆盖</w:t>
            </w:r>
          </w:p>
        </w:tc>
        <w:tc>
          <w:tcPr>
            <w:tcW w:w="39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1"/>
                <w:lang w:val="en-US" w:eastAsia="zh-CN" w:bidi="ar"/>
              </w:rPr>
              <w:t>目标2完成情况：符合条件的</w:t>
            </w:r>
            <w:r>
              <w:rPr>
                <w:rStyle w:val="12"/>
                <w:lang w:val="en-US" w:eastAsia="zh-CN" w:bidi="ar"/>
              </w:rPr>
              <w:t>优抚对象全覆盖</w:t>
            </w:r>
          </w:p>
        </w:tc>
      </w:tr>
      <w:tr>
        <w:tblPrEx>
          <w:shd w:val="clear" w:color="auto" w:fill="auto"/>
          <w:tblCellMar>
            <w:top w:w="0" w:type="dxa"/>
            <w:left w:w="108" w:type="dxa"/>
            <w:bottom w:w="0" w:type="dxa"/>
            <w:right w:w="108" w:type="dxa"/>
          </w:tblCellMar>
        </w:tblPrEx>
        <w:trPr>
          <w:trHeight w:val="345"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3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目标3：</w:t>
            </w:r>
          </w:p>
        </w:tc>
        <w:tc>
          <w:tcPr>
            <w:tcW w:w="398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目标3完成情况：</w:t>
            </w:r>
          </w:p>
        </w:tc>
      </w:tr>
      <w:tr>
        <w:tblPrEx>
          <w:shd w:val="clear" w:color="auto" w:fill="auto"/>
          <w:tblCellMar>
            <w:top w:w="0" w:type="dxa"/>
            <w:left w:w="108" w:type="dxa"/>
            <w:bottom w:w="0" w:type="dxa"/>
            <w:right w:w="108" w:type="dxa"/>
          </w:tblCellMar>
        </w:tblPrEx>
        <w:trPr>
          <w:trHeight w:val="870" w:hRule="atLeast"/>
        </w:trPr>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指标值     （与绩效目标表数值一致）</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未完成原因和改进措施</w:t>
            </w: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产出指标（50分）</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指标1：发放补贴人数</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7079人</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7079人</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282"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6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指标1：符合条件的优抚对象覆盖率</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指标1：补贴金完成率</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指标1：资金成本</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49万元</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49万元</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效益指标(30分)</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指标1：补贴发放率</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42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指标1：优抚对象生活稳定水平</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生态效益指标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满意度指标（10分）</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指标1：服务对象满意度</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3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114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抗疫特别国债资金执行率（10分）</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抗疫特别国债资金执行率</w:t>
            </w:r>
          </w:p>
        </w:tc>
        <w:tc>
          <w:tcPr>
            <w:tcW w:w="17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抗疫特别国债资金（执行数/预算数)×100%=____</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10分</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413" w:hRule="atLeast"/>
        </w:trPr>
        <w:tc>
          <w:tcPr>
            <w:tcW w:w="645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100分</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100分</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等级：__优_</w:t>
            </w:r>
          </w:p>
        </w:tc>
      </w:tr>
      <w:tr>
        <w:tblPrEx>
          <w:tblCellMar>
            <w:top w:w="0" w:type="dxa"/>
            <w:left w:w="108" w:type="dxa"/>
            <w:bottom w:w="0" w:type="dxa"/>
            <w:right w:w="108" w:type="dxa"/>
          </w:tblCellMar>
        </w:tblPrEx>
        <w:trPr>
          <w:trHeight w:val="2295" w:hRule="atLeast"/>
        </w:trPr>
        <w:tc>
          <w:tcPr>
            <w:tcW w:w="8967" w:type="dxa"/>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注：1.填报单位应以2020年抗疫特别国债绩效目标为基础开展绩效自评（项目绩效自评表中的"指标值"一栏为项目绩效目标申报表相应值），根据指标实际完成情况填报“实际完成值”一栏。                                                                                                                                                                                                                                                                                 2.一级指标分为;"产出指标（50分）、效益指标（30分）、满意度指标（10分）、抗疫特别国债资金执行率（10分）”，三级指标“分值”一栏为一级指标分值分解所得（可平均设定），三级指标“得分”一栏为“（实际完成值/指标值）×分值”,定性指标（主要是指难以量化的指标）由填报单位根据实际工作完成情况自评（分别按照100%-80%（含）、80%-60%（含）、60%-0%合理填写实际完成值），填报单位应真实、客观填报各项三级指标的实际完成值及得分。                                                                                                     3.自评结果分为“优、良、中、差”四个等级,相应赋予分值,四个等级相应的分值区间一般为90分以上、80-90分、60-80分、60分以下。                                                                                                                             4.项目自评指标除绩效目标申报表中相应值外，还应包含“附件6.2020年河北省抗疫特别国债项目情况汇总表”中的对应分类指标。                                                                                                </w:t>
            </w:r>
          </w:p>
        </w:tc>
      </w:tr>
    </w:tbl>
    <w:p>
      <w:pPr>
        <w:adjustRightInd w:val="0"/>
        <w:snapToGrid w:val="0"/>
        <w:spacing w:line="60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lang w:eastAsia="zh-CN"/>
        </w:rPr>
        <w:t>（三</w:t>
      </w:r>
      <w:r>
        <w:rPr>
          <w:rFonts w:hint="eastAsia" w:ascii="黑体" w:hAnsi="黑体" w:eastAsia="黑体" w:cs="黑体"/>
          <w:sz w:val="32"/>
          <w:szCs w:val="32"/>
          <w:lang w:eastAsia="zh-CN"/>
        </w:rPr>
        <w:t>）财政评价项目绩效评价结果</w:t>
      </w:r>
      <w:r>
        <w:rPr>
          <w:rFonts w:hint="eastAsia" w:ascii="仿宋_GB2312" w:hAnsi="仿宋_GB2312" w:eastAsia="仿宋_GB2312" w:cs="仿宋_GB2312"/>
          <w:b w:val="0"/>
          <w:bCs w:val="0"/>
          <w:sz w:val="32"/>
          <w:szCs w:val="32"/>
          <w:lang w:eastAsia="zh-CN"/>
        </w:rPr>
        <w:t>。</w:t>
      </w:r>
    </w:p>
    <w:p>
      <w:pPr>
        <w:adjustRightInd w:val="0"/>
        <w:snapToGrid w:val="0"/>
        <w:spacing w:line="60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2020年度无财政评价项目绩效。</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16.62</w:t>
      </w:r>
      <w:r>
        <w:rPr>
          <w:rFonts w:hint="eastAsia" w:ascii="仿宋_GB2312" w:hAnsi="仿宋_GB2312" w:eastAsia="仿宋_GB2312" w:cs="仿宋_GB2312"/>
          <w:sz w:val="32"/>
          <w:szCs w:val="32"/>
        </w:rPr>
        <w:t>万元，比2019年度</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56.81</w:t>
      </w:r>
      <w:r>
        <w:rPr>
          <w:rFonts w:hint="eastAsia" w:ascii="仿宋_GB2312" w:hAnsi="仿宋_GB2312" w:eastAsia="仿宋_GB2312" w:cs="仿宋_GB2312"/>
          <w:sz w:val="32"/>
          <w:szCs w:val="32"/>
        </w:rPr>
        <w:t>万元，降</w:t>
      </w:r>
      <w:r>
        <w:rPr>
          <w:rFonts w:hint="eastAsia" w:ascii="仿宋_GB2312" w:hAnsi="仿宋_GB2312" w:eastAsia="仿宋_GB2312" w:cs="仿宋_GB2312"/>
          <w:sz w:val="32"/>
          <w:szCs w:val="32"/>
          <w:lang w:eastAsia="zh-CN"/>
        </w:rPr>
        <w:t>低</w:t>
      </w:r>
      <w:r>
        <w:rPr>
          <w:rFonts w:hint="eastAsia" w:ascii="仿宋_GB2312" w:hAnsi="仿宋_GB2312" w:eastAsia="仿宋_GB2312" w:cs="仿宋_GB2312"/>
          <w:sz w:val="32"/>
          <w:szCs w:val="32"/>
          <w:lang w:val="en-US" w:eastAsia="zh-CN"/>
        </w:rPr>
        <w:t>77.37</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2020年度没有发生公务车购置及设备购置情况</w:t>
      </w:r>
      <w:r>
        <w:rPr>
          <w:rFonts w:hint="eastAsia" w:ascii="仿宋_GB2312" w:hAnsi="仿宋_GB2312" w:eastAsia="仿宋_GB2312" w:cs="仿宋_GB2312"/>
          <w:sz w:val="32"/>
          <w:szCs w:val="32"/>
        </w:rPr>
        <w:t>。</w:t>
      </w:r>
    </w:p>
    <w:p>
      <w:pPr>
        <w:keepNext/>
        <w:keepLines/>
        <w:snapToGrid w:val="0"/>
        <w:spacing w:line="600" w:lineRule="exact"/>
        <w:ind w:firstLine="643" w:firstLineChars="200"/>
        <w:outlineLvl w:val="2"/>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八、政府采购情况</w:t>
      </w:r>
    </w:p>
    <w:p>
      <w:pPr>
        <w:snapToGrid w:val="0"/>
        <w:spacing w:line="600" w:lineRule="exact"/>
        <w:ind w:firstLine="640" w:firstLineChars="20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0.00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与上年比没有增加车辆。</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w:t>
      </w:r>
    </w:p>
    <w:p>
      <w:pPr>
        <w:adjustRightInd w:val="0"/>
        <w:snapToGrid w:val="0"/>
        <w:spacing w:line="600" w:lineRule="exact"/>
        <w:ind w:firstLine="640" w:firstLineChars="200"/>
        <w:rPr>
          <w:rFonts w:hint="eastAsia" w:eastAsia="楷体_GB2312"/>
          <w:b/>
          <w:sz w:val="28"/>
          <w:szCs w:val="28"/>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w:t>
      </w:r>
      <w:r>
        <w:rPr>
          <w:rFonts w:hint="eastAsia" w:ascii="仿宋_GB2312" w:hAnsi="仿宋_GB2312" w:eastAsia="仿宋_GB2312" w:cs="仿宋_GB2312"/>
          <w:sz w:val="32"/>
          <w:szCs w:val="32"/>
          <w:lang w:eastAsia="zh-CN"/>
        </w:rPr>
        <w:t>。</w:t>
      </w:r>
    </w:p>
    <w:p>
      <w:pPr>
        <w:jc w:val="both"/>
        <w:rPr>
          <w:rFonts w:hint="eastAsia" w:ascii="宋体" w:hAnsi="宋体" w:eastAsia="宋体" w:cs="宋体"/>
          <w:b/>
          <w:bCs/>
          <w:sz w:val="44"/>
          <w:szCs w:val="44"/>
        </w:rPr>
      </w:pPr>
    </w:p>
    <w:p>
      <w:pPr>
        <w:jc w:val="both"/>
        <w:rPr>
          <w:rFonts w:hint="eastAsia" w:ascii="华文中宋" w:hAnsi="华文中宋" w:eastAsia="华文中宋"/>
          <w:b/>
          <w:bCs/>
          <w:sz w:val="44"/>
          <w:szCs w:val="44"/>
        </w:rPr>
      </w:pPr>
      <w:r>
        <w:rPr>
          <w:rFonts w:hint="eastAsia" w:ascii="宋体" w:hAnsi="宋体" w:eastAsia="宋体" w:cs="宋体"/>
          <w:b/>
          <w:bCs/>
          <w:sz w:val="44"/>
          <w:szCs w:val="44"/>
        </w:rPr>
        <w:t>保定市满城区部门固定资产占用情况表</w:t>
      </w:r>
    </w:p>
    <w:p>
      <w:pPr>
        <w:jc w:val="both"/>
        <w:rPr>
          <w:rFonts w:hint="eastAsia" w:ascii="楷体_GB2312" w:hAnsi="华文中宋" w:eastAsia="楷体_GB2312"/>
          <w:b/>
          <w:bCs/>
          <w:sz w:val="44"/>
          <w:szCs w:val="44"/>
        </w:rPr>
      </w:pPr>
    </w:p>
    <w:p>
      <w:pPr>
        <w:rPr>
          <w:rFonts w:eastAsia="仿宋_GB2312"/>
          <w:sz w:val="28"/>
          <w:szCs w:val="28"/>
        </w:rPr>
      </w:pPr>
      <w:r>
        <w:rPr>
          <w:rFonts w:eastAsia="仿宋_GB2312"/>
          <w:sz w:val="28"/>
          <w:szCs w:val="28"/>
        </w:rPr>
        <w:t>编制部门</w:t>
      </w:r>
      <w:r>
        <w:rPr>
          <w:rFonts w:hint="eastAsia" w:eastAsia="仿宋_GB2312"/>
          <w:sz w:val="28"/>
          <w:szCs w:val="28"/>
          <w:lang w:eastAsia="zh-CN"/>
        </w:rPr>
        <w:t>：保定市满城区退役军人事务局</w:t>
      </w:r>
      <w:r>
        <w:rPr>
          <w:rFonts w:hint="eastAsia" w:eastAsia="仿宋_GB2312"/>
          <w:sz w:val="28"/>
          <w:szCs w:val="28"/>
        </w:rPr>
        <w:t xml:space="preserve"> </w:t>
      </w:r>
      <w:r>
        <w:rPr>
          <w:rFonts w:eastAsia="仿宋_GB2312"/>
          <w:sz w:val="28"/>
          <w:szCs w:val="28"/>
        </w:rPr>
        <w:t>截止日期</w:t>
      </w:r>
      <w:r>
        <w:rPr>
          <w:rFonts w:hint="eastAsia" w:eastAsia="仿宋_GB2312"/>
          <w:sz w:val="28"/>
          <w:szCs w:val="28"/>
          <w:lang w:eastAsia="zh-CN"/>
        </w:rPr>
        <w:t>：</w:t>
      </w:r>
      <w:r>
        <w:rPr>
          <w:rFonts w:eastAsia="仿宋_GB2312"/>
          <w:sz w:val="28"/>
          <w:szCs w:val="28"/>
        </w:rPr>
        <w:t>2020年12月31日</w:t>
      </w:r>
    </w:p>
    <w:tbl>
      <w:tblPr>
        <w:tblStyle w:val="6"/>
        <w:tblW w:w="0" w:type="auto"/>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4334"/>
        <w:gridCol w:w="1205"/>
        <w:gridCol w:w="2407"/>
        <w:gridCol w:w="100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0" w:hRule="atLeast"/>
        </w:trPr>
        <w:tc>
          <w:tcPr>
            <w:tcW w:w="4334" w:type="dxa"/>
            <w:tcBorders>
              <w:bottom w:val="single" w:color="auto" w:sz="6" w:space="0"/>
              <w:right w:val="single" w:color="auto" w:sz="8" w:space="0"/>
            </w:tcBorders>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项  目</w:t>
            </w:r>
          </w:p>
        </w:tc>
        <w:tc>
          <w:tcPr>
            <w:tcW w:w="1205" w:type="dxa"/>
            <w:tcBorders>
              <w:left w:val="single" w:color="auto" w:sz="8" w:space="0"/>
              <w:bottom w:val="single" w:color="auto" w:sz="6" w:space="0"/>
              <w:right w:val="single" w:color="auto" w:sz="8" w:space="0"/>
            </w:tcBorders>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数  量</w:t>
            </w:r>
          </w:p>
        </w:tc>
        <w:tc>
          <w:tcPr>
            <w:tcW w:w="2407" w:type="dxa"/>
            <w:tcBorders>
              <w:left w:val="single" w:color="auto" w:sz="8" w:space="0"/>
              <w:bottom w:val="single" w:color="auto" w:sz="6" w:space="0"/>
              <w:right w:val="single" w:color="auto" w:sz="8" w:space="0"/>
            </w:tcBorders>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价值（金额单位：万元）</w:t>
            </w:r>
          </w:p>
        </w:tc>
        <w:tc>
          <w:tcPr>
            <w:tcW w:w="1006" w:type="dxa"/>
            <w:tcBorders>
              <w:left w:val="single" w:color="auto" w:sz="8" w:space="0"/>
              <w:bottom w:val="single" w:color="auto" w:sz="6" w:space="0"/>
            </w:tcBorders>
            <w:noWrap w:val="0"/>
            <w:vAlign w:val="center"/>
          </w:tcPr>
          <w:p>
            <w:pPr>
              <w:jc w:val="center"/>
              <w:rPr>
                <w:rFonts w:hint="eastAsia" w:ascii="宋体" w:hAnsi="宋体" w:eastAsia="宋体" w:cs="宋体"/>
                <w:b/>
                <w:sz w:val="18"/>
                <w:szCs w:val="18"/>
              </w:rPr>
            </w:pPr>
            <w:r>
              <w:rPr>
                <w:rFonts w:hint="eastAsia" w:ascii="宋体" w:hAnsi="宋体" w:eastAsia="宋体" w:cs="宋体"/>
                <w:b/>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0" w:hRule="atLeast"/>
        </w:trPr>
        <w:tc>
          <w:tcPr>
            <w:tcW w:w="4334" w:type="dxa"/>
            <w:tcBorders>
              <w:top w:val="single" w:color="auto" w:sz="6" w:space="0"/>
              <w:bottom w:val="single" w:color="auto" w:sz="6" w:space="0"/>
              <w:right w:val="single" w:color="auto" w:sz="8"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资产总额</w:t>
            </w:r>
          </w:p>
        </w:tc>
        <w:tc>
          <w:tcPr>
            <w:tcW w:w="1205"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244</w:t>
            </w:r>
          </w:p>
        </w:tc>
        <w:tc>
          <w:tcPr>
            <w:tcW w:w="2407"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65.717811</w:t>
            </w:r>
          </w:p>
        </w:tc>
        <w:tc>
          <w:tcPr>
            <w:tcW w:w="1006" w:type="dxa"/>
            <w:tcBorders>
              <w:top w:val="single" w:color="auto" w:sz="6" w:space="0"/>
              <w:left w:val="single" w:color="auto" w:sz="8" w:space="0"/>
              <w:bottom w:val="single" w:color="auto" w:sz="6" w:space="0"/>
            </w:tcBorders>
            <w:noWrap w:val="0"/>
            <w:vAlign w:val="top"/>
          </w:tcPr>
          <w:p>
            <w:pP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0" w:hRule="atLeast"/>
        </w:trPr>
        <w:tc>
          <w:tcPr>
            <w:tcW w:w="4334" w:type="dxa"/>
            <w:tcBorders>
              <w:top w:val="single" w:color="auto" w:sz="6" w:space="0"/>
              <w:bottom w:val="single" w:color="auto" w:sz="6" w:space="0"/>
              <w:right w:val="single" w:color="auto" w:sz="8"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1、房屋（平方米）</w:t>
            </w:r>
          </w:p>
        </w:tc>
        <w:tc>
          <w:tcPr>
            <w:tcW w:w="1205"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rPr>
            </w:pPr>
          </w:p>
        </w:tc>
        <w:tc>
          <w:tcPr>
            <w:tcW w:w="2407"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rPr>
            </w:pPr>
          </w:p>
        </w:tc>
        <w:tc>
          <w:tcPr>
            <w:tcW w:w="1006" w:type="dxa"/>
            <w:tcBorders>
              <w:top w:val="single" w:color="auto" w:sz="6" w:space="0"/>
              <w:left w:val="single" w:color="auto" w:sz="8" w:space="0"/>
              <w:bottom w:val="single" w:color="auto" w:sz="6" w:space="0"/>
            </w:tcBorders>
            <w:noWrap w:val="0"/>
            <w:vAlign w:val="top"/>
          </w:tcPr>
          <w:p>
            <w:pP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0" w:hRule="atLeast"/>
        </w:trPr>
        <w:tc>
          <w:tcPr>
            <w:tcW w:w="4334" w:type="dxa"/>
            <w:tcBorders>
              <w:top w:val="single" w:color="auto" w:sz="6" w:space="0"/>
              <w:bottom w:val="single" w:color="auto" w:sz="6" w:space="0"/>
              <w:right w:val="single" w:color="auto" w:sz="8"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 xml:space="preserve">   其中：办公用房（平方米）</w:t>
            </w:r>
          </w:p>
        </w:tc>
        <w:tc>
          <w:tcPr>
            <w:tcW w:w="1205"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rPr>
            </w:pPr>
          </w:p>
        </w:tc>
        <w:tc>
          <w:tcPr>
            <w:tcW w:w="2407"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rPr>
            </w:pPr>
          </w:p>
        </w:tc>
        <w:tc>
          <w:tcPr>
            <w:tcW w:w="1006" w:type="dxa"/>
            <w:tcBorders>
              <w:top w:val="single" w:color="auto" w:sz="6" w:space="0"/>
              <w:left w:val="single" w:color="auto" w:sz="8" w:space="0"/>
              <w:bottom w:val="single" w:color="auto" w:sz="6" w:space="0"/>
            </w:tcBorders>
            <w:noWrap w:val="0"/>
            <w:vAlign w:val="top"/>
          </w:tcPr>
          <w:p>
            <w:pP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0" w:hRule="atLeast"/>
        </w:trPr>
        <w:tc>
          <w:tcPr>
            <w:tcW w:w="4334" w:type="dxa"/>
            <w:tcBorders>
              <w:top w:val="single" w:color="auto" w:sz="6" w:space="0"/>
              <w:bottom w:val="single" w:color="auto" w:sz="6" w:space="0"/>
              <w:right w:val="single" w:color="auto" w:sz="8"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2、车辆（台、辆）</w:t>
            </w:r>
          </w:p>
        </w:tc>
        <w:tc>
          <w:tcPr>
            <w:tcW w:w="1205"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407"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17.067611</w:t>
            </w:r>
          </w:p>
        </w:tc>
        <w:tc>
          <w:tcPr>
            <w:tcW w:w="1006" w:type="dxa"/>
            <w:tcBorders>
              <w:top w:val="single" w:color="auto" w:sz="6" w:space="0"/>
              <w:left w:val="single" w:color="auto" w:sz="8" w:space="0"/>
              <w:bottom w:val="single" w:color="auto" w:sz="6" w:space="0"/>
            </w:tcBorders>
            <w:noWrap w:val="0"/>
            <w:vAlign w:val="top"/>
          </w:tcPr>
          <w:p>
            <w:pP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0" w:hRule="atLeast"/>
        </w:trPr>
        <w:tc>
          <w:tcPr>
            <w:tcW w:w="4334" w:type="dxa"/>
            <w:tcBorders>
              <w:top w:val="single" w:color="auto" w:sz="6" w:space="0"/>
              <w:bottom w:val="single" w:color="auto" w:sz="6" w:space="0"/>
              <w:right w:val="single" w:color="auto" w:sz="8"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2、单位在20万元以上的设备</w:t>
            </w:r>
          </w:p>
        </w:tc>
        <w:tc>
          <w:tcPr>
            <w:tcW w:w="1205"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rPr>
            </w:pPr>
          </w:p>
        </w:tc>
        <w:tc>
          <w:tcPr>
            <w:tcW w:w="2407" w:type="dxa"/>
            <w:tcBorders>
              <w:top w:val="single" w:color="auto" w:sz="6" w:space="0"/>
              <w:left w:val="single" w:color="auto" w:sz="8" w:space="0"/>
              <w:bottom w:val="single" w:color="auto" w:sz="6" w:space="0"/>
              <w:right w:val="single" w:color="auto" w:sz="8" w:space="0"/>
            </w:tcBorders>
            <w:noWrap w:val="0"/>
            <w:vAlign w:val="top"/>
          </w:tcPr>
          <w:p>
            <w:pPr>
              <w:jc w:val="right"/>
              <w:rPr>
                <w:rFonts w:hint="eastAsia" w:ascii="宋体" w:hAnsi="宋体" w:eastAsia="宋体" w:cs="宋体"/>
                <w:sz w:val="21"/>
                <w:szCs w:val="21"/>
              </w:rPr>
            </w:pPr>
          </w:p>
        </w:tc>
        <w:tc>
          <w:tcPr>
            <w:tcW w:w="1006" w:type="dxa"/>
            <w:tcBorders>
              <w:top w:val="single" w:color="auto" w:sz="6" w:space="0"/>
              <w:left w:val="single" w:color="auto" w:sz="8" w:space="0"/>
              <w:bottom w:val="single" w:color="auto" w:sz="6" w:space="0"/>
            </w:tcBorders>
            <w:noWrap w:val="0"/>
            <w:vAlign w:val="top"/>
          </w:tcPr>
          <w:p>
            <w:pP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0" w:hRule="atLeast"/>
        </w:trPr>
        <w:tc>
          <w:tcPr>
            <w:tcW w:w="4334" w:type="dxa"/>
            <w:tcBorders>
              <w:top w:val="single" w:color="auto" w:sz="6" w:space="0"/>
              <w:right w:val="single" w:color="auto" w:sz="8" w:space="0"/>
            </w:tcBorders>
            <w:noWrap w:val="0"/>
            <w:vAlign w:val="top"/>
          </w:tcPr>
          <w:p>
            <w:pPr>
              <w:rPr>
                <w:rFonts w:hint="eastAsia" w:ascii="宋体" w:hAnsi="宋体" w:eastAsia="宋体" w:cs="宋体"/>
                <w:sz w:val="21"/>
                <w:szCs w:val="21"/>
              </w:rPr>
            </w:pPr>
            <w:r>
              <w:rPr>
                <w:rFonts w:hint="eastAsia" w:ascii="宋体" w:hAnsi="宋体" w:eastAsia="宋体" w:cs="宋体"/>
                <w:sz w:val="21"/>
                <w:szCs w:val="21"/>
              </w:rPr>
              <w:t>4、其他固定资产</w:t>
            </w:r>
          </w:p>
        </w:tc>
        <w:tc>
          <w:tcPr>
            <w:tcW w:w="1205" w:type="dxa"/>
            <w:tcBorders>
              <w:top w:val="single" w:color="auto" w:sz="6" w:space="0"/>
              <w:left w:val="single" w:color="auto" w:sz="8" w:space="0"/>
              <w:right w:val="single" w:color="auto" w:sz="8" w:space="0"/>
            </w:tcBorders>
            <w:noWrap w:val="0"/>
            <w:vAlign w:val="top"/>
          </w:tcPr>
          <w:p>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243</w:t>
            </w:r>
          </w:p>
        </w:tc>
        <w:tc>
          <w:tcPr>
            <w:tcW w:w="2407" w:type="dxa"/>
            <w:tcBorders>
              <w:top w:val="single" w:color="auto" w:sz="6" w:space="0"/>
              <w:left w:val="single" w:color="auto" w:sz="8" w:space="0"/>
              <w:right w:val="single" w:color="auto" w:sz="8" w:space="0"/>
            </w:tcBorders>
            <w:noWrap w:val="0"/>
            <w:vAlign w:val="top"/>
          </w:tcPr>
          <w:p>
            <w:pPr>
              <w:jc w:val="righ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48.6502</w:t>
            </w:r>
          </w:p>
        </w:tc>
        <w:tc>
          <w:tcPr>
            <w:tcW w:w="1006" w:type="dxa"/>
            <w:tcBorders>
              <w:top w:val="single" w:color="auto" w:sz="6" w:space="0"/>
              <w:left w:val="single" w:color="auto" w:sz="8" w:space="0"/>
            </w:tcBorders>
            <w:noWrap w:val="0"/>
            <w:vAlign w:val="top"/>
          </w:tcPr>
          <w:p>
            <w:pPr>
              <w:rPr>
                <w:rFonts w:hint="eastAsia" w:ascii="宋体" w:hAnsi="宋体" w:eastAsia="宋体" w:cs="宋体"/>
                <w:sz w:val="18"/>
                <w:szCs w:val="18"/>
              </w:rPr>
            </w:pPr>
          </w:p>
        </w:tc>
      </w:tr>
    </w:tbl>
    <w:p>
      <w:pPr>
        <w:pStyle w:val="2"/>
        <w:rPr>
          <w:rFonts w:hint="eastAsia"/>
          <w:lang w:eastAsia="zh-CN"/>
        </w:rPr>
      </w:pP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lang w:eastAsia="zh-CN"/>
        </w:rPr>
        <w:t>国有资本经营预算</w:t>
      </w:r>
      <w:r>
        <w:rPr>
          <w:rFonts w:hint="eastAsia" w:ascii="仿宋_GB2312" w:hAnsi="仿宋_GB2312" w:eastAsia="仿宋_GB2312" w:cs="仿宋_GB2312"/>
          <w:sz w:val="32"/>
          <w:szCs w:val="32"/>
        </w:rPr>
        <w:t>收支及结转结余情况，故</w:t>
      </w:r>
      <w:r>
        <w:rPr>
          <w:rFonts w:hint="eastAsia" w:ascii="仿宋_GB2312" w:hAnsi="仿宋_GB2312" w:eastAsia="仿宋_GB2312" w:cs="仿宋_GB2312"/>
          <w:sz w:val="32"/>
          <w:szCs w:val="32"/>
          <w:lang w:eastAsia="zh-CN"/>
        </w:rPr>
        <w:t>国有资本经营预算财政拨款支出决算</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eastAsia="zh-CN"/>
        </w:rPr>
        <w:t>按要求</w:t>
      </w:r>
      <w:r>
        <w:rPr>
          <w:rFonts w:hint="eastAsia" w:ascii="仿宋_GB2312" w:hAnsi="仿宋_GB2312" w:eastAsia="仿宋_GB2312" w:cs="仿宋_GB2312"/>
          <w:sz w:val="32"/>
          <w:szCs w:val="32"/>
        </w:rPr>
        <w:t>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1"/>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MS UI Gothic"/>
          <w:bCs/>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1"/>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1025"/>
        <w:gridCol w:w="2741"/>
        <w:gridCol w:w="682"/>
        <w:gridCol w:w="1055"/>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2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478"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eastAsia="zh-CN" w:bidi="ar"/>
              </w:rPr>
              <w:t>保定市满城区退役军人事务局</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2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478"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478"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4845.62</w:t>
            </w: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32</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11.00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49.00</w:t>
            </w: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3</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4</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5</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6</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7</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8</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3</w:t>
            </w:r>
            <w:r>
              <w:rPr>
                <w:rFonts w:hint="eastAsia" w:ascii="宋体" w:hAnsi="宋体" w:eastAsia="宋体" w:cs="宋体"/>
                <w:color w:val="000000"/>
                <w:kern w:val="0"/>
                <w:sz w:val="18"/>
                <w:szCs w:val="18"/>
                <w:lang w:val="en-US" w:eastAsia="zh-CN" w:bidi="ar"/>
              </w:rPr>
              <w:t>9</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4408.16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418.18</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42</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43</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4</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5</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6</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7</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8</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4</w:t>
            </w:r>
            <w:r>
              <w:rPr>
                <w:rFonts w:hint="eastAsia" w:ascii="宋体" w:hAnsi="宋体" w:eastAsia="宋体" w:cs="宋体"/>
                <w:color w:val="000000"/>
                <w:kern w:val="0"/>
                <w:sz w:val="18"/>
                <w:szCs w:val="18"/>
                <w:lang w:val="en-US" w:eastAsia="zh-CN" w:bidi="ar"/>
              </w:rPr>
              <w:t>9</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50</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8.28</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51</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二十一、</w:t>
            </w:r>
            <w:r>
              <w:rPr>
                <w:rFonts w:hint="eastAsia" w:ascii="宋体" w:hAnsi="宋体" w:eastAsia="宋体" w:cs="宋体"/>
                <w:color w:val="000000"/>
                <w:kern w:val="0"/>
                <w:sz w:val="18"/>
                <w:szCs w:val="18"/>
                <w:lang w:eastAsia="zh-CN" w:bidi="ar"/>
              </w:rPr>
              <w:t>国有资本经营预算支出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52</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二十二、</w:t>
            </w:r>
            <w:r>
              <w:rPr>
                <w:rFonts w:hint="eastAsia" w:ascii="宋体" w:hAnsi="宋体" w:eastAsia="宋体" w:cs="宋体"/>
                <w:color w:val="000000"/>
                <w:kern w:val="0"/>
                <w:sz w:val="18"/>
                <w:szCs w:val="18"/>
                <w:lang w:eastAsia="zh-CN" w:bidi="ar"/>
              </w:rPr>
              <w:t>灾害防治及应急管理支出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3</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bidi="ar"/>
              </w:rPr>
              <w:t>二十</w:t>
            </w:r>
            <w:r>
              <w:rPr>
                <w:rFonts w:hint="eastAsia" w:ascii="宋体" w:hAnsi="宋体" w:eastAsia="宋体" w:cs="宋体"/>
                <w:color w:val="000000"/>
                <w:kern w:val="0"/>
                <w:sz w:val="18"/>
                <w:szCs w:val="18"/>
                <w:lang w:eastAsia="zh-CN" w:bidi="ar"/>
              </w:rPr>
              <w:t>三、其他支出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4</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24</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bidi="ar"/>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二十四、债务还本支出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55</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25</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bidi="ar"/>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二十五、债务付息支出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56</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bidi="ar"/>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bidi="ar"/>
              </w:rPr>
            </w:pP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26</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bidi="ar"/>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二十六、抗疫特别国债安排的支出</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57</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49.00</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7</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4894.62</w:t>
            </w: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8</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4894.62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使用非财政拨款结余</w:t>
            </w:r>
            <w:bookmarkStart w:id="0" w:name="_GoBack"/>
            <w:bookmarkEnd w:id="0"/>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8</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5</w:t>
            </w:r>
            <w:r>
              <w:rPr>
                <w:rFonts w:hint="eastAsia" w:ascii="宋体" w:hAnsi="宋体" w:eastAsia="宋体" w:cs="宋体"/>
                <w:color w:val="000000"/>
                <w:kern w:val="0"/>
                <w:sz w:val="18"/>
                <w:szCs w:val="18"/>
                <w:lang w:val="en-US" w:eastAsia="zh-CN" w:bidi="ar"/>
              </w:rPr>
              <w:t>9</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2</w:t>
            </w:r>
            <w:r>
              <w:rPr>
                <w:rFonts w:hint="eastAsia" w:ascii="宋体" w:hAnsi="宋体" w:eastAsia="宋体" w:cs="宋体"/>
                <w:color w:val="000000"/>
                <w:kern w:val="0"/>
                <w:sz w:val="18"/>
                <w:szCs w:val="18"/>
                <w:lang w:val="en-US" w:eastAsia="zh-CN" w:bidi="ar"/>
              </w:rPr>
              <w:t>9</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60</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30</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61</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31</w:t>
            </w:r>
          </w:p>
        </w:tc>
        <w:tc>
          <w:tcPr>
            <w:tcW w:w="10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4894.62</w:t>
            </w:r>
          </w:p>
        </w:tc>
        <w:tc>
          <w:tcPr>
            <w:tcW w:w="27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62</w:t>
            </w:r>
          </w:p>
        </w:tc>
        <w:tc>
          <w:tcPr>
            <w:tcW w:w="10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4894.62</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6"/>
        <w:tblW w:w="10276" w:type="dxa"/>
        <w:jc w:val="center"/>
        <w:tblLayout w:type="fixed"/>
        <w:tblCellMar>
          <w:top w:w="0" w:type="dxa"/>
          <w:left w:w="0" w:type="dxa"/>
          <w:bottom w:w="0" w:type="dxa"/>
          <w:right w:w="0" w:type="dxa"/>
        </w:tblCellMar>
      </w:tblPr>
      <w:tblGrid>
        <w:gridCol w:w="41"/>
        <w:gridCol w:w="41"/>
        <w:gridCol w:w="740"/>
        <w:gridCol w:w="3151"/>
        <w:gridCol w:w="1268"/>
        <w:gridCol w:w="1091"/>
        <w:gridCol w:w="954"/>
        <w:gridCol w:w="914"/>
        <w:gridCol w:w="827"/>
        <w:gridCol w:w="623"/>
        <w:gridCol w:w="626"/>
      </w:tblGrid>
      <w:tr>
        <w:tblPrEx>
          <w:tblCellMar>
            <w:top w:w="0" w:type="dxa"/>
            <w:left w:w="0" w:type="dxa"/>
            <w:bottom w:w="0" w:type="dxa"/>
            <w:right w:w="0" w:type="dxa"/>
          </w:tblCellMar>
        </w:tblPrEx>
        <w:trPr>
          <w:trHeight w:val="670" w:hRule="atLeast"/>
          <w:jc w:val="center"/>
        </w:trPr>
        <w:tc>
          <w:tcPr>
            <w:tcW w:w="10276"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5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6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9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1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49"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5241" w:type="dxa"/>
            <w:gridSpan w:val="5"/>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eastAsia="宋体" w:cs="宋体"/>
                <w:color w:val="000000"/>
                <w:kern w:val="0"/>
                <w:sz w:val="20"/>
                <w:szCs w:val="20"/>
                <w:lang w:bidi="ar"/>
              </w:rPr>
              <w:t>部门：</w:t>
            </w:r>
            <w:r>
              <w:rPr>
                <w:rFonts w:hint="eastAsia" w:ascii="宋体" w:hAnsi="宋体" w:eastAsia="宋体" w:cs="宋体"/>
                <w:color w:val="000000"/>
                <w:kern w:val="0"/>
                <w:sz w:val="20"/>
                <w:szCs w:val="20"/>
                <w:lang w:eastAsia="zh-CN" w:bidi="ar"/>
              </w:rPr>
              <w:t>保定市满城区退役军人事务局</w:t>
            </w:r>
          </w:p>
        </w:tc>
        <w:tc>
          <w:tcPr>
            <w:tcW w:w="109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1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07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397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09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95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91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82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6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62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82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315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2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2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1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2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3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0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9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91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8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6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6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3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4894.62</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kern w:val="2"/>
                <w:sz w:val="22"/>
                <w:szCs w:val="24"/>
                <w:lang w:val="en-US" w:eastAsia="zh-CN" w:bidi="ar-SA"/>
              </w:rPr>
            </w:pPr>
            <w:r>
              <w:rPr>
                <w:rFonts w:hint="eastAsia" w:ascii="宋体" w:hAnsi="宋体" w:eastAsia="宋体" w:cs="宋体"/>
                <w:b/>
                <w:color w:val="000000"/>
                <w:sz w:val="22"/>
                <w:lang w:val="en-US" w:eastAsia="zh-CN"/>
              </w:rPr>
              <w:t>4894.62</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一般公共服务支出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11.00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11.00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20103</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政府办公厅（室）及相关机构事务</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11.00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11.00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2010308</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信访事务</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11.00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11.00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社会保障和就业支出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4408.16</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4408.16</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20805</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行政事业单位养老支出</w:t>
            </w:r>
            <w:r>
              <w:rPr>
                <w:rFonts w:hint="eastAsia" w:ascii="宋体" w:hAnsi="宋体" w:eastAsia="宋体" w:cs="宋体"/>
                <w:color w:val="000000"/>
                <w:sz w:val="18"/>
                <w:szCs w:val="18"/>
                <w:lang w:val="en-US" w:eastAsia="zh-CN"/>
              </w:rPr>
              <w:t xml:space="preserve">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41.14</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41.14</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03"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2080505</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机关事业单位基本养老保险缴费支出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36.55</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36.55</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2080506</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机关事业单位职业年金缴费支出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4.60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20808</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抚恤</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3458.53</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3458.53</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2080801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死亡抚恤</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121.46</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121.46</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2080802</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伤残抚恤</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295.19</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295.19</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2080803</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在乡复员、退伍军人生活补助</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2197.41</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2197.41</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2080804</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优抚事业单位支出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12.88</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12.88</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2080805</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义务兵优待</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459.35</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459.35</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2080899</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其他优抚支出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372.24</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372.24</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20809</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退役安置</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698.93</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698.93</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2080901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退役士兵安置</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398.10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398.10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2080902</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军队移交政府的离退休人员安置</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266.12</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266.12</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2080903</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军队移交政府离退休干部管理机构</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0.31</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0.31</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2080904</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退役士兵管理教育</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1.17</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1.17</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2080905</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军队转业干部安置</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33.23</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33.23</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20828</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退役军人管理事务</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207.94</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207.94</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2082801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行政运行</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137.06</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137.06</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2082802</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一般行政管理事务 </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20.99</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20.99</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2082804</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拥军优属</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49.89</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49.89</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20899</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其他社会保障和就业支出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1.61</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1.61</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2089901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其他社会保障和就业支出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1.61</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1.61</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210</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卫生健康支出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418.18</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418.18</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21011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行政事业单位医疗</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7.52</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7.52</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2101101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行政单位医疗</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1.42</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1.42</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2101102</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事业单位医疗</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6.10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6.10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21014</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优抚对象医疗</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410.67</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410.67</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2101401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优抚对象医疗补助</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410.67</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410.67</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221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住房保障支出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8.28</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8.28</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22102</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住房改革支出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8.28</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8.28</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2210201</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住房公积金</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8.28</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8.28</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234</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抗疫特别国债安排的支出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49.00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49.00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23402</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eastAsia="zh-CN"/>
              </w:rPr>
              <w:t>抗疫相关支出</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49.00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49.00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2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2340205</w:t>
            </w:r>
          </w:p>
        </w:tc>
        <w:tc>
          <w:tcPr>
            <w:tcW w:w="31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 xml:space="preserve">    困难群众基本生活补助</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49.00</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kern w:val="2"/>
                <w:sz w:val="22"/>
                <w:szCs w:val="24"/>
                <w:lang w:val="en-US" w:eastAsia="zh-CN" w:bidi="ar-SA"/>
              </w:rPr>
            </w:pPr>
            <w:r>
              <w:rPr>
                <w:rFonts w:hint="eastAsia" w:ascii="宋体" w:hAnsi="宋体" w:eastAsia="宋体" w:cs="宋体"/>
                <w:color w:val="000000"/>
                <w:sz w:val="22"/>
                <w:lang w:val="en-US" w:eastAsia="zh-CN"/>
              </w:rPr>
              <w:t>49.00</w:t>
            </w:r>
          </w:p>
        </w:tc>
        <w:tc>
          <w:tcPr>
            <w:tcW w:w="9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276"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6"/>
        <w:tblW w:w="9846" w:type="dxa"/>
        <w:jc w:val="center"/>
        <w:tblLayout w:type="fixed"/>
        <w:tblCellMar>
          <w:top w:w="0" w:type="dxa"/>
          <w:left w:w="0" w:type="dxa"/>
          <w:bottom w:w="0" w:type="dxa"/>
          <w:right w:w="0" w:type="dxa"/>
        </w:tblCellMar>
      </w:tblPr>
      <w:tblGrid>
        <w:gridCol w:w="730"/>
        <w:gridCol w:w="240"/>
        <w:gridCol w:w="301"/>
        <w:gridCol w:w="2310"/>
        <w:gridCol w:w="545"/>
        <w:gridCol w:w="369"/>
        <w:gridCol w:w="463"/>
        <w:gridCol w:w="464"/>
        <w:gridCol w:w="667"/>
        <w:gridCol w:w="792"/>
        <w:gridCol w:w="286"/>
        <w:gridCol w:w="601"/>
        <w:gridCol w:w="271"/>
        <w:gridCol w:w="574"/>
        <w:gridCol w:w="176"/>
        <w:gridCol w:w="891"/>
        <w:gridCol w:w="166"/>
      </w:tblGrid>
      <w:tr>
        <w:tblPrEx>
          <w:tblCellMar>
            <w:top w:w="0" w:type="dxa"/>
            <w:left w:w="0" w:type="dxa"/>
            <w:bottom w:w="0" w:type="dxa"/>
            <w:right w:w="0" w:type="dxa"/>
          </w:tblCellMar>
        </w:tblPrEx>
        <w:trPr>
          <w:gridAfter w:val="1"/>
          <w:wAfter w:w="166" w:type="dxa"/>
          <w:trHeight w:val="612" w:hRule="atLeast"/>
          <w:jc w:val="center"/>
        </w:trPr>
        <w:tc>
          <w:tcPr>
            <w:tcW w:w="9680" w:type="dxa"/>
            <w:gridSpan w:val="1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7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0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1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14"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27"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59"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87"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45"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23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gridAfter w:val="1"/>
          <w:wAfter w:w="166" w:type="dxa"/>
          <w:trHeight w:val="313" w:hRule="atLeast"/>
          <w:jc w:val="center"/>
        </w:trPr>
        <w:tc>
          <w:tcPr>
            <w:tcW w:w="4958" w:type="dxa"/>
            <w:gridSpan w:val="7"/>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eastAsia="宋体" w:cs="Arial"/>
                <w:color w:val="000000"/>
                <w:sz w:val="18"/>
                <w:szCs w:val="18"/>
                <w:lang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eastAsia="zh-CN" w:bidi="ar"/>
              </w:rPr>
              <w:t>保定市满城区退役军人事务局</w:t>
            </w:r>
          </w:p>
        </w:tc>
        <w:tc>
          <w:tcPr>
            <w:tcW w:w="1131"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7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7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41"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gridAfter w:val="1"/>
          <w:wAfter w:w="166" w:type="dxa"/>
          <w:trHeight w:val="323" w:hRule="atLeast"/>
          <w:jc w:val="center"/>
        </w:trPr>
        <w:tc>
          <w:tcPr>
            <w:tcW w:w="4126"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83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31"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078"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87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75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89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gridAfter w:val="1"/>
          <w:wAfter w:w="166" w:type="dxa"/>
          <w:trHeight w:val="319" w:hRule="atLeast"/>
          <w:jc w:val="center"/>
        </w:trPr>
        <w:tc>
          <w:tcPr>
            <w:tcW w:w="970" w:type="dxa"/>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3156"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83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31"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0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7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75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gridAfter w:val="1"/>
          <w:wAfter w:w="166" w:type="dxa"/>
          <w:trHeight w:val="319" w:hRule="atLeast"/>
          <w:jc w:val="center"/>
        </w:trPr>
        <w:tc>
          <w:tcPr>
            <w:tcW w:w="970"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56"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3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31"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5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12" w:hRule="atLeast"/>
          <w:jc w:val="center"/>
        </w:trPr>
        <w:tc>
          <w:tcPr>
            <w:tcW w:w="970"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156"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3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31"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5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412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83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3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07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87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7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gridAfter w:val="1"/>
          <w:wAfter w:w="166" w:type="dxa"/>
          <w:trHeight w:val="323" w:hRule="atLeast"/>
          <w:jc w:val="center"/>
        </w:trPr>
        <w:tc>
          <w:tcPr>
            <w:tcW w:w="412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4894.62</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194.00</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4700.62</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一般公共服务支出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20103</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政府办公厅（室）及相关机构事务</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2010308</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信访事务</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社会保障和就业支出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4408.16</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178.21</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4229.95</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8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20805</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eastAsia="zh-CN"/>
              </w:rPr>
              <w:t>行政事业单位养老支出</w:t>
            </w:r>
            <w:r>
              <w:rPr>
                <w:rFonts w:hint="eastAsia" w:ascii="宋体" w:hAnsi="宋体" w:eastAsia="宋体" w:cs="宋体"/>
                <w:color w:val="000000"/>
                <w:sz w:val="18"/>
                <w:szCs w:val="18"/>
                <w:lang w:val="en-US" w:eastAsia="zh-CN"/>
              </w:rPr>
              <w:t xml:space="preserve"> </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41.14</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41.14</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2080505</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机关事业单位基本养老保险缴费支出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36.55</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36.55</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2080506</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机关事业单位职业年金缴费支出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4.60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4.60</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抚恤</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3458.53</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3458.53</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死亡抚恤</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121.46</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121.46</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2080802</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伤残抚恤</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295.19</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295.19</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2080803</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在乡复员、退伍军人生活补助</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2197.41</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2197.41</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2080804</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优抚事业单位支出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12.88</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12.88</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2080805</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义务兵优待</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459.35</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459.35</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2080899</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其他优抚支出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372.24</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372.24</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退役安置</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698.93</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698.93</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退役士兵安置</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398.10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398.10</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2080902</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军队移交政府的离退休人员安置</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266.12</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266.12</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2080903</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军队移交政府离退休干部管理机构</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0.31</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0.31</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2080904</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退役士兵管理教育</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2080905</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军队转业干部安置</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33.23</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33.23</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退役军人管理事务</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207.94</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137.06</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70.87</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行政运行</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137.06</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137.06</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2082802</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一般行政管理事务 </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20.99</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20.99</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2082804</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拥军优属</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49.89</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49.89</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20899</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其他社会保障和就业支出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2089901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其他社会保障和就业支出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卫生健康支出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418.18</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7.52</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行政事业单位医疗</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7.52</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7.52</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2101101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180" w:firstLineChars="100"/>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行政单位医疗</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1.42</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1.42</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2101102</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事业单位医疗</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6.10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6.10</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21014</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优抚对象医疗</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2101401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优抚对象医疗补助</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住房保障支出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22102</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住房改革支出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2210201</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住房公积金</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234</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抗疫特别国债安排的支出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49.00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49.00</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23402</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抗疫相关支出</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49.00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49.00</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70"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2340205</w:t>
            </w:r>
          </w:p>
        </w:tc>
        <w:tc>
          <w:tcPr>
            <w:tcW w:w="315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困难群众基本生活补助</w:t>
            </w:r>
          </w:p>
        </w:tc>
        <w:tc>
          <w:tcPr>
            <w:tcW w:w="83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49.00</w:t>
            </w:r>
          </w:p>
        </w:tc>
        <w:tc>
          <w:tcPr>
            <w:tcW w:w="11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49.00</w:t>
            </w:r>
          </w:p>
        </w:tc>
        <w:tc>
          <w:tcPr>
            <w:tcW w:w="87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7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166" w:type="dxa"/>
          <w:trHeight w:val="323" w:hRule="atLeast"/>
          <w:jc w:val="center"/>
        </w:trPr>
        <w:tc>
          <w:tcPr>
            <w:tcW w:w="9680" w:type="dxa"/>
            <w:gridSpan w:val="1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240"/>
        <w:gridCol w:w="3317"/>
        <w:gridCol w:w="995"/>
        <w:gridCol w:w="1868"/>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137"/>
              <w:gridCol w:w="491"/>
              <w:gridCol w:w="764"/>
              <w:gridCol w:w="2441"/>
              <w:gridCol w:w="477"/>
              <w:gridCol w:w="818"/>
              <w:gridCol w:w="873"/>
              <w:gridCol w:w="709"/>
              <w:gridCol w:w="774"/>
              <w:gridCol w:w="252"/>
            </w:tblGrid>
            <w:tr>
              <w:tblPrEx>
                <w:tblCellMar>
                  <w:top w:w="0" w:type="dxa"/>
                  <w:left w:w="108" w:type="dxa"/>
                  <w:bottom w:w="0" w:type="dxa"/>
                  <w:right w:w="108" w:type="dxa"/>
                </w:tblCellMar>
              </w:tblPrEx>
              <w:trPr>
                <w:gridAfter w:val="1"/>
                <w:wAfter w:w="252" w:type="dxa"/>
                <w:trHeight w:val="90" w:hRule="atLeast"/>
              </w:trPr>
              <w:tc>
                <w:tcPr>
                  <w:tcW w:w="213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9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4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7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1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56"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3392" w:type="dxa"/>
                  <w:gridSpan w:val="3"/>
                  <w:tcBorders>
                    <w:top w:val="nil"/>
                    <w:left w:val="nil"/>
                    <w:bottom w:val="nil"/>
                    <w:right w:val="nil"/>
                  </w:tcBorders>
                  <w:shd w:val="clear" w:color="auto" w:fill="auto"/>
                  <w:vAlign w:val="bottom"/>
                </w:tcPr>
                <w:p>
                  <w:pPr>
                    <w:widowControl/>
                    <w:spacing w:line="240" w:lineRule="exact"/>
                    <w:jc w:val="left"/>
                    <w:rPr>
                      <w:rFonts w:hint="eastAsia" w:ascii="Times New Roman" w:hAnsi="Times New Roman" w:eastAsia="宋体" w:cs="Times New Roman"/>
                      <w:kern w:val="0"/>
                      <w:sz w:val="15"/>
                      <w:szCs w:val="15"/>
                      <w:lang w:eastAsia="zh-CN"/>
                    </w:rPr>
                  </w:pPr>
                  <w:r>
                    <w:rPr>
                      <w:rFonts w:hint="eastAsia" w:ascii="宋体" w:hAnsi="宋体" w:eastAsia="宋体" w:cs="Arial"/>
                      <w:color w:val="000000"/>
                      <w:kern w:val="0"/>
                      <w:sz w:val="15"/>
                      <w:szCs w:val="15"/>
                    </w:rPr>
                    <w:t>部门：</w:t>
                  </w:r>
                  <w:r>
                    <w:rPr>
                      <w:rFonts w:hint="eastAsia" w:ascii="宋体" w:hAnsi="宋体" w:eastAsia="宋体" w:cs="Arial"/>
                      <w:color w:val="000000"/>
                      <w:kern w:val="0"/>
                      <w:sz w:val="15"/>
                      <w:szCs w:val="15"/>
                      <w:lang w:eastAsia="zh-CN"/>
                    </w:rPr>
                    <w:t>保定市满城区退役军人事务局</w:t>
                  </w:r>
                </w:p>
              </w:tc>
              <w:tc>
                <w:tcPr>
                  <w:tcW w:w="244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7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1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73"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48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3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6092"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13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9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6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4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7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1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7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09"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77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13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9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6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4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7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1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7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09"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7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4845.62</w:t>
                  </w: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11.00</w:t>
                  </w: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11.00</w:t>
                  </w: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49.00</w:t>
                  </w: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4408.16</w:t>
                  </w: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4408.16</w:t>
                  </w: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418.18</w:t>
                  </w: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418.18</w:t>
                  </w: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49.00</w:t>
                  </w: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49.00</w:t>
                  </w: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4894.62</w:t>
                  </w: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4894.62</w:t>
                  </w: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4845.62</w:t>
                  </w: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49.00</w:t>
                  </w: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9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3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91"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6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4894.62</w:t>
                  </w:r>
                </w:p>
              </w:tc>
              <w:tc>
                <w:tcPr>
                  <w:tcW w:w="244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7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1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4894.62</w:t>
                  </w:r>
                </w:p>
              </w:tc>
              <w:tc>
                <w:tcPr>
                  <w:tcW w:w="87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4845.62</w:t>
                  </w:r>
                </w:p>
              </w:tc>
              <w:tc>
                <w:tcPr>
                  <w:tcW w:w="709"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49.00</w:t>
                  </w:r>
                </w:p>
              </w:tc>
              <w:tc>
                <w:tcPr>
                  <w:tcW w:w="77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31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19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4798" w:type="dxa"/>
            <w:gridSpan w:val="4"/>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eastAsia="宋体" w:cs="Arial"/>
                <w:color w:val="000000"/>
                <w:sz w:val="18"/>
                <w:szCs w:val="18"/>
                <w:lang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eastAsia="zh-CN" w:bidi="ar"/>
              </w:rPr>
              <w:t>保定市满城区退役军人事务局</w:t>
            </w:r>
          </w:p>
        </w:tc>
        <w:tc>
          <w:tcPr>
            <w:tcW w:w="9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19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479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519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48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3317"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99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18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48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31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9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48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31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99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79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9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479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9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4845.62</w:t>
            </w:r>
          </w:p>
        </w:tc>
        <w:tc>
          <w:tcPr>
            <w:tcW w:w="1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194.00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4651.62</w:t>
            </w:r>
          </w:p>
        </w:tc>
      </w:tr>
      <w:tr>
        <w:tblPrEx>
          <w:tblCellMar>
            <w:top w:w="0" w:type="dxa"/>
            <w:left w:w="0" w:type="dxa"/>
            <w:bottom w:w="0" w:type="dxa"/>
            <w:right w:w="0" w:type="dxa"/>
          </w:tblCellMar>
        </w:tblPrEx>
        <w:trPr>
          <w:trHeight w:val="308" w:hRule="atLeast"/>
          <w:jc w:val="center"/>
        </w:trPr>
        <w:tc>
          <w:tcPr>
            <w:tcW w:w="148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w:t>
            </w:r>
          </w:p>
        </w:tc>
        <w:tc>
          <w:tcPr>
            <w:tcW w:w="3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一般公共服务支出</w:t>
            </w:r>
          </w:p>
        </w:tc>
        <w:tc>
          <w:tcPr>
            <w:tcW w:w="9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1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r>
      <w:tr>
        <w:tblPrEx>
          <w:tblCellMar>
            <w:top w:w="0" w:type="dxa"/>
            <w:left w:w="0" w:type="dxa"/>
            <w:bottom w:w="0" w:type="dxa"/>
            <w:right w:w="0" w:type="dxa"/>
          </w:tblCellMar>
        </w:tblPrEx>
        <w:trPr>
          <w:trHeight w:val="308" w:hRule="atLeast"/>
          <w:jc w:val="center"/>
        </w:trPr>
        <w:tc>
          <w:tcPr>
            <w:tcW w:w="148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20103</w:t>
            </w:r>
          </w:p>
        </w:tc>
        <w:tc>
          <w:tcPr>
            <w:tcW w:w="3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政府办公厅（室）及相关机构事务</w:t>
            </w:r>
          </w:p>
        </w:tc>
        <w:tc>
          <w:tcPr>
            <w:tcW w:w="9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1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r>
      <w:tr>
        <w:tblPrEx>
          <w:tblCellMar>
            <w:top w:w="0" w:type="dxa"/>
            <w:left w:w="0" w:type="dxa"/>
            <w:bottom w:w="0" w:type="dxa"/>
            <w:right w:w="0" w:type="dxa"/>
          </w:tblCellMar>
        </w:tblPrEx>
        <w:trPr>
          <w:trHeight w:val="308" w:hRule="atLeast"/>
          <w:jc w:val="center"/>
        </w:trPr>
        <w:tc>
          <w:tcPr>
            <w:tcW w:w="148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2010308</w:t>
            </w:r>
          </w:p>
        </w:tc>
        <w:tc>
          <w:tcPr>
            <w:tcW w:w="3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9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c>
          <w:tcPr>
            <w:tcW w:w="1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11.00</w:t>
            </w:r>
          </w:p>
        </w:tc>
      </w:tr>
      <w:tr>
        <w:tblPrEx>
          <w:tblCellMar>
            <w:top w:w="0" w:type="dxa"/>
            <w:left w:w="0" w:type="dxa"/>
            <w:bottom w:w="0" w:type="dxa"/>
            <w:right w:w="0" w:type="dxa"/>
          </w:tblCellMar>
        </w:tblPrEx>
        <w:trPr>
          <w:trHeight w:val="308" w:hRule="atLeast"/>
          <w:jc w:val="center"/>
        </w:trPr>
        <w:tc>
          <w:tcPr>
            <w:tcW w:w="148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w:t>
            </w:r>
          </w:p>
        </w:tc>
        <w:tc>
          <w:tcPr>
            <w:tcW w:w="3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9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4408.16</w:t>
            </w:r>
          </w:p>
        </w:tc>
        <w:tc>
          <w:tcPr>
            <w:tcW w:w="1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178.21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4229.95</w:t>
            </w:r>
          </w:p>
        </w:tc>
      </w:tr>
      <w:tr>
        <w:tblPrEx>
          <w:tblCellMar>
            <w:top w:w="0" w:type="dxa"/>
            <w:left w:w="0" w:type="dxa"/>
            <w:bottom w:w="0" w:type="dxa"/>
            <w:right w:w="0" w:type="dxa"/>
          </w:tblCellMar>
        </w:tblPrEx>
        <w:trPr>
          <w:trHeight w:val="308" w:hRule="atLeast"/>
          <w:jc w:val="center"/>
        </w:trPr>
        <w:tc>
          <w:tcPr>
            <w:tcW w:w="1481"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20805</w:t>
            </w:r>
          </w:p>
        </w:tc>
        <w:tc>
          <w:tcPr>
            <w:tcW w:w="3317"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行政事业单位养老支出</w:t>
            </w:r>
          </w:p>
        </w:tc>
        <w:tc>
          <w:tcPr>
            <w:tcW w:w="99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41.14</w:t>
            </w:r>
          </w:p>
        </w:tc>
        <w:tc>
          <w:tcPr>
            <w:tcW w:w="1868"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41.14</w:t>
            </w: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2080505</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36.55</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36.55</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2080506</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4.60</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4.60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抚恤</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3458.53</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3458.53</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死亡抚恤</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121.46</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121.46</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2080802</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伤残抚恤</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295.19</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295.19</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2080803</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在乡复员、退伍军人生活补助</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2197.41</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2197.41</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2080804</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优抚事业单位支出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12.88</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12.88</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2080805</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义务兵优待</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459.35</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459.35</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2080899</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其他优抚支出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372.24</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372.24</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退役安置</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698.93</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698.93</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退役士兵安置</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398.10</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398.10</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2080902</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 xml:space="preserve"> 军队移交政府的离退休人员安置</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266.12</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266.12</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2080903</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军队移交政府离退休干部管理机构</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0.31</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0.31</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2080904</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退役士兵管理教育</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1.17</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2080905</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军队转业干部安置</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33.23</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33.23</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退役军人管理事务</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207.94</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137.06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70.87</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2082801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行政运行</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137.06</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137.06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2082802</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一般行政管理事务</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20.99</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20.99</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2082804</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 xml:space="preserve">   拥军优属</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49.89</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49.89</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20899</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其他社会保障和就业支出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2089901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ind w:firstLine="180" w:firstLineChars="10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其他社会保障和就业支出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1.61</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卫生健康支出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418.18</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7.52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行政事业单位医疗</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7.52</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7.52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2101101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1.42</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1.42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2101102</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6.10</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6.10</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21014</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优抚对象医疗</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2101401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优抚对象医疗补助</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410.67</w:t>
            </w: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住房保障支出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22102</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住房改革支出</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481"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2210201</w:t>
            </w:r>
          </w:p>
        </w:tc>
        <w:tc>
          <w:tcPr>
            <w:tcW w:w="3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 xml:space="preserve">  住房公积金</w:t>
            </w:r>
          </w:p>
        </w:tc>
        <w:tc>
          <w:tcPr>
            <w:tcW w:w="99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18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8.28</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r>
    </w:tbl>
    <w:p>
      <w:pPr>
        <w:rPr>
          <w:rFonts w:hint="eastAsia" w:ascii="黑体" w:hAnsi="宋体" w:eastAsia="宋体" w:cs="黑体"/>
          <w:b/>
          <w:bCs/>
          <w:color w:val="000000"/>
          <w:kern w:val="0"/>
          <w:sz w:val="28"/>
          <w:szCs w:val="28"/>
          <w:lang w:eastAsia="zh-CN" w:bidi="ar"/>
        </w:rPr>
        <w:sectPr>
          <w:pgSz w:w="11906" w:h="16838"/>
          <w:pgMar w:top="2098" w:right="1531" w:bottom="1984" w:left="1531" w:header="851" w:footer="992" w:gutter="0"/>
          <w:cols w:space="425" w:num="1"/>
          <w:docGrid w:type="lines" w:linePitch="312" w:charSpace="0"/>
        </w:sectPr>
      </w:pPr>
      <w:r>
        <w:rPr>
          <w:rFonts w:hint="eastAsia" w:ascii="宋体" w:hAnsi="宋体" w:eastAsia="宋体" w:cs="宋体"/>
          <w:sz w:val="20"/>
          <w:szCs w:val="22"/>
        </w:rPr>
        <w:t>注：本表反映部门本年度</w:t>
      </w:r>
      <w:r>
        <w:rPr>
          <w:rFonts w:hint="eastAsia" w:ascii="宋体" w:hAnsi="宋体" w:eastAsia="宋体" w:cs="宋体"/>
          <w:sz w:val="20"/>
          <w:szCs w:val="22"/>
          <w:lang w:eastAsia="zh-CN"/>
        </w:rPr>
        <w:t>一般公共预算财政拨款支出情况。</w:t>
      </w: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3728"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hint="eastAsia" w:ascii="Arial" w:hAnsi="Arial" w:eastAsia="宋体" w:cs="Arial"/>
                <w:color w:val="000000"/>
                <w:sz w:val="16"/>
                <w:szCs w:val="16"/>
                <w:lang w:eastAsia="zh-CN"/>
              </w:rPr>
            </w:pPr>
            <w:r>
              <w:rPr>
                <w:rFonts w:hint="eastAsia" w:ascii="宋体" w:hAnsi="宋体" w:eastAsia="宋体" w:cs="宋体"/>
                <w:color w:val="000000"/>
                <w:kern w:val="0"/>
                <w:sz w:val="16"/>
                <w:szCs w:val="16"/>
                <w:lang w:bidi="ar"/>
              </w:rPr>
              <w:t>部门：</w:t>
            </w:r>
            <w:r>
              <w:rPr>
                <w:rFonts w:hint="eastAsia" w:ascii="宋体" w:hAnsi="宋体" w:eastAsia="宋体" w:cs="宋体"/>
                <w:color w:val="000000"/>
                <w:kern w:val="0"/>
                <w:sz w:val="16"/>
                <w:szCs w:val="16"/>
                <w:lang w:eastAsia="zh-CN" w:bidi="ar"/>
              </w:rPr>
              <w:t>保定市满城区退役军人事务局</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211"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177.13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16.62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74.16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5.01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7.09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14.26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0.11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46.56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2.19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7.86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9.56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3.14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12.45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0.62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2.50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0.05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1.98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177.38</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16.62</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2953"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hint="eastAsia" w:ascii="Arial" w:hAnsi="Arial" w:eastAsia="宋体" w:cs="Arial"/>
                <w:color w:val="000000"/>
                <w:sz w:val="18"/>
                <w:szCs w:val="18"/>
                <w:lang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eastAsia="zh-CN" w:bidi="ar"/>
              </w:rPr>
              <w:t>保定市满城区退役军人事务局</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left" w:pos="443"/>
              </w:tabs>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512"/>
              </w:tabs>
              <w:jc w:val="center"/>
              <w:rPr>
                <w:rFonts w:hint="default" w:ascii="宋体" w:hAnsi="宋体" w:eastAsia="宋体" w:cs="宋体"/>
                <w:color w:val="000000"/>
                <w:szCs w:val="22"/>
                <w:lang w:val="en-US" w:eastAsia="zh-CN"/>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507"/>
              </w:tabs>
              <w:jc w:val="center"/>
              <w:rPr>
                <w:rFonts w:hint="default" w:ascii="宋体" w:hAnsi="宋体" w:eastAsia="宋体" w:cs="宋体"/>
                <w:color w:val="000000"/>
                <w:szCs w:val="22"/>
                <w:lang w:val="en-US" w:eastAsia="zh-CN"/>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592"/>
              </w:tabs>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tabs>
                <w:tab w:val="left" w:pos="541"/>
              </w:tabs>
              <w:jc w:val="center"/>
              <w:rPr>
                <w:rFonts w:hint="default" w:ascii="宋体" w:hAnsi="宋体" w:eastAsia="宋体" w:cs="宋体"/>
                <w:color w:val="000000"/>
                <w:szCs w:val="22"/>
                <w:lang w:val="en-US" w:eastAsia="zh-CN"/>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81"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tabs>
                <w:tab w:val="left" w:pos="416"/>
              </w:tabs>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tabs>
                <w:tab w:val="left" w:pos="599"/>
              </w:tabs>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679"/>
        <w:gridCol w:w="43"/>
        <w:gridCol w:w="43"/>
        <w:gridCol w:w="2370"/>
        <w:gridCol w:w="983"/>
        <w:gridCol w:w="1150"/>
        <w:gridCol w:w="1150"/>
        <w:gridCol w:w="1150"/>
        <w:gridCol w:w="1150"/>
        <w:gridCol w:w="916"/>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hint="eastAsia" w:ascii="Arial" w:hAnsi="Arial" w:cs="Arial" w:eastAsiaTheme="minorEastAsia"/>
                <w:color w:val="000000"/>
                <w:sz w:val="18"/>
                <w:szCs w:val="18"/>
                <w:lang w:eastAsia="zh-CN"/>
              </w:rPr>
            </w:pPr>
            <w:r>
              <w:rPr>
                <w:rFonts w:hint="eastAsia" w:ascii="Arial" w:hAnsi="Arial" w:cs="Arial"/>
                <w:color w:val="000000"/>
                <w:sz w:val="18"/>
                <w:szCs w:val="18"/>
                <w:lang w:eastAsia="zh-CN"/>
              </w:rPr>
              <w:t>保定市满城区退役军人事务局</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337"/>
              </w:tabs>
              <w:jc w:val="center"/>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Cs w:val="22"/>
                <w:lang w:val="en-US" w:eastAsia="zh-CN"/>
              </w:rPr>
            </w:pPr>
            <w:r>
              <w:rPr>
                <w:rFonts w:hint="eastAsia" w:ascii="宋体" w:hAnsi="宋体" w:eastAsia="宋体" w:cs="宋体"/>
                <w:b/>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b/>
                <w:color w:val="000000"/>
                <w:szCs w:val="22"/>
                <w:lang w:val="en-US" w:eastAsia="zh-CN"/>
              </w:rPr>
            </w:pPr>
          </w:p>
        </w:tc>
      </w:tr>
      <w:tr>
        <w:tblPrEx>
          <w:tblCellMar>
            <w:top w:w="0" w:type="dxa"/>
            <w:left w:w="0" w:type="dxa"/>
            <w:bottom w:w="0" w:type="dxa"/>
            <w:right w:w="0" w:type="dxa"/>
          </w:tblCellMar>
        </w:tblPrEx>
        <w:trPr>
          <w:trHeight w:val="276"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234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抗疫特别国债安排的支出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423"/>
              </w:tabs>
              <w:jc w:val="center"/>
              <w:rPr>
                <w:rFonts w:hint="default"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23402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eastAsia" w:ascii="宋体" w:hAnsi="宋体" w:eastAsia="宋体" w:cs="宋体"/>
                <w:color w:val="000000"/>
                <w:szCs w:val="22"/>
                <w:lang w:eastAsia="zh-CN"/>
              </w:rPr>
            </w:pPr>
            <w:r>
              <w:rPr>
                <w:rFonts w:hint="eastAsia" w:ascii="宋体" w:hAnsi="宋体" w:eastAsia="宋体" w:cs="宋体"/>
                <w:color w:val="000000"/>
                <w:szCs w:val="22"/>
                <w:lang w:eastAsia="zh-CN"/>
              </w:rPr>
              <w:t>抗疫相关支出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546"/>
              </w:tabs>
              <w:jc w:val="center"/>
              <w:rPr>
                <w:rFonts w:hint="default"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lang w:val="en-US" w:eastAsia="zh-CN"/>
              </w:rPr>
              <w:t>49.00</w:t>
            </w:r>
          </w:p>
        </w:tc>
        <w:tc>
          <w:tcPr>
            <w:tcW w:w="11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2340205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 xml:space="preserve">  困难群众基本生活补助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383"/>
              </w:tabs>
              <w:jc w:val="center"/>
              <w:rPr>
                <w:rFonts w:hint="default" w:ascii="宋体" w:hAnsi="宋体" w:eastAsia="宋体" w:cs="宋体"/>
                <w:color w:val="000000"/>
                <w:szCs w:val="22"/>
                <w:lang w:val="en-US" w:eastAsia="zh-CN"/>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lang w:val="en-US" w:eastAsia="zh-CN"/>
              </w:rPr>
              <w:t>49.00</w:t>
            </w:r>
          </w:p>
        </w:tc>
        <w:tc>
          <w:tcPr>
            <w:tcW w:w="11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r>
              <w:rPr>
                <w:rFonts w:hint="eastAsia" w:ascii="宋体" w:hAnsi="宋体" w:eastAsia="宋体" w:cs="宋体"/>
                <w:color w:val="000000"/>
                <w:szCs w:val="22"/>
                <w:lang w:val="en-US" w:eastAsia="zh-CN"/>
              </w:rPr>
              <w:t>49.00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eastAsiaTheme="minorEastAsia"/>
          <w:b/>
          <w:sz w:val="20"/>
          <w:szCs w:val="22"/>
          <w:highlight w:val="yellow"/>
          <w:lang w:eastAsia="zh-CN"/>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sz w:val="20"/>
          <w:szCs w:val="22"/>
          <w:lang w:eastAsia="zh-CN"/>
        </w:rPr>
        <w:t>。</w:t>
      </w:r>
      <w:r>
        <w:rPr>
          <w:b/>
          <w:sz w:val="20"/>
          <w:szCs w:val="22"/>
          <w:highlight w:val="yellow"/>
        </w:rPr>
        <w:br w:type="page"/>
      </w:r>
    </w:p>
    <w:tbl>
      <w:tblPr>
        <w:tblStyle w:val="6"/>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hint="eastAsia" w:ascii="Arial" w:hAnsi="Arial" w:cs="Arial" w:eastAsiaTheme="minorEastAsia"/>
                <w:color w:val="000000"/>
                <w:sz w:val="20"/>
                <w:szCs w:val="20"/>
                <w:lang w:eastAsia="zh-CN"/>
              </w:rPr>
            </w:pPr>
            <w:r>
              <w:rPr>
                <w:rFonts w:hint="eastAsia" w:ascii="Arial" w:hAnsi="Arial" w:cs="Arial"/>
                <w:color w:val="000000"/>
                <w:sz w:val="20"/>
                <w:szCs w:val="20"/>
                <w:lang w:eastAsia="zh-CN"/>
              </w:rPr>
              <w:t>保定市满城区退役军人事务局</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eastAsia" w:ascii="黑体" w:hAnsi="黑体" w:eastAsia="宋体" w:cs="黑体"/>
          <w:sz w:val="56"/>
          <w:szCs w:val="72"/>
          <w:highlight w:val="yellow"/>
          <w:lang w:val="en-US" w:eastAsia="zh-CN"/>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lang w:eastAsia="zh-CN"/>
        </w:rPr>
        <w:t>本部门本年度无相关支出情况，按要求空表列示。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微软雅黑">
    <w:panose1 w:val="020B0503020204020204"/>
    <w:charset w:val="86"/>
    <w:family w:val="swiss"/>
    <w:pitch w:val="variable"/>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MS UI Gothic">
    <w:panose1 w:val="020B0600070205080204"/>
    <w:charset w:val="80"/>
    <w:family w:val="swiss"/>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942F4"/>
    <w:multiLevelType w:val="singleLevel"/>
    <w:tmpl w:val="B27942F4"/>
    <w:lvl w:ilvl="0" w:tentative="0">
      <w:start w:val="1"/>
      <w:numFmt w:val="chineseCounting"/>
      <w:suff w:val="nothing"/>
      <w:lvlText w:val="%1、"/>
      <w:lvlJc w:val="left"/>
      <w:rPr>
        <w:rFonts w:hint="eastAsia"/>
      </w:rPr>
    </w:lvl>
  </w:abstractNum>
  <w:abstractNum w:abstractNumId="1">
    <w:nsid w:val="2761EE33"/>
    <w:multiLevelType w:val="singleLevel"/>
    <w:tmpl w:val="2761EE33"/>
    <w:lvl w:ilvl="0" w:tentative="0">
      <w:start w:val="1"/>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abstractNum w:abstractNumId="3">
    <w:nsid w:val="59950409"/>
    <w:multiLevelType w:val="singleLevel"/>
    <w:tmpl w:val="59950409"/>
    <w:lvl w:ilvl="0" w:tentative="0">
      <w:start w:val="1"/>
      <w:numFmt w:val="decimal"/>
      <w:suff w:val="space"/>
      <w:lvlText w:val="%1."/>
      <w:lvlJc w:val="left"/>
    </w:lvl>
  </w:abstractNum>
  <w:abstractNum w:abstractNumId="4">
    <w:nsid w:val="5F222FFA"/>
    <w:multiLevelType w:val="singleLevel"/>
    <w:tmpl w:val="5F222FFA"/>
    <w:lvl w:ilvl="0" w:tentative="0">
      <w:start w:val="1"/>
      <w:numFmt w:val="decimal"/>
      <w:suff w:val="nothing"/>
      <w:lvlText w:val="（%1）"/>
      <w:lvlJc w:val="left"/>
    </w:lvl>
  </w:abstractNum>
  <w:abstractNum w:abstractNumId="5">
    <w:nsid w:val="78C1413D"/>
    <w:multiLevelType w:val="singleLevel"/>
    <w:tmpl w:val="78C1413D"/>
    <w:lvl w:ilvl="0" w:tentative="0">
      <w:start w:val="1"/>
      <w:numFmt w:val="decimal"/>
      <w:suff w:val="space"/>
      <w:lvlText w:val="%1."/>
      <w:lvlJc w:val="left"/>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50A13BE"/>
    <w:rsid w:val="052B016B"/>
    <w:rsid w:val="058765E6"/>
    <w:rsid w:val="058B71E0"/>
    <w:rsid w:val="068B3FF3"/>
    <w:rsid w:val="08A16728"/>
    <w:rsid w:val="0E1908B5"/>
    <w:rsid w:val="0EA325C9"/>
    <w:rsid w:val="0F1D65F5"/>
    <w:rsid w:val="15C929AA"/>
    <w:rsid w:val="187A0E66"/>
    <w:rsid w:val="1B6B4085"/>
    <w:rsid w:val="1F5D154C"/>
    <w:rsid w:val="20555AB9"/>
    <w:rsid w:val="22543E70"/>
    <w:rsid w:val="22B257B3"/>
    <w:rsid w:val="2308146C"/>
    <w:rsid w:val="23E61D96"/>
    <w:rsid w:val="245C188A"/>
    <w:rsid w:val="24B847E4"/>
    <w:rsid w:val="259932F8"/>
    <w:rsid w:val="2759581B"/>
    <w:rsid w:val="2AE073FC"/>
    <w:rsid w:val="2CF26C16"/>
    <w:rsid w:val="2F674770"/>
    <w:rsid w:val="2FB96948"/>
    <w:rsid w:val="32150261"/>
    <w:rsid w:val="3327616A"/>
    <w:rsid w:val="346D43B7"/>
    <w:rsid w:val="34C234F2"/>
    <w:rsid w:val="34C45458"/>
    <w:rsid w:val="350F016C"/>
    <w:rsid w:val="35A448F2"/>
    <w:rsid w:val="35BB4D1C"/>
    <w:rsid w:val="35C83C42"/>
    <w:rsid w:val="35E852B8"/>
    <w:rsid w:val="38774202"/>
    <w:rsid w:val="3A002024"/>
    <w:rsid w:val="3AE52C69"/>
    <w:rsid w:val="3D0F4AB2"/>
    <w:rsid w:val="40EA3202"/>
    <w:rsid w:val="45097267"/>
    <w:rsid w:val="463A7708"/>
    <w:rsid w:val="46D46288"/>
    <w:rsid w:val="4730024C"/>
    <w:rsid w:val="4AE64510"/>
    <w:rsid w:val="4CC6502E"/>
    <w:rsid w:val="4DA139D8"/>
    <w:rsid w:val="4EB528F9"/>
    <w:rsid w:val="4F386DE3"/>
    <w:rsid w:val="50A54EDD"/>
    <w:rsid w:val="51BE2205"/>
    <w:rsid w:val="53761F1E"/>
    <w:rsid w:val="541374FE"/>
    <w:rsid w:val="59017DEE"/>
    <w:rsid w:val="598A6510"/>
    <w:rsid w:val="5A8216A2"/>
    <w:rsid w:val="5AAD4332"/>
    <w:rsid w:val="5D0C63C4"/>
    <w:rsid w:val="5D462F61"/>
    <w:rsid w:val="5FD03A51"/>
    <w:rsid w:val="63682B37"/>
    <w:rsid w:val="646964EC"/>
    <w:rsid w:val="64AC7731"/>
    <w:rsid w:val="64B16989"/>
    <w:rsid w:val="66B45562"/>
    <w:rsid w:val="66D8779A"/>
    <w:rsid w:val="671D60E7"/>
    <w:rsid w:val="67F20B3E"/>
    <w:rsid w:val="69DA2FB6"/>
    <w:rsid w:val="6A4D5F86"/>
    <w:rsid w:val="6D6304B6"/>
    <w:rsid w:val="70BC32C3"/>
    <w:rsid w:val="73D824BD"/>
    <w:rsid w:val="773463DE"/>
    <w:rsid w:val="79870485"/>
    <w:rsid w:val="7B4F170A"/>
    <w:rsid w:val="7EB53129"/>
    <w:rsid w:val="7F0E4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Default"/>
    <w:qFormat/>
    <w:uiPriority w:val="0"/>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 w:type="paragraph" w:styleId="10">
    <w:name w:val="List Paragraph"/>
    <w:basedOn w:val="1"/>
    <w:qFormat/>
    <w:uiPriority w:val="34"/>
    <w:pPr>
      <w:ind w:firstLine="420" w:firstLineChars="200"/>
    </w:pPr>
  </w:style>
  <w:style w:type="character" w:customStyle="1" w:styleId="11">
    <w:name w:val="font51"/>
    <w:basedOn w:val="8"/>
    <w:qFormat/>
    <w:uiPriority w:val="0"/>
    <w:rPr>
      <w:rFonts w:hint="eastAsia" w:ascii="宋体" w:hAnsi="宋体" w:eastAsia="宋体" w:cs="宋体"/>
      <w:color w:val="000000"/>
      <w:sz w:val="18"/>
      <w:szCs w:val="18"/>
      <w:u w:val="none"/>
    </w:rPr>
  </w:style>
  <w:style w:type="character" w:customStyle="1" w:styleId="12">
    <w:name w:val="font101"/>
    <w:basedOn w:val="8"/>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2.bmp"/><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4" Type="http://schemas.openxmlformats.org/officeDocument/2006/relationships/image" Target="../media/image1.svg"/><Relationship Id="rId3" Type="http://schemas.openxmlformats.org/officeDocument/2006/relationships/image" Target="../media/image3.png"/><Relationship Id="rId2" Type="http://schemas.openxmlformats.org/officeDocument/2006/relationships/themeOverride" Target="../theme/themeOverride1.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t>3891.53</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3891.53</c:v>
                </c:pt>
                <c:pt idx="1">
                  <c:v>4894.62</c:v>
                </c:pt>
              </c:numCache>
            </c:numRef>
          </c:val>
        </c:ser>
        <c:dLbls>
          <c:showLegendKey val="0"/>
          <c:showVal val="1"/>
          <c:showCatName val="0"/>
          <c:showSerName val="0"/>
          <c:showPercent val="0"/>
          <c:showBubbleSize val="0"/>
        </c:dLbls>
        <c:gapWidth val="219"/>
        <c:overlap val="-27"/>
        <c:axId val="462451782"/>
        <c:axId val="737457775"/>
      </c:barChart>
      <c:catAx>
        <c:axId val="4624517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737457775"/>
        <c:crosses val="autoZero"/>
        <c:auto val="1"/>
        <c:lblAlgn val="ctr"/>
        <c:lblOffset val="100"/>
        <c:noMultiLvlLbl val="0"/>
      </c:catAx>
      <c:valAx>
        <c:axId val="73745777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4624517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775508169354521"/>
          <c:y val="0.134303750974442"/>
          <c:w val="0.830091459487312"/>
          <c:h val="0.668273444347064"/>
        </c:manualLayout>
      </c:layout>
      <c:pie3DChart>
        <c:varyColors val="1"/>
        <c:ser>
          <c:idx val="0"/>
          <c:order val="0"/>
          <c:tx>
            <c:strRef>
              <c:f>Sheet1!$B$1</c:f>
              <c:strCache>
                <c:ptCount val="1"/>
                <c:pt idx="0">
                  <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c:spPr>
          </c:dPt>
          <c:dPt>
            <c:idx val="1"/>
            <c:bubble3D val="0"/>
            <c:explosion val="1"/>
            <c:spPr>
              <a:solidFill>
                <a:schemeClr val="accent2"/>
              </a:solidFill>
              <a:ln w="2540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c:formatCode>
                <c:ptCount val="2"/>
                <c:pt idx="0">
                  <c:v>0.04</c:v>
                </c:pt>
                <c:pt idx="1">
                  <c:v>0.96</c:v>
                </c:pt>
              </c:numCache>
            </c:numRef>
          </c:val>
        </c:ser>
        <c:ser>
          <c:idx val="1"/>
          <c:order val="1"/>
          <c:tx>
            <c:strRef>
              <c:f>Sheet1!#REF!</c:f>
              <c:strCache>
                <c:ptCount val="1"/>
                <c:pt idx="0">
                  <c:v/>
                </c:pt>
              </c:strCache>
            </c:strRef>
          </c:tx>
          <c:spPr/>
          <c:explosion val="0"/>
          <c:dPt>
            <c:idx val="0"/>
            <c:bubble3D val="0"/>
            <c:spPr>
              <a:solidFill>
                <a:schemeClr val="accent1"/>
              </a:solidFill>
              <a:ln w="2540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c:explosion val="0"/>
          <c:dPt>
            <c:idx val="0"/>
            <c:bubble3D val="0"/>
            <c:spPr>
              <a:solidFill>
                <a:schemeClr val="accent1"/>
              </a:solidFill>
              <a:ln w="2540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floor>
    <c:sideWall>
      <c:thickness val="0"/>
    </c:sideWall>
    <c:backWall>
      <c:thickness val="0"/>
    </c:backWall>
    <c:plotArea>
      <c:layout>
        <c:manualLayout>
          <c:layoutTarget val="inner"/>
          <c:xMode val="edge"/>
          <c:yMode val="edge"/>
          <c:x val="0.00375"/>
          <c:y val="0.005"/>
          <c:w val="0.9925"/>
          <c:h val="0.834166666666667"/>
        </c:manualLayout>
      </c:layout>
      <c:pie3DChart>
        <c:varyColors val="1"/>
        <c:ser>
          <c:idx val="0"/>
          <c:order val="0"/>
          <c:tx>
            <c:strRef>
              <c:f>Sheet1!$B$1</c:f>
              <c:strCache>
                <c:ptCount val="1"/>
                <c:pt idx="0">
                  <c:v>列1</c:v>
                </c:pt>
              </c:strCache>
            </c:strRef>
          </c:tx>
          <c:spPr>
            <a:ln w="22225">
              <a:solidFill>
                <a:schemeClr val="bg1">
                  <a:lumMod val="95000"/>
                </a:schemeClr>
              </a:solidFill>
            </a:ln>
            <a:scene3d>
              <a:camera prst="orthographicFront"/>
              <a:lightRig rig="threePt" dir="t"/>
            </a:scene3d>
            <a:sp3d contourW="22225"/>
          </c:spPr>
          <c:explosion val="0"/>
          <c:dPt>
            <c:idx val="0"/>
            <c:bubble3D val="0"/>
            <c:spPr>
              <a:solidFill>
                <a:srgbClr val="FF0000"/>
              </a:solidFill>
              <a:ln w="22225">
                <a:solidFill>
                  <a:schemeClr val="bg1">
                    <a:lumMod val="95000"/>
                  </a:schemeClr>
                </a:solidFill>
              </a:ln>
              <a:effectLst/>
              <a:scene3d>
                <a:camera prst="orthographicFront"/>
                <a:lightRig rig="threePt" dir="t"/>
              </a:scene3d>
              <a:sp3d contourW="22225">
                <a:contourClr>
                  <a:schemeClr val="lt1"/>
                </a:contourClr>
              </a:sp3d>
            </c:spPr>
          </c:dPt>
          <c:dPt>
            <c:idx val="1"/>
            <c:bubble3D val="0"/>
            <c:explosion val="2"/>
            <c:spPr>
              <a:solidFill>
                <a:srgbClr val="F6A063"/>
              </a:solidFill>
              <a:ln w="22225">
                <a:solidFill>
                  <a:schemeClr val="bg1">
                    <a:lumMod val="95000"/>
                  </a:schemeClr>
                </a:solidFill>
              </a:ln>
              <a:effectLst/>
              <a:scene3d>
                <a:camera prst="orthographicFront"/>
                <a:lightRig rig="threePt" dir="t"/>
              </a:scene3d>
              <a:sp3d contourW="22225">
                <a:contourClr>
                  <a:schemeClr val="lt1"/>
                </a:contourClr>
              </a:sp3d>
            </c:spPr>
          </c:dPt>
          <c:dPt>
            <c:idx val="2"/>
            <c:bubble3D val="0"/>
            <c:spPr>
              <a:solidFill>
                <a:srgbClr val="B7B69A"/>
              </a:solidFill>
              <a:ln w="22225">
                <a:solidFill>
                  <a:schemeClr val="bg1">
                    <a:lumMod val="95000"/>
                  </a:schemeClr>
                </a:solidFill>
              </a:ln>
              <a:effectLst/>
              <a:scene3d>
                <a:camera prst="orthographicFront"/>
                <a:lightRig rig="threePt" dir="t"/>
              </a:scene3d>
              <a:sp3d contourW="22225">
                <a:contourClr>
                  <a:schemeClr val="lt1"/>
                </a:contourClr>
              </a:sp3d>
            </c:spPr>
          </c:dPt>
          <c:dPt>
            <c:idx val="3"/>
            <c:bubble3D val="0"/>
            <c:spPr>
              <a:solidFill>
                <a:srgbClr val="FCE1B6"/>
              </a:solidFill>
              <a:ln w="22225">
                <a:solidFill>
                  <a:schemeClr val="bg1">
                    <a:lumMod val="95000"/>
                  </a:schemeClr>
                </a:solidFill>
              </a:ln>
              <a:effectLst/>
              <a:scene3d>
                <a:camera prst="orthographicFront"/>
                <a:lightRig rig="threePt" dir="t"/>
              </a:scene3d>
              <a:sp3d contourW="22225">
                <a:contourClr>
                  <a:schemeClr val="lt1"/>
                </a:contourClr>
              </a:sp3d>
            </c:spPr>
          </c:dPt>
          <c:dPt>
            <c:idx val="4"/>
            <c:bubble3D val="0"/>
            <c:spPr>
              <a:ln w="22225">
                <a:solidFill>
                  <a:schemeClr val="bg1">
                    <a:lumMod val="95000"/>
                  </a:schemeClr>
                </a:solidFill>
              </a:ln>
              <a:scene3d>
                <a:camera prst="orthographicFront"/>
                <a:lightRig rig="threePt" dir="t"/>
              </a:scene3d>
              <a:sp3d contourW="22225"/>
            </c:spPr>
          </c:dPt>
          <c:dLbls>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chemeClr val="tx1">
                        <a:lumMod val="75000"/>
                        <a:lumOff val="2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一般公共服务</c:v>
                </c:pt>
                <c:pt idx="1">
                  <c:v>社会保障和就业</c:v>
                </c:pt>
                <c:pt idx="2">
                  <c:v>卫生健康支出</c:v>
                </c:pt>
                <c:pt idx="3">
                  <c:v>住房保障支出</c:v>
                </c:pt>
                <c:pt idx="4">
                  <c:v>抗疫特别国债安排的支出</c:v>
                </c:pt>
              </c:strCache>
            </c:strRef>
          </c:cat>
          <c:val>
            <c:numRef>
              <c:f>Sheet1!$B$2:$B$6</c:f>
              <c:numCache>
                <c:formatCode>0.00%</c:formatCode>
                <c:ptCount val="5"/>
                <c:pt idx="0">
                  <c:v>0.0022</c:v>
                </c:pt>
                <c:pt idx="1">
                  <c:v>0.9006</c:v>
                </c:pt>
                <c:pt idx="2">
                  <c:v>0.0854</c:v>
                </c:pt>
                <c:pt idx="3">
                  <c:v>0.0017</c:v>
                </c:pt>
                <c:pt idx="4" c:formatCode="0%">
                  <c:v>0.01</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blipFill>
      <a:blip xmlns:r="http://schemas.openxmlformats.org/officeDocument/2006/relationships" r:embed="rId3">
        <a:extLst>
          <a:ext uri="{96DAC541-7B7A-43D3-8B79-37D633B846F1}">
            <asvg:svgBlip xmlns:asvg="http://schemas.microsoft.com/office/drawing/2016/SVG/main" r:embed="rId4"/>
          </a:ext>
        </a:extLst>
      </a:blip>
      <a:stretch>
        <a:fillRect/>
      </a:stretch>
    </a:blip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35</TotalTime>
  <ScaleCrop>false</ScaleCrop>
  <LinksUpToDate>false</LinksUpToDate>
  <CharactersWithSpaces>11585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七号的雨</cp:lastModifiedBy>
  <dcterms:modified xsi:type="dcterms:W3CDTF">2022-05-24T07:20:31Z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6A0C39F6C7C047CDBBC7A9405DE04532</vt:lpwstr>
  </property>
</Properties>
</file>