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72"/>
          <w:szCs w:val="96"/>
        </w:rPr>
      </w:pPr>
      <w:r>
        <w:drawing>
          <wp:anchor distT="0" distB="0" distL="114300" distR="114300" simplePos="0" relativeHeight="251665408" behindDoc="1" locked="0" layoutInCell="1" allowOverlap="1">
            <wp:simplePos x="0" y="0"/>
            <wp:positionH relativeFrom="column">
              <wp:posOffset>-1002030</wp:posOffset>
            </wp:positionH>
            <wp:positionV relativeFrom="page">
              <wp:posOffset>-31750</wp:posOffset>
            </wp:positionV>
            <wp:extent cx="7615555" cy="10702290"/>
            <wp:effectExtent l="0" t="0" r="4445" b="381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2"/>
                    <a:srcRect/>
                    <a:stretch>
                      <a:fillRect/>
                    </a:stretch>
                  </pic:blipFill>
                  <pic:spPr>
                    <a:xfrm>
                      <a:off x="0" y="0"/>
                      <a:ext cx="7615555" cy="10702290"/>
                    </a:xfrm>
                    <a:prstGeom prst="rect">
                      <a:avLst/>
                    </a:prstGeom>
                  </pic:spPr>
                </pic:pic>
              </a:graphicData>
            </a:graphic>
          </wp:anchor>
        </w:drawing>
      </w: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hint="eastAsia"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hint="default" w:ascii="楷体_GB2312" w:hAnsi="楷体_GB2312" w:eastAsia="楷体_GB2312" w:cs="楷体_GB2312"/>
          <w:color w:val="000000" w:themeColor="text1"/>
          <w:kern w:val="0"/>
          <w:sz w:val="44"/>
          <w:szCs w:val="44"/>
          <w:highlight w:val="yellow"/>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保定市满城区应急管理局</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hint="eastAsia" w:ascii="黑体" w:hAnsi="黑体" w:eastAsia="黑体" w:cs="黑体"/>
          <w:sz w:val="72"/>
          <w:szCs w:val="96"/>
          <w:lang w:val="en-US" w:eastAsia="zh-CN"/>
        </w:rPr>
      </w:pPr>
    </w:p>
    <w:p>
      <w:pPr>
        <w:jc w:val="center"/>
        <w:rPr>
          <w:rFonts w:hint="default" w:ascii="黑体" w:hAnsi="黑体" w:eastAsia="黑体" w:cs="黑体"/>
          <w:sz w:val="72"/>
          <w:szCs w:val="96"/>
          <w:highlight w:val="yellow"/>
          <w:lang w:val="en-US" w:eastAsia="zh-CN"/>
        </w:rPr>
      </w:pPr>
      <w:r>
        <w:rPr>
          <w:rFonts w:hint="eastAsia" w:ascii="黑体" w:hAnsi="黑体" w:eastAsia="黑体" w:cs="黑体"/>
          <w:sz w:val="72"/>
          <w:szCs w:val="96"/>
          <w:lang w:val="en-US" w:eastAsia="zh-CN"/>
        </w:rPr>
        <w:t>保定市满城区应急管理局</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hint="eastAsia" w:ascii="黑体" w:hAnsi="黑体" w:eastAsia="黑体" w:cs="黑体"/>
          <w:sz w:val="56"/>
          <w:szCs w:val="72"/>
          <w:lang w:eastAsia="zh-CN"/>
        </w:rPr>
      </w:pPr>
    </w:p>
    <w:p>
      <w:pPr>
        <w:spacing w:line="480" w:lineRule="auto"/>
        <w:jc w:val="both"/>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both"/>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ind w:firstLine="3840" w:firstLineChars="800"/>
        <w:jc w:val="both"/>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59264"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59264;v-text-anchor:middle;mso-width-relative:page;mso-height-relative:page;" fillcolor="#44964D [1612]" filled="t" stroked="t" coordsize="21600,21600" o:gfxdata="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SyNAytsAAAANAQAADwAAAAAAAAABACAAAAAiAAAAZHJzL2Rv&#10;d25yZXYueG1sUEsBAhQAFAAAAAgAh07iQBdLH66pAgAAcQUAAA4AAAAAAAAAAQAgAAAAKgEAAGRy&#10;cy9lMm9Eb2MueG1sUEsFBgAAAAAGAAYAWQEAAEUGAAAAAA==&#10;">
                <v:fill type="pattern" on="t" color2="#CCE8CF [3212]" o:title="5%" focussize="0,0" r:id="rId13"/>
                <v:stroke weight="1pt" color="#63B96C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负责应急管理工作，指导各级各部门应对安全生产类、自然灾害类等突发事件和综合防灾减灾救灾工作，负责安全生产综合监督管理和工矿商贸行业安全生产监督管理工作。</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拟订应急管理、安全生产等政策规定，组织编制区应急体系建设、安全生产和综合防灾减灾规划，组织制定相关规程和标准并监督实施。</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指导应急预案体系建设，建立完善事故灾难和自然灾害分级应对制度，组织编制区总体应急预案和安全生产类、自然灾害类专项预案，综合协调应急预案衔接工作，组织开展预案演练，推动应急避难设施建设。</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牵头建立统一的全区应急管理信息系统，负责信息传输渠道的规划和布局，建立监测预警和灾情报告制度，健全自然灾害信息资源获取和共享机制，依法统一发布灾情。</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组织指导协调安全生产类、自然灾害类等突发事件应急救援，承担区应对重大灾害指挥部工作，综合研判突发事件发展态势并提出应对建议，协助区委、区政府指定的负责同志组织重大灾害应急处置工作。</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统一协调指挥各类应急专业队伍，建立应急协调联动机制，推进指挥平合对接，衔接解放军和武警部队参与应急救援工作。</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统筹应急救援力量建设，负责消防、森林火灾扑救抗洪抢险、地震和地质灾害救援、生产安全事故救援等专业应急救援力量建设，管理区综合性应急救援队伍，指导各级及社会应急救援力量建设。</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组织协调消防工作，指导各级消防监督、火灾预防、火灾扑救等工作。</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9、</w:t>
      </w:r>
      <w:r>
        <w:rPr>
          <w:rFonts w:hint="eastAsia" w:ascii="仿宋" w:hAnsi="仿宋" w:eastAsia="仿宋" w:cs="仿宋"/>
          <w:sz w:val="30"/>
          <w:szCs w:val="30"/>
        </w:rPr>
        <w:t>指导协调森林火灾、水旱灾害、地震和地质灾害等防治工作，负责自然灾害综合监测预警工作，指导开展自然灾害综合风险评估工作。</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10、</w:t>
      </w:r>
      <w:r>
        <w:rPr>
          <w:rFonts w:hint="eastAsia" w:ascii="仿宋" w:hAnsi="仿宋" w:eastAsia="仿宋" w:cs="仿宋"/>
          <w:sz w:val="30"/>
          <w:szCs w:val="30"/>
        </w:rPr>
        <w:t>组织协调灾害救助工作，组织指导灾情核查、损失评估、救灾捐赠工作，管理、分配区救灾款物并监督使用。</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11、</w:t>
      </w:r>
      <w:r>
        <w:rPr>
          <w:rFonts w:hint="eastAsia" w:ascii="仿宋" w:hAnsi="仿宋" w:eastAsia="仿宋" w:cs="仿宋"/>
          <w:sz w:val="30"/>
          <w:szCs w:val="30"/>
        </w:rPr>
        <w:t>依法行使区安全生产综合监督管理职权，指导协调、监督检查区有关部门和各乡镇政府安全生产工作，组织开展安全生产巡查、考核工作。</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12、</w:t>
      </w:r>
      <w:r>
        <w:rPr>
          <w:rFonts w:hint="eastAsia" w:ascii="仿宋" w:hAnsi="仿宋" w:eastAsia="仿宋" w:cs="仿宋"/>
          <w:sz w:val="30"/>
          <w:szCs w:val="30"/>
        </w:rPr>
        <w:t>按照分级、属地原则，依法监督检查工矿商贸生产经营单位贯彻执行安全生产法律法规情况，及其安全生产条件和有关设备(特种设备除外)、材料、劳动防护用品的安全生产管理工作。依法组织并指导监督实施安全生产准入制度。负责危险化学品安全监督管理综合工作和烟花爆竹安全生产监督管理工。</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13、</w:t>
      </w:r>
      <w:r>
        <w:rPr>
          <w:rFonts w:hint="eastAsia" w:ascii="仿宋" w:hAnsi="仿宋" w:eastAsia="仿宋" w:cs="仿宋"/>
          <w:sz w:val="30"/>
          <w:szCs w:val="30"/>
        </w:rPr>
        <w:t>依法组织指导生产安全事故调查处理，监督事故查处和责任追究落实情况。组织开展自然灾害类突发事件的调查评估工作。</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14、</w:t>
      </w:r>
      <w:r>
        <w:rPr>
          <w:rFonts w:hint="eastAsia" w:ascii="仿宋" w:hAnsi="仿宋" w:eastAsia="仿宋" w:cs="仿宋"/>
          <w:sz w:val="30"/>
          <w:szCs w:val="30"/>
        </w:rPr>
        <w:t>制定应急物资储备和应急救援装备规划并组织实施，会同区粮食和物资储备等部门建立健全应急物资信息平台和调拨制度，在救灾时统一调度。</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15、</w:t>
      </w:r>
      <w:r>
        <w:rPr>
          <w:rFonts w:hint="eastAsia" w:ascii="仿宋" w:hAnsi="仿宋" w:eastAsia="仿宋" w:cs="仿宋"/>
          <w:sz w:val="30"/>
          <w:szCs w:val="30"/>
        </w:rPr>
        <w:t>负责应急管理、安全生产宣传教育和培训工作，组织指导应急管理、安全生产的科学技术研究、推广应用和信息化建设工作。</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16、</w:t>
      </w:r>
      <w:r>
        <w:rPr>
          <w:rFonts w:hint="eastAsia" w:ascii="仿宋" w:hAnsi="仿宋" w:eastAsia="仿宋" w:cs="仿宋"/>
          <w:sz w:val="30"/>
          <w:szCs w:val="30"/>
        </w:rPr>
        <w:t>负责组织指导协调和监督全区安全生产行政执法检查工作，组织开展对安全生产重点企业的执法检查。</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17、</w:t>
      </w:r>
      <w:r>
        <w:rPr>
          <w:rFonts w:hint="eastAsia" w:ascii="仿宋" w:hAnsi="仿宋" w:eastAsia="仿宋" w:cs="仿宋"/>
          <w:sz w:val="30"/>
          <w:szCs w:val="30"/>
        </w:rPr>
        <w:t>负责地震监测、震灾防御和</w:t>
      </w:r>
      <w:r>
        <w:rPr>
          <w:rStyle w:val="8"/>
          <w:rFonts w:hint="eastAsia" w:ascii="仿宋" w:hAnsi="仿宋" w:eastAsia="仿宋" w:cs="仿宋"/>
          <w:b w:val="0"/>
          <w:sz w:val="30"/>
          <w:szCs w:val="30"/>
        </w:rPr>
        <w:t>震</w:t>
      </w:r>
      <w:r>
        <w:rPr>
          <w:rFonts w:hint="eastAsia" w:ascii="仿宋" w:hAnsi="仿宋" w:eastAsia="仿宋" w:cs="仿宋"/>
          <w:sz w:val="30"/>
          <w:szCs w:val="30"/>
        </w:rPr>
        <w:t>灾救援指挥工作。</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sz w:val="30"/>
          <w:szCs w:val="30"/>
        </w:rPr>
      </w:pPr>
      <w:r>
        <w:rPr>
          <w:rFonts w:hint="eastAsia" w:ascii="仿宋" w:hAnsi="仿宋" w:eastAsia="仿宋" w:cs="仿宋"/>
          <w:sz w:val="30"/>
          <w:szCs w:val="30"/>
          <w:lang w:val="en-US" w:eastAsia="zh-CN"/>
        </w:rPr>
        <w:t>18、</w:t>
      </w:r>
      <w:r>
        <w:rPr>
          <w:rFonts w:hint="eastAsia" w:ascii="仿宋" w:hAnsi="仿宋" w:eastAsia="仿宋" w:cs="仿宋"/>
          <w:sz w:val="30"/>
          <w:szCs w:val="30"/>
        </w:rPr>
        <w:t>组织开展应急管理方面的国际交流与合作。</w:t>
      </w:r>
    </w:p>
    <w:p>
      <w:pPr>
        <w:keepNext w:val="0"/>
        <w:keepLines w:val="0"/>
        <w:pageBreakBefore w:val="0"/>
        <w:widowControl w:val="0"/>
        <w:kinsoku/>
        <w:wordWrap/>
        <w:overflowPunct/>
        <w:topLinePunct w:val="0"/>
        <w:autoSpaceDE/>
        <w:autoSpaceDN/>
        <w:bidi w:val="0"/>
        <w:adjustRightInd/>
        <w:snapToGrid/>
        <w:spacing w:line="600" w:lineRule="exact"/>
        <w:ind w:firstLine="750" w:firstLineChars="250"/>
        <w:textAlignment w:val="auto"/>
        <w:rPr>
          <w:rFonts w:hint="eastAsia" w:ascii="仿宋" w:hAnsi="仿宋" w:eastAsia="仿宋" w:cs="仿宋"/>
          <w:b/>
          <w:bCs/>
          <w:sz w:val="30"/>
          <w:szCs w:val="30"/>
        </w:rPr>
      </w:pPr>
      <w:r>
        <w:rPr>
          <w:rFonts w:hint="eastAsia" w:ascii="仿宋" w:hAnsi="仿宋" w:eastAsia="仿宋" w:cs="仿宋"/>
          <w:sz w:val="30"/>
          <w:szCs w:val="30"/>
          <w:lang w:val="en-US" w:eastAsia="zh-CN"/>
        </w:rPr>
        <w:t>19、</w:t>
      </w:r>
      <w:r>
        <w:rPr>
          <w:rFonts w:hint="eastAsia" w:ascii="仿宋" w:hAnsi="仿宋" w:eastAsia="仿宋" w:cs="仿宋"/>
          <w:sz w:val="30"/>
          <w:szCs w:val="30"/>
        </w:rPr>
        <w:t>完成区委、区政府交办的其他任务。</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w:t>
      </w:r>
      <w:r>
        <w:rPr>
          <w:rFonts w:ascii="仿宋_GB2312" w:hAnsi="Calibri" w:eastAsia="仿宋_GB2312" w:cs="ArialUnicodeMS"/>
          <w:kern w:val="0"/>
          <w:sz w:val="32"/>
          <w:szCs w:val="32"/>
        </w:rPr>
        <w:t>20</w:t>
      </w:r>
      <w:r>
        <w:rPr>
          <w:rFonts w:hint="eastAsia" w:ascii="仿宋_GB2312" w:hAnsi="Calibri" w:eastAsia="仿宋_GB2312" w:cs="ArialUnicodeMS"/>
          <w:kern w:val="0"/>
          <w:sz w:val="32"/>
          <w:szCs w:val="32"/>
          <w:lang w:val="en-US" w:eastAsia="zh-CN"/>
        </w:rPr>
        <w:t>20</w:t>
      </w:r>
      <w:r>
        <w:rPr>
          <w:rFonts w:ascii="仿宋_GB2312" w:hAnsi="Calibri" w:eastAsia="仿宋_GB2312" w:cs="ArialUnicodeMS"/>
          <w:kern w:val="0"/>
          <w:sz w:val="32"/>
          <w:szCs w:val="32"/>
        </w:rPr>
        <w:t xml:space="preserve"> </w:t>
      </w:r>
      <w:r>
        <w:rPr>
          <w:rFonts w:hint="eastAsia" w:ascii="仿宋_GB2312" w:hAnsi="Calibri" w:eastAsia="仿宋_GB2312" w:cs="ArialUnicodeMS"/>
          <w:kern w:val="0"/>
          <w:sz w:val="32"/>
          <w:szCs w:val="32"/>
        </w:rPr>
        <w:t>年度本部门决算汇编范围的独立核算单位（以下简称“单位”）共</w:t>
      </w:r>
      <w:r>
        <w:rPr>
          <w:rFonts w:ascii="仿宋_GB2312" w:hAnsi="Calibri" w:eastAsia="仿宋_GB2312" w:cs="ArialUnicodeMS"/>
          <w:kern w:val="0"/>
          <w:sz w:val="32"/>
          <w:szCs w:val="32"/>
        </w:rPr>
        <w:t xml:space="preserve"> </w:t>
      </w:r>
      <w:r>
        <w:rPr>
          <w:rFonts w:hint="eastAsia" w:ascii="仿宋_GB2312" w:hAnsi="Calibri" w:eastAsia="仿宋_GB2312" w:cs="ArialUnicodeMS"/>
          <w:kern w:val="0"/>
          <w:sz w:val="32"/>
          <w:szCs w:val="32"/>
          <w:lang w:val="en-US" w:eastAsia="zh-CN"/>
        </w:rPr>
        <w:t>3</w:t>
      </w:r>
      <w:r>
        <w:rPr>
          <w:rFonts w:hint="eastAsia" w:ascii="仿宋_GB2312" w:hAnsi="Calibri" w:eastAsia="仿宋_GB2312" w:cs="ArialUnicodeMS"/>
          <w:kern w:val="0"/>
          <w:sz w:val="32"/>
          <w:szCs w:val="32"/>
        </w:rPr>
        <w:t>个，具体情况如下：</w:t>
      </w:r>
    </w:p>
    <w:tbl>
      <w:tblPr>
        <w:tblStyle w:val="5"/>
        <w:tblpPr w:leftFromText="180" w:rightFromText="180" w:vertAnchor="text" w:horzAnchor="page" w:tblpXSpec="center" w:tblpY="10"/>
        <w:tblOverlap w:val="never"/>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739"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985" w:type="dxa"/>
            <w:vAlign w:val="top"/>
          </w:tcPr>
          <w:p>
            <w:pPr>
              <w:spacing w:after="0" w:line="560" w:lineRule="exact"/>
              <w:jc w:val="center"/>
              <w:rPr>
                <w:rFonts w:ascii="仿宋_GB2312" w:hAnsi="Calibri" w:eastAsia="仿宋_GB2312" w:cs="ArialUnicodeMS"/>
                <w:kern w:val="0"/>
                <w:sz w:val="28"/>
                <w:szCs w:val="28"/>
              </w:rPr>
            </w:pPr>
            <w:r>
              <w:rPr>
                <w:rFonts w:ascii="仿宋_GB2312" w:hAnsi="Cambria" w:eastAsia="仿宋_GB2312" w:cs="ArialUnicodeMS"/>
                <w:kern w:val="0"/>
                <w:sz w:val="28"/>
                <w:szCs w:val="28"/>
              </w:rPr>
              <w:t>1</w:t>
            </w:r>
          </w:p>
        </w:tc>
        <w:tc>
          <w:tcPr>
            <w:tcW w:w="3485" w:type="dxa"/>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仿宋_GB2312" w:hAnsi="Calibri" w:eastAsia="仿宋_GB2312" w:cs="ArialUnicodeMS"/>
                <w:kern w:val="0"/>
                <w:sz w:val="28"/>
                <w:szCs w:val="28"/>
              </w:rPr>
            </w:pPr>
            <w:r>
              <w:rPr>
                <w:rFonts w:hint="eastAsia" w:ascii="仿宋_GB2312" w:hAnsi="Cambria" w:eastAsia="仿宋_GB2312" w:cs="ArialUnicodeMS"/>
                <w:kern w:val="0"/>
                <w:sz w:val="28"/>
                <w:szCs w:val="28"/>
                <w:lang w:eastAsia="zh-CN"/>
              </w:rPr>
              <w:t>保定市满城区</w:t>
            </w:r>
            <w:r>
              <w:rPr>
                <w:rFonts w:hint="eastAsia" w:ascii="仿宋_GB2312" w:hAnsi="Cambria" w:eastAsia="仿宋_GB2312" w:cs="ArialUnicodeMS"/>
                <w:kern w:val="0"/>
                <w:sz w:val="28"/>
                <w:szCs w:val="28"/>
                <w:lang w:val="en-US" w:eastAsia="zh-CN"/>
              </w:rPr>
              <w:t>应急</w:t>
            </w:r>
            <w:r>
              <w:rPr>
                <w:rFonts w:hint="eastAsia" w:ascii="仿宋_GB2312" w:hAnsi="Cambria" w:eastAsia="仿宋_GB2312" w:cs="ArialUnicodeMS"/>
                <w:kern w:val="0"/>
                <w:sz w:val="28"/>
                <w:szCs w:val="28"/>
                <w:lang w:eastAsia="zh-CN"/>
              </w:rPr>
              <w:t>管理局</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vAlign w:val="center"/>
          </w:tcPr>
          <w:p>
            <w:pPr>
              <w:spacing w:after="0" w:line="560" w:lineRule="exact"/>
              <w:jc w:val="center"/>
              <w:rPr>
                <w:rFonts w:ascii="仿宋_GB2312" w:hAnsi="Calibri" w:eastAsia="仿宋_GB2312" w:cs="ArialUnicodeMS"/>
                <w:kern w:val="0"/>
                <w:sz w:val="28"/>
                <w:szCs w:val="28"/>
              </w:rPr>
            </w:pPr>
            <w:r>
              <w:rPr>
                <w:rFonts w:hint="eastAsia" w:ascii="仿宋_GB2312" w:hAnsi="Cambria" w:eastAsia="仿宋_GB2312" w:cs="ArialUnicodeMS"/>
                <w:kern w:val="0"/>
                <w:sz w:val="28"/>
                <w:szCs w:val="28"/>
                <w:lang w:eastAsia="zh-CN"/>
              </w:rPr>
              <w:t>行政单位</w:t>
            </w:r>
          </w:p>
        </w:tc>
        <w:tc>
          <w:tcPr>
            <w:tcW w:w="2739" w:type="dxa"/>
            <w:vAlign w:val="center"/>
          </w:tcPr>
          <w:p>
            <w:pPr>
              <w:spacing w:after="0" w:line="560" w:lineRule="exact"/>
              <w:jc w:val="center"/>
              <w:rPr>
                <w:rFonts w:ascii="仿宋_GB2312" w:hAnsi="Calibri" w:eastAsia="仿宋_GB2312" w:cs="ArialUnicodeMS"/>
                <w:kern w:val="0"/>
                <w:sz w:val="28"/>
                <w:szCs w:val="28"/>
              </w:rPr>
            </w:pPr>
            <w:r>
              <w:rPr>
                <w:rFonts w:hint="eastAsia" w:ascii="仿宋_GB2312" w:hAnsi="Cambria"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985" w:type="dxa"/>
            <w:vAlign w:val="top"/>
          </w:tcPr>
          <w:p>
            <w:pPr>
              <w:spacing w:after="0" w:line="560" w:lineRule="exact"/>
              <w:jc w:val="center"/>
              <w:rPr>
                <w:rFonts w:ascii="仿宋_GB2312" w:hAnsi="Calibri" w:eastAsia="仿宋_GB2312" w:cs="ArialUnicodeMS"/>
                <w:kern w:val="0"/>
                <w:sz w:val="28"/>
                <w:szCs w:val="28"/>
              </w:rPr>
            </w:pPr>
            <w:r>
              <w:rPr>
                <w:rFonts w:ascii="仿宋_GB2312" w:hAnsi="Cambria" w:eastAsia="仿宋_GB2312" w:cs="ArialUnicodeMS"/>
                <w:kern w:val="0"/>
                <w:sz w:val="28"/>
                <w:szCs w:val="28"/>
              </w:rPr>
              <w:t>2</w:t>
            </w:r>
          </w:p>
        </w:tc>
        <w:tc>
          <w:tcPr>
            <w:tcW w:w="3485" w:type="dxa"/>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仿宋_GB2312" w:hAnsi="Calibri" w:eastAsia="仿宋_GB2312" w:cs="ArialUnicodeMS"/>
                <w:kern w:val="0"/>
                <w:sz w:val="28"/>
                <w:szCs w:val="28"/>
              </w:rPr>
            </w:pPr>
            <w:r>
              <w:rPr>
                <w:rFonts w:hint="eastAsia" w:ascii="仿宋" w:hAnsi="仿宋" w:eastAsia="仿宋" w:cs="仿宋"/>
                <w:color w:val="000000"/>
                <w:kern w:val="0"/>
                <w:sz w:val="30"/>
                <w:szCs w:val="30"/>
              </w:rPr>
              <w:t>保定市满城区安全生产应急救援指挥中心</w:t>
            </w:r>
          </w:p>
        </w:tc>
        <w:tc>
          <w:tcPr>
            <w:tcW w:w="2445" w:type="dxa"/>
            <w:vAlign w:val="center"/>
          </w:tcPr>
          <w:p>
            <w:pPr>
              <w:spacing w:after="0" w:line="560" w:lineRule="exact"/>
              <w:jc w:val="center"/>
              <w:rPr>
                <w:rFonts w:ascii="仿宋_GB2312" w:hAnsi="Calibri" w:eastAsia="仿宋_GB2312" w:cs="ArialUnicodeMS"/>
                <w:kern w:val="0"/>
                <w:sz w:val="28"/>
                <w:szCs w:val="28"/>
              </w:rPr>
            </w:pPr>
            <w:r>
              <w:rPr>
                <w:rFonts w:hint="eastAsia" w:ascii="仿宋_GB2312" w:hAnsi="Cambria" w:eastAsia="仿宋_GB2312" w:cs="ArialUnicodeMS"/>
                <w:kern w:val="0"/>
                <w:sz w:val="28"/>
                <w:szCs w:val="28"/>
                <w:lang w:eastAsia="zh-CN"/>
              </w:rPr>
              <w:t>全额事业</w:t>
            </w:r>
          </w:p>
        </w:tc>
        <w:tc>
          <w:tcPr>
            <w:tcW w:w="2739" w:type="dxa"/>
            <w:vAlign w:val="center"/>
          </w:tcPr>
          <w:p>
            <w:pPr>
              <w:spacing w:after="0" w:line="560" w:lineRule="exact"/>
              <w:jc w:val="center"/>
              <w:rPr>
                <w:rFonts w:ascii="仿宋_GB2312" w:hAnsi="Calibri" w:eastAsia="仿宋_GB2312" w:cs="ArialUnicodeMS"/>
                <w:kern w:val="0"/>
                <w:sz w:val="28"/>
                <w:szCs w:val="28"/>
              </w:rPr>
            </w:pPr>
            <w:r>
              <w:rPr>
                <w:rFonts w:hint="eastAsia" w:ascii="仿宋_GB2312" w:hAnsi="Cambria" w:eastAsia="仿宋_GB2312" w:cs="ArialUnicodeMS"/>
                <w:kern w:val="0"/>
                <w:sz w:val="28"/>
                <w:szCs w:val="28"/>
                <w:lang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985" w:type="dxa"/>
            <w:vAlign w:val="top"/>
          </w:tcPr>
          <w:p>
            <w:pPr>
              <w:spacing w:after="0" w:line="560" w:lineRule="exact"/>
              <w:jc w:val="center"/>
              <w:rPr>
                <w:rFonts w:ascii="仿宋_GB2312" w:hAnsi="Calibri" w:eastAsia="仿宋_GB2312" w:cs="ArialUnicodeMS"/>
                <w:kern w:val="0"/>
                <w:sz w:val="28"/>
                <w:szCs w:val="28"/>
              </w:rPr>
            </w:pPr>
            <w:r>
              <w:rPr>
                <w:rFonts w:ascii="仿宋_GB2312" w:hAnsi="Cambria" w:eastAsia="仿宋_GB2312" w:cs="ArialUnicodeMS"/>
                <w:kern w:val="0"/>
                <w:sz w:val="28"/>
                <w:szCs w:val="28"/>
              </w:rPr>
              <w:t>3</w:t>
            </w:r>
          </w:p>
        </w:tc>
        <w:tc>
          <w:tcPr>
            <w:tcW w:w="3485" w:type="dxa"/>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ascii="仿宋_GB2312" w:hAnsi="Calibri" w:eastAsia="仿宋_GB2312" w:cs="ArialUnicodeMS"/>
                <w:kern w:val="0"/>
                <w:sz w:val="28"/>
                <w:szCs w:val="28"/>
              </w:rPr>
            </w:pPr>
            <w:r>
              <w:rPr>
                <w:rFonts w:hint="eastAsia" w:ascii="仿宋" w:hAnsi="仿宋" w:eastAsia="仿宋" w:cs="仿宋"/>
                <w:color w:val="000000"/>
                <w:kern w:val="0"/>
                <w:sz w:val="30"/>
                <w:szCs w:val="30"/>
              </w:rPr>
              <w:t>保定市满城区安全生产执法监察大队</w:t>
            </w:r>
          </w:p>
        </w:tc>
        <w:tc>
          <w:tcPr>
            <w:tcW w:w="2445" w:type="dxa"/>
            <w:vAlign w:val="center"/>
          </w:tcPr>
          <w:p>
            <w:pPr>
              <w:spacing w:after="0" w:line="560" w:lineRule="exact"/>
              <w:jc w:val="center"/>
              <w:rPr>
                <w:rFonts w:ascii="仿宋_GB2312" w:hAnsi="Calibri" w:eastAsia="仿宋_GB2312" w:cs="ArialUnicodeMS"/>
                <w:kern w:val="0"/>
                <w:sz w:val="28"/>
                <w:szCs w:val="28"/>
              </w:rPr>
            </w:pPr>
            <w:r>
              <w:rPr>
                <w:rFonts w:hint="eastAsia" w:ascii="仿宋_GB2312" w:hAnsi="Cambria" w:eastAsia="仿宋_GB2312" w:cs="ArialUnicodeMS"/>
                <w:kern w:val="0"/>
                <w:sz w:val="28"/>
                <w:szCs w:val="28"/>
                <w:lang w:eastAsia="zh-CN"/>
              </w:rPr>
              <w:t>经费自理事业</w:t>
            </w:r>
          </w:p>
        </w:tc>
        <w:tc>
          <w:tcPr>
            <w:tcW w:w="2739" w:type="dxa"/>
            <w:vAlign w:val="center"/>
          </w:tcPr>
          <w:p>
            <w:pPr>
              <w:spacing w:after="0" w:line="560" w:lineRule="exact"/>
              <w:jc w:val="center"/>
              <w:rPr>
                <w:rFonts w:ascii="仿宋_GB2312" w:hAnsi="Calibri" w:eastAsia="仿宋_GB2312" w:cs="ArialUnicodeMS"/>
                <w:kern w:val="0"/>
                <w:sz w:val="28"/>
                <w:szCs w:val="28"/>
              </w:rPr>
            </w:pPr>
            <w:r>
              <w:rPr>
                <w:rFonts w:hint="eastAsia" w:ascii="仿宋_GB2312" w:hAnsi="Cambria" w:eastAsia="仿宋_GB2312" w:cs="ArialUnicodeMS"/>
                <w:kern w:val="0"/>
                <w:sz w:val="28"/>
                <w:szCs w:val="28"/>
                <w:lang w:eastAsia="zh-CN"/>
              </w:rPr>
              <w:t>财政性资金</w:t>
            </w:r>
            <w:r>
              <w:rPr>
                <w:rFonts w:hint="eastAsia" w:ascii="仿宋_GB2312" w:hAnsi="Cambria" w:eastAsia="仿宋_GB2312" w:cs="ArialUnicodeMS"/>
                <w:kern w:val="0"/>
                <w:sz w:val="28"/>
                <w:szCs w:val="28"/>
                <w:lang w:val="en-US" w:eastAsia="zh-CN"/>
              </w:rPr>
              <w:t>零</w:t>
            </w:r>
            <w:r>
              <w:rPr>
                <w:rFonts w:hint="eastAsia" w:ascii="仿宋_GB2312" w:hAnsi="Cambria" w:eastAsia="仿宋_GB2312" w:cs="ArialUnicodeMS"/>
                <w:kern w:val="0"/>
                <w:sz w:val="28"/>
                <w:szCs w:val="28"/>
                <w:lang w:eastAsia="zh-CN"/>
              </w:rPr>
              <w:t>补助</w:t>
            </w:r>
          </w:p>
        </w:tc>
      </w:tr>
    </w:tbl>
    <w:p>
      <w:pPr>
        <w:widowControl/>
        <w:spacing w:after="160" w:line="580" w:lineRule="exact"/>
        <w:ind w:firstLine="420" w:firstLineChars="200"/>
        <w:rPr>
          <w:rFonts w:ascii="Times New Roman" w:hAnsi="Times New Roman" w:eastAsia="黑体"/>
          <w:sz w:val="32"/>
          <w:szCs w:val="32"/>
        </w:rPr>
        <w:sectPr>
          <w:pgSz w:w="11906" w:h="16838"/>
          <w:pgMar w:top="2041" w:right="1531" w:bottom="2041" w:left="1531" w:header="851" w:footer="992" w:gutter="0"/>
          <w:pgNumType w:fmt="numberInDash"/>
          <w:cols w:space="0" w:num="1"/>
          <w:titlePg/>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txb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wps:txbx>
                      <wps:bodyPr upright="1"/>
                    </wps:wsp>
                  </a:graphicData>
                </a:graphic>
              </wp:anchor>
            </w:drawing>
          </mc:Choice>
          <mc:Fallback>
            <w:pict>
              <v:shape id="_x0000_s1026" o:spid="_x0000_s1026" o:spt="202" type="#_x0000_t202" style="position:absolute;left:0pt;margin-left:-85.7pt;margin-top:238.15pt;height:173.25pt;width:613.65pt;z-index:251663360;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uuj5PeAAAADQEAAA8AAAAAAAAAAQAgAAAAIgAAAGRycy9kb3ducmV2LnhtbFBL&#10;AQIUABQAAAAIAIdO4kAZBMbWtwEAAFgDAAAOAAAAAAAAAAEAIAAAAC0BAABkcnMvZTJvRG9jLnht&#10;bFBLBQYAAAAABgAGAFkBAABWBQAAAAA=&#10;">
                <v:fill on="f" focussize="0,0"/>
                <v:stroke on="f" weight="0.5pt"/>
                <v:imagedata o:title=""/>
                <o:lock v:ext="edit" aspectratio="f"/>
                <v:textbo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v:textbox>
              </v:shape>
            </w:pict>
          </mc:Fallback>
        </mc:AlternateContent>
      </w:r>
    </w:p>
    <w:p>
      <w:pPr>
        <w:jc w:val="both"/>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1312"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1312;v-text-anchor:middle;mso-width-relative:page;mso-height-relative:page;" fillcolor="#44964D [1612]" filled="t" stroked="t" coordsize="21600,21600" o:gfxdata="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WMf4jbAAAADgEAAA8AAAAAAAAAAQAgAAAAIgAAAGRycy9kb3du&#10;cmV2LnhtbFBLAQIUABQAAAAIAIdO4kDBH3UupwIAAG0FAAAOAAAAAAAAAAEAIAAAACoBAABkcnMv&#10;ZTJvRG9jLnhtbFBLBQYAAAAABgAGAFkBAABDBgAAAAA=&#10;">
                <v:fill type="pattern" on="t" color2="#CCE8CF [3212]" o:title="5%" focussize="0,0" r:id="rId13"/>
                <v:stroke weight="1pt" color="#63B96C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lang w:val="en-US" w:eastAsia="zh-CN"/>
        </w:rPr>
        <w:t xml:space="preserve">  </w:t>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hint="default" w:ascii="仿宋_GB2312" w:hAnsi="Times New Roman" w:eastAsia="仿宋_GB2312" w:cs="Wingdings"/>
          <w:sz w:val="32"/>
          <w:szCs w:val="32"/>
          <w:lang w:val="en-US"/>
        </w:rPr>
      </w:pPr>
      <w:r>
        <w:rPr>
          <w:rFonts w:hint="eastAsia" w:ascii="仿宋_GB2312" w:hAnsi="Times New Roman" w:eastAsia="仿宋_GB2312" w:cs="Wingdings"/>
          <w:sz w:val="32"/>
          <w:szCs w:val="32"/>
        </w:rPr>
        <w:t>本部门2020年度收</w:t>
      </w:r>
      <w:r>
        <w:rPr>
          <w:rFonts w:hint="eastAsia" w:ascii="仿宋_GB2312" w:hAnsi="Times New Roman" w:eastAsia="仿宋_GB2312" w:cs="Wingdings"/>
          <w:sz w:val="32"/>
          <w:szCs w:val="32"/>
          <w:lang w:val="en-US" w:eastAsia="zh-CN"/>
        </w:rPr>
        <w:t>、支</w:t>
      </w:r>
      <w:r>
        <w:rPr>
          <w:rFonts w:hint="eastAsia" w:ascii="仿宋_GB2312" w:hAnsi="Times New Roman" w:eastAsia="仿宋_GB2312" w:cs="Wingdings"/>
          <w:sz w:val="32"/>
          <w:szCs w:val="32"/>
        </w:rPr>
        <w:t>总计</w:t>
      </w:r>
      <w:r>
        <w:rPr>
          <w:rFonts w:hint="eastAsia" w:ascii="仿宋_GB2312" w:hAnsi="Times New Roman" w:eastAsia="仿宋_GB2312" w:cs="Wingdings"/>
          <w:sz w:val="32"/>
          <w:szCs w:val="32"/>
          <w:lang w:val="en-US" w:eastAsia="zh-CN"/>
        </w:rPr>
        <w:t>1098.56</w:t>
      </w:r>
      <w:r>
        <w:rPr>
          <w:rFonts w:hint="eastAsia" w:ascii="仿宋_GB2312" w:hAnsi="Times New Roman" w:eastAsia="仿宋_GB2312" w:cs="Wingdings"/>
          <w:sz w:val="32"/>
          <w:szCs w:val="32"/>
        </w:rPr>
        <w:t>万元。与2019年度决算相比，收</w:t>
      </w:r>
      <w:r>
        <w:rPr>
          <w:rFonts w:hint="eastAsia" w:ascii="仿宋_GB2312" w:hAnsi="Times New Roman" w:eastAsia="仿宋_GB2312" w:cs="Wingdings"/>
          <w:sz w:val="32"/>
          <w:szCs w:val="32"/>
          <w:lang w:val="en-US" w:eastAsia="zh-CN"/>
        </w:rPr>
        <w:t>支各</w:t>
      </w:r>
      <w:r>
        <w:rPr>
          <w:rFonts w:hint="eastAsia" w:ascii="仿宋_GB2312" w:hAnsi="Times New Roman" w:eastAsia="仿宋_GB2312" w:cs="Wingdings"/>
          <w:sz w:val="32"/>
          <w:szCs w:val="32"/>
        </w:rPr>
        <w:t>增加</w:t>
      </w:r>
      <w:r>
        <w:rPr>
          <w:rFonts w:hint="eastAsia" w:ascii="仿宋_GB2312" w:hAnsi="Times New Roman" w:eastAsia="仿宋_GB2312" w:cs="Wingdings"/>
          <w:sz w:val="32"/>
          <w:szCs w:val="32"/>
          <w:lang w:val="en-US" w:eastAsia="zh-CN"/>
        </w:rPr>
        <w:t>140.56</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14.67</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val="en-US" w:eastAsia="zh-CN"/>
        </w:rPr>
        <w:t>购置森林防灭火车辆、购置防汛储备物资、自然灾害救助专项资金、政策性农房保险等。如图所示：</w:t>
      </w:r>
    </w:p>
    <w:p>
      <w:pPr>
        <w:tabs>
          <w:tab w:val="left" w:pos="5800"/>
        </w:tabs>
        <w:adjustRightInd w:val="0"/>
        <w:snapToGrid w:val="0"/>
        <w:spacing w:line="600" w:lineRule="exact"/>
        <w:rPr>
          <w:rFonts w:ascii="仿宋_GB2312" w:hAnsi="Times New Roman" w:eastAsia="仿宋_GB2312" w:cs="Wingdings"/>
          <w:sz w:val="20"/>
          <w:szCs w:val="20"/>
        </w:rPr>
      </w:pPr>
      <w:r>
        <w:rPr>
          <w:rFonts w:hint="eastAsia" w:ascii="仿宋_GB2312" w:hAnsi="Times New Roman" w:eastAsia="仿宋_GB2312" w:cs="Wingdings"/>
          <w:sz w:val="32"/>
          <w:szCs w:val="32"/>
        </w:rPr>
        <w:drawing>
          <wp:anchor distT="0" distB="0" distL="114300" distR="114300" simplePos="0" relativeHeight="251664384" behindDoc="1" locked="0" layoutInCell="1" allowOverlap="1">
            <wp:simplePos x="0" y="0"/>
            <wp:positionH relativeFrom="column">
              <wp:posOffset>675640</wp:posOffset>
            </wp:positionH>
            <wp:positionV relativeFrom="paragraph">
              <wp:posOffset>306705</wp:posOffset>
            </wp:positionV>
            <wp:extent cx="4518025" cy="3101340"/>
            <wp:effectExtent l="4445" t="4445" r="11430" b="18415"/>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hint="eastAsia" w:ascii="黑体" w:hAnsi="Calibri" w:eastAsia="黑体" w:cs="Times New Roman"/>
          <w:sz w:val="32"/>
          <w:szCs w:val="32"/>
        </w:rPr>
      </w:pPr>
    </w:p>
    <w:p>
      <w:pPr>
        <w:keepNext/>
        <w:keepLines/>
        <w:snapToGrid w:val="0"/>
        <w:spacing w:line="600" w:lineRule="exact"/>
        <w:ind w:firstLine="640" w:firstLineChars="200"/>
        <w:outlineLvl w:val="1"/>
        <w:rPr>
          <w:rFonts w:hint="eastAsia" w:ascii="黑体" w:hAnsi="Calibri" w:eastAsia="黑体" w:cs="Times New Roman"/>
          <w:sz w:val="32"/>
          <w:szCs w:val="32"/>
        </w:rPr>
      </w:pPr>
    </w:p>
    <w:p>
      <w:pPr>
        <w:keepNext/>
        <w:keepLines/>
        <w:snapToGrid w:val="0"/>
        <w:spacing w:line="600" w:lineRule="exact"/>
        <w:ind w:firstLine="640" w:firstLineChars="200"/>
        <w:outlineLvl w:val="1"/>
        <w:rPr>
          <w:rFonts w:hint="eastAsia" w:ascii="黑体" w:hAnsi="Calibri" w:eastAsia="黑体" w:cs="Times New Roman"/>
          <w:sz w:val="32"/>
          <w:szCs w:val="32"/>
        </w:rPr>
      </w:pPr>
    </w:p>
    <w:p>
      <w:pPr>
        <w:keepNext/>
        <w:keepLines/>
        <w:snapToGrid w:val="0"/>
        <w:spacing w:line="600" w:lineRule="exact"/>
        <w:ind w:firstLine="640" w:firstLineChars="200"/>
        <w:outlineLvl w:val="1"/>
        <w:rPr>
          <w:rFonts w:hint="eastAsia" w:ascii="黑体" w:hAnsi="Calibri" w:eastAsia="黑体" w:cs="Times New Roman"/>
          <w:sz w:val="32"/>
          <w:szCs w:val="32"/>
        </w:rPr>
      </w:pPr>
    </w:p>
    <w:p>
      <w:pPr>
        <w:keepNext/>
        <w:keepLines/>
        <w:snapToGrid w:val="0"/>
        <w:spacing w:line="600" w:lineRule="exact"/>
        <w:outlineLvl w:val="1"/>
        <w:rPr>
          <w:rFonts w:hint="eastAsia" w:ascii="黑体" w:hAnsi="Calibri" w:eastAsia="黑体" w:cs="Times New Roman"/>
          <w:sz w:val="32"/>
          <w:szCs w:val="32"/>
        </w:rPr>
      </w:pPr>
    </w:p>
    <w:p>
      <w:pPr>
        <w:keepNext/>
        <w:keepLines/>
        <w:snapToGrid w:val="0"/>
        <w:spacing w:line="600" w:lineRule="exact"/>
        <w:ind w:firstLine="640" w:firstLineChars="200"/>
        <w:outlineLvl w:val="1"/>
        <w:rPr>
          <w:rFonts w:hint="eastAsia" w:ascii="黑体" w:hAnsi="Calibri" w:eastAsia="黑体" w:cs="Times New Roman"/>
          <w:sz w:val="32"/>
          <w:szCs w:val="32"/>
        </w:rPr>
      </w:pPr>
    </w:p>
    <w:p>
      <w:pPr>
        <w:keepNext/>
        <w:keepLines/>
        <w:snapToGrid w:val="0"/>
        <w:spacing w:line="600" w:lineRule="exact"/>
        <w:ind w:firstLine="640" w:firstLineChars="200"/>
        <w:outlineLvl w:val="1"/>
        <w:rPr>
          <w:rFonts w:hint="eastAsia" w:ascii="黑体" w:hAnsi="Calibri" w:eastAsia="黑体" w:cs="Times New Roman"/>
          <w:sz w:val="32"/>
          <w:szCs w:val="32"/>
        </w:rPr>
      </w:pPr>
    </w:p>
    <w:p>
      <w:pPr>
        <w:keepNext/>
        <w:keepLines/>
        <w:snapToGrid w:val="0"/>
        <w:spacing w:line="600" w:lineRule="exact"/>
        <w:ind w:firstLine="640" w:firstLineChars="200"/>
        <w:outlineLvl w:val="1"/>
        <w:rPr>
          <w:rFonts w:hint="eastAsia"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snapToGrid w:val="0"/>
        <w:spacing w:line="600" w:lineRule="exact"/>
        <w:ind w:firstLine="640" w:firstLineChars="200"/>
        <w:outlineLvl w:val="1"/>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1098.56</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1098.56</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numPr>
          <w:ilvl w:val="0"/>
          <w:numId w:val="0"/>
        </w:numPr>
        <w:snapToGrid w:val="0"/>
        <w:spacing w:line="600" w:lineRule="exact"/>
        <w:outlineLvl w:val="1"/>
        <w:rPr>
          <w:rFonts w:hint="eastAsia" w:ascii="黑体" w:hAnsi="Calibri" w:eastAsia="黑体" w:cs="Times New Roman"/>
          <w:sz w:val="32"/>
          <w:szCs w:val="32"/>
        </w:rPr>
      </w:pPr>
    </w:p>
    <w:p>
      <w:pPr>
        <w:numPr>
          <w:ilvl w:val="0"/>
          <w:numId w:val="0"/>
        </w:numPr>
        <w:snapToGrid w:val="0"/>
        <w:spacing w:line="600" w:lineRule="exact"/>
        <w:outlineLvl w:val="1"/>
        <w:rPr>
          <w:rFonts w:hint="eastAsia" w:ascii="黑体" w:hAnsi="Calibri" w:eastAsia="黑体" w:cs="Times New Roman"/>
          <w:sz w:val="32"/>
          <w:szCs w:val="32"/>
        </w:rPr>
      </w:pPr>
    </w:p>
    <w:p>
      <w:pPr>
        <w:numPr>
          <w:ilvl w:val="0"/>
          <w:numId w:val="1"/>
        </w:numPr>
        <w:snapToGrid w:val="0"/>
        <w:spacing w:line="600" w:lineRule="exact"/>
        <w:ind w:firstLine="640" w:firstLineChars="200"/>
        <w:outlineLvl w:val="1"/>
        <w:rPr>
          <w:rFonts w:hint="eastAsia" w:ascii="黑体" w:hAnsi="Calibri" w:eastAsia="黑体" w:cs="Times New Roman"/>
          <w:sz w:val="32"/>
          <w:szCs w:val="32"/>
        </w:rPr>
      </w:pPr>
      <w:r>
        <w:rPr>
          <w:rFonts w:hint="eastAsia" w:ascii="黑体" w:hAnsi="Calibri" w:eastAsia="黑体" w:cs="Times New Roman"/>
          <w:sz w:val="32"/>
          <w:szCs w:val="32"/>
        </w:rPr>
        <w:t>支出决算情况说明</w:t>
      </w:r>
    </w:p>
    <w:p>
      <w:pPr>
        <w:numPr>
          <w:ilvl w:val="0"/>
          <w:numId w:val="0"/>
        </w:numPr>
        <w:snapToGrid w:val="0"/>
        <w:spacing w:line="600" w:lineRule="exact"/>
        <w:ind w:firstLine="640" w:firstLineChars="200"/>
        <w:outlineLvl w:val="1"/>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1098.56</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824.64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75.07</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273.92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24.93</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如图所示：</w:t>
      </w:r>
    </w:p>
    <w:p>
      <w:pPr>
        <w:numPr>
          <w:ilvl w:val="0"/>
          <w:numId w:val="0"/>
        </w:numPr>
        <w:snapToGrid w:val="0"/>
        <w:spacing w:line="600" w:lineRule="exact"/>
        <w:ind w:firstLine="640" w:firstLineChars="200"/>
        <w:outlineLvl w:val="1"/>
        <w:rPr>
          <w:rFonts w:hint="eastAsia" w:ascii="仿宋_GB2312" w:hAnsi="Times New Roman" w:eastAsia="仿宋_GB2312" w:cs="Wingdings"/>
          <w:sz w:val="32"/>
          <w:szCs w:val="32"/>
        </w:rPr>
      </w:pPr>
    </w:p>
    <w:p>
      <w:pPr>
        <w:pStyle w:val="3"/>
        <w:bidi w:val="0"/>
        <w:rPr>
          <w:rFonts w:hint="eastAsia"/>
          <w:lang w:eastAsia="zh-CN"/>
        </w:rPr>
      </w:pPr>
      <w:r>
        <w:rPr>
          <w:rFonts w:hint="eastAsia"/>
          <w:lang w:val="en-US" w:eastAsia="zh-CN"/>
        </w:rPr>
        <w:t xml:space="preserve">               </w:t>
      </w:r>
    </w:p>
    <w:p>
      <w:pPr>
        <w:pStyle w:val="3"/>
        <w:bidi w:val="0"/>
        <w:rPr>
          <w:rFonts w:hint="eastAsia"/>
          <w:lang w:eastAsia="zh-CN"/>
        </w:rPr>
      </w:pPr>
      <w:r>
        <w:rPr>
          <w:rFonts w:hint="eastAsia"/>
          <w:lang w:val="en-US" w:eastAsia="zh-CN"/>
        </w:rPr>
        <w:t xml:space="preserve">           </w:t>
      </w:r>
      <w:r>
        <w:rPr>
          <w:rFonts w:hint="eastAsia"/>
          <w:lang w:eastAsia="zh-CN"/>
        </w:rPr>
        <w:drawing>
          <wp:inline distT="0" distB="0" distL="114300" distR="114300">
            <wp:extent cx="4185920" cy="1859280"/>
            <wp:effectExtent l="0" t="0" r="5080" b="762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adjustRightInd w:val="0"/>
        <w:snapToGrid w:val="0"/>
        <w:spacing w:after="160" w:line="560" w:lineRule="exact"/>
        <w:jc w:val="center"/>
        <w:rPr>
          <w:rFonts w:hint="eastAsia" w:ascii="黑体" w:hAnsi="Calibri" w:eastAsia="黑体" w:cs="Times New Roman"/>
          <w:sz w:val="32"/>
          <w:szCs w:val="32"/>
        </w:rPr>
      </w:pPr>
      <w:r>
        <w:rPr>
          <w:rFonts w:hint="eastAsia" w:ascii="仿宋_GB2312" w:hAnsi="Times New Roman" w:eastAsia="仿宋_GB2312" w:cs="Wingdings"/>
          <w:sz w:val="28"/>
          <w:szCs w:val="28"/>
          <w:lang w:val="en-US" w:eastAsia="zh-CN"/>
        </w:rPr>
        <w:t xml:space="preserve">    </w:t>
      </w:r>
      <w:r>
        <w:rPr>
          <w:rFonts w:hint="eastAsia" w:ascii="仿宋_GB2312" w:hAnsi="Times New Roman" w:eastAsia="仿宋_GB2312" w:cs="Wingdings"/>
          <w:sz w:val="28"/>
          <w:szCs w:val="28"/>
        </w:rPr>
        <w:t>图</w:t>
      </w:r>
      <w:r>
        <w:rPr>
          <w:rFonts w:hint="eastAsia" w:ascii="仿宋_GB2312" w:hAnsi="Times New Roman" w:eastAsia="仿宋_GB2312" w:cs="Wingdings"/>
          <w:sz w:val="28"/>
          <w:szCs w:val="28"/>
          <w:lang w:val="en-US" w:eastAsia="zh-CN"/>
        </w:rPr>
        <w:t>2</w:t>
      </w:r>
      <w:r>
        <w:rPr>
          <w:rFonts w:hint="eastAsia" w:ascii="仿宋_GB2312" w:hAnsi="Times New Roman" w:eastAsia="仿宋_GB2312" w:cs="Wingdings"/>
          <w:sz w:val="28"/>
          <w:szCs w:val="28"/>
        </w:rPr>
        <w:t>：支出决算构成情况（按支出性质）</w:t>
      </w:r>
    </w:p>
    <w:p>
      <w:pPr>
        <w:numPr>
          <w:ilvl w:val="0"/>
          <w:numId w:val="0"/>
        </w:num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hint="eastAsia" w:ascii="楷体_GB2312" w:hAnsi="Times New Roman" w:eastAsia="楷体_GB2312" w:cs="Mongolian Baiti"/>
          <w:b/>
          <w:bCs/>
          <w:sz w:val="32"/>
          <w:szCs w:val="32"/>
        </w:rPr>
      </w:pPr>
      <w:r>
        <w:rPr>
          <w:rFonts w:hint="eastAsia" w:ascii="仿宋_GB2312" w:hAnsi="Times New Roman" w:eastAsia="仿宋_GB2312" w:cs="Wingdings"/>
          <w:sz w:val="32"/>
          <w:szCs w:val="32"/>
        </w:rPr>
        <w:t>本部门2020年度财政拨款收支均为一般公共预算财政拨款，其中本年收入</w:t>
      </w:r>
      <w:r>
        <w:rPr>
          <w:rFonts w:hint="eastAsia" w:ascii="仿宋_GB2312" w:hAnsi="Times New Roman" w:eastAsia="仿宋_GB2312" w:cs="Wingdings"/>
          <w:sz w:val="32"/>
          <w:szCs w:val="32"/>
          <w:lang w:val="en-US" w:eastAsia="zh-CN"/>
        </w:rPr>
        <w:t>1098.56</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140.56</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14.67</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购置森林防灭火车辆、购置防汛储备物资、自然灾害救助专项资金、政策性农房保险等</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1098.56</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140.56</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14.67</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购置森林防灭火车辆、购置防汛储备物资、自然灾害救助专项资金、政策性农房保险等。如图所示：</w:t>
      </w:r>
    </w:p>
    <w:p>
      <w:pPr>
        <w:snapToGrid w:val="0"/>
        <w:spacing w:line="240" w:lineRule="auto"/>
        <w:rPr>
          <w:rFonts w:hint="eastAsia" w:ascii="楷体_GB2312" w:hAnsi="Times New Roman" w:eastAsia="楷体_GB2312" w:cs="Mongolian Baiti"/>
          <w:b/>
          <w:bCs/>
          <w:sz w:val="32"/>
          <w:szCs w:val="32"/>
          <w:lang w:eastAsia="zh-CN"/>
        </w:rPr>
      </w:pPr>
    </w:p>
    <w:p>
      <w:pPr>
        <w:snapToGrid w:val="0"/>
        <w:spacing w:line="240" w:lineRule="auto"/>
        <w:ind w:firstLine="321" w:firstLineChars="100"/>
        <w:rPr>
          <w:rFonts w:hint="eastAsia" w:ascii="仿宋_GB2312" w:hAnsi="Times New Roman" w:eastAsia="仿宋_GB2312" w:cs="Wingdings"/>
          <w:sz w:val="28"/>
          <w:szCs w:val="28"/>
        </w:rPr>
      </w:pPr>
      <w:r>
        <w:rPr>
          <w:rFonts w:hint="eastAsia" w:ascii="楷体_GB2312" w:hAnsi="Times New Roman" w:eastAsia="楷体_GB2312" w:cs="Mongolian Baiti"/>
          <w:b/>
          <w:bCs/>
          <w:sz w:val="32"/>
          <w:szCs w:val="32"/>
          <w:lang w:val="en-US" w:eastAsia="zh-CN"/>
        </w:rPr>
        <w:t xml:space="preserve"> </w:t>
      </w:r>
      <w:r>
        <w:rPr>
          <w:rFonts w:hint="eastAsia" w:ascii="楷体_GB2312" w:hAnsi="Times New Roman" w:eastAsia="楷体_GB2312" w:cs="Mongolian Baiti"/>
          <w:b/>
          <w:bCs/>
          <w:sz w:val="32"/>
          <w:szCs w:val="32"/>
          <w:lang w:eastAsia="zh-CN"/>
        </w:rPr>
        <w:drawing>
          <wp:inline distT="0" distB="0" distL="114300" distR="114300">
            <wp:extent cx="5095875" cy="3819525"/>
            <wp:effectExtent l="9525" t="9525" r="19050" b="19050"/>
            <wp:docPr id="7" name="图片 7" descr="图片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00"/>
                    <pic:cNvPicPr>
                      <a:picLocks noChangeAspect="1"/>
                    </pic:cNvPicPr>
                  </pic:nvPicPr>
                  <pic:blipFill>
                    <a:blip r:embed="rId16"/>
                    <a:stretch>
                      <a:fillRect/>
                    </a:stretch>
                  </pic:blipFill>
                  <pic:spPr>
                    <a:xfrm>
                      <a:off x="0" y="0"/>
                      <a:ext cx="5095875" cy="3819525"/>
                    </a:xfrm>
                    <a:prstGeom prst="rect">
                      <a:avLst/>
                    </a:prstGeom>
                    <a:ln>
                      <a:gradFill>
                        <a:gsLst>
                          <a:gs pos="23000">
                            <a:srgbClr val="D6E6F5"/>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p>
      <w:pPr>
        <w:snapToGrid w:val="0"/>
        <w:spacing w:line="600" w:lineRule="exact"/>
        <w:ind w:firstLine="2520" w:firstLineChars="900"/>
        <w:rPr>
          <w:rFonts w:hint="eastAsia" w:ascii="楷体_GB2312" w:hAnsi="Times New Roman" w:eastAsia="楷体_GB2312" w:cs="Mongolian Baiti"/>
          <w:b/>
          <w:bCs/>
          <w:sz w:val="32"/>
          <w:szCs w:val="32"/>
        </w:rPr>
      </w:pPr>
      <w:r>
        <w:rPr>
          <w:rFonts w:hint="eastAsia" w:ascii="仿宋_GB2312" w:hAnsi="Times New Roman" w:eastAsia="仿宋_GB2312" w:cs="Wingdings"/>
          <w:sz w:val="28"/>
          <w:szCs w:val="28"/>
        </w:rPr>
        <w:t>图</w:t>
      </w:r>
      <w:r>
        <w:rPr>
          <w:rFonts w:hint="eastAsia" w:ascii="仿宋_GB2312" w:hAnsi="Times New Roman" w:eastAsia="仿宋_GB2312" w:cs="Wingdings"/>
          <w:sz w:val="28"/>
          <w:szCs w:val="28"/>
          <w:lang w:val="en-US" w:eastAsia="zh-CN"/>
        </w:rPr>
        <w:t>3</w:t>
      </w:r>
      <w:r>
        <w:rPr>
          <w:rFonts w:hint="eastAsia" w:ascii="仿宋_GB2312" w:hAnsi="Times New Roman" w:eastAsia="仿宋_GB2312" w:cs="Wingdings"/>
          <w:sz w:val="28"/>
          <w:szCs w:val="28"/>
        </w:rPr>
        <w:t>：</w:t>
      </w:r>
      <w:r>
        <w:rPr>
          <w:rFonts w:hint="eastAsia" w:ascii="仿宋_GB2312" w:hAnsi="Times New Roman" w:eastAsia="仿宋_GB2312" w:cs="Wingdings"/>
          <w:sz w:val="28"/>
          <w:szCs w:val="28"/>
          <w:lang w:val="en-US" w:eastAsia="zh-CN"/>
        </w:rPr>
        <w:t>财政拨款收支决算对比</w:t>
      </w:r>
      <w:r>
        <w:rPr>
          <w:rFonts w:hint="eastAsia" w:ascii="仿宋_GB2312" w:hAnsi="Times New Roman" w:eastAsia="仿宋_GB2312" w:cs="Wingdings"/>
          <w:sz w:val="28"/>
          <w:szCs w:val="28"/>
        </w:rPr>
        <w:t>情况</w:t>
      </w:r>
    </w:p>
    <w:p>
      <w:pPr>
        <w:snapToGrid w:val="0"/>
        <w:spacing w:line="600" w:lineRule="exact"/>
        <w:ind w:firstLine="321" w:firstLineChars="1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w:t>
      </w:r>
      <w:r>
        <w:rPr>
          <w:rFonts w:hint="eastAsia" w:ascii="仿宋_GB2312" w:hAnsi="Times New Roman" w:eastAsia="仿宋_GB2312" w:cs="Wingdings"/>
          <w:sz w:val="32"/>
          <w:szCs w:val="32"/>
          <w:lang w:val="en-US" w:eastAsia="zh-CN"/>
        </w:rPr>
        <w:t>1098.56</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118.36</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170.44</w:t>
      </w:r>
      <w:r>
        <w:rPr>
          <w:rFonts w:hint="eastAsia" w:ascii="仿宋_GB2312" w:hAnsi="Times New Roman" w:eastAsia="仿宋_GB2312" w:cs="Wingdings"/>
          <w:sz w:val="32"/>
          <w:szCs w:val="32"/>
        </w:rPr>
        <w:t>万元，决算数大于预算数主要是</w:t>
      </w:r>
      <w:r>
        <w:rPr>
          <w:rFonts w:hint="eastAsia" w:ascii="仿宋_GB2312" w:hAnsi="Times New Roman" w:eastAsia="仿宋_GB2312" w:cs="Wingdings"/>
          <w:sz w:val="32"/>
          <w:szCs w:val="32"/>
          <w:lang w:val="en-US" w:eastAsia="zh-CN"/>
        </w:rPr>
        <w:t>购置森林防灭火车辆、购置防汛储备物资、自然灾害救助专项资金、政策性农房保险等</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1098.56</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118.36</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170.44</w:t>
      </w:r>
      <w:r>
        <w:rPr>
          <w:rFonts w:hint="eastAsia" w:ascii="仿宋_GB2312" w:hAnsi="Times New Roman" w:eastAsia="仿宋_GB2312" w:cs="Wingdings"/>
          <w:sz w:val="32"/>
          <w:szCs w:val="32"/>
        </w:rPr>
        <w:t>万元，决算数大于预算数主要原因是</w:t>
      </w:r>
      <w:r>
        <w:rPr>
          <w:rFonts w:hint="eastAsia" w:ascii="仿宋_GB2312" w:hAnsi="Times New Roman" w:eastAsia="仿宋_GB2312" w:cs="Wingdings"/>
          <w:sz w:val="32"/>
          <w:szCs w:val="32"/>
          <w:lang w:val="en-US" w:eastAsia="zh-CN"/>
        </w:rPr>
        <w:t>购置森林防灭火车辆、购置防汛储备物资、自然灾害救助专项资金、政策性农房保险等</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如图所示：</w:t>
      </w:r>
    </w:p>
    <w:p>
      <w:pPr>
        <w:widowControl w:val="0"/>
        <w:numPr>
          <w:ilvl w:val="0"/>
          <w:numId w:val="0"/>
        </w:numPr>
        <w:adjustRightInd w:val="0"/>
        <w:snapToGrid w:val="0"/>
        <w:spacing w:line="600" w:lineRule="exact"/>
        <w:jc w:val="both"/>
        <w:rPr>
          <w:rFonts w:ascii="楷体_GB2312" w:hAnsi="Times New Roman" w:eastAsia="楷体_GB2312" w:cs="Mongolian Baiti"/>
          <w:b/>
          <w:bCs/>
          <w:sz w:val="32"/>
          <w:szCs w:val="32"/>
        </w:rPr>
      </w:pPr>
    </w:p>
    <w:p>
      <w:pPr>
        <w:widowControl w:val="0"/>
        <w:numPr>
          <w:ilvl w:val="0"/>
          <w:numId w:val="0"/>
        </w:numPr>
        <w:adjustRightInd w:val="0"/>
        <w:snapToGrid w:val="0"/>
        <w:spacing w:line="600" w:lineRule="exact"/>
        <w:jc w:val="both"/>
        <w:rPr>
          <w:rFonts w:ascii="楷体_GB2312" w:hAnsi="Times New Roman" w:eastAsia="楷体_GB2312" w:cs="Mongolian Baiti"/>
          <w:b/>
          <w:bCs/>
          <w:sz w:val="32"/>
          <w:szCs w:val="32"/>
        </w:rPr>
      </w:pPr>
    </w:p>
    <w:p>
      <w:pPr>
        <w:widowControl w:val="0"/>
        <w:numPr>
          <w:ilvl w:val="0"/>
          <w:numId w:val="0"/>
        </w:numPr>
        <w:adjustRightInd w:val="0"/>
        <w:snapToGrid w:val="0"/>
        <w:spacing w:line="240" w:lineRule="auto"/>
        <w:jc w:val="both"/>
        <w:rPr>
          <w:rFonts w:hint="eastAsia" w:ascii="楷体_GB2312" w:hAnsi="Times New Roman" w:eastAsia="楷体_GB2312" w:cs="Mongolian Baiti"/>
          <w:b/>
          <w:bCs/>
          <w:sz w:val="32"/>
          <w:szCs w:val="32"/>
          <w:lang w:val="en-US" w:eastAsia="zh-CN"/>
        </w:rPr>
      </w:pPr>
      <w:r>
        <w:rPr>
          <w:rFonts w:hint="eastAsia" w:ascii="楷体_GB2312" w:hAnsi="Times New Roman" w:eastAsia="楷体_GB2312" w:cs="Mongolian Baiti"/>
          <w:b/>
          <w:bCs/>
          <w:sz w:val="32"/>
          <w:szCs w:val="32"/>
          <w:lang w:val="en-US" w:eastAsia="zh-CN"/>
        </w:rPr>
        <w:t xml:space="preserve"> </w:t>
      </w:r>
    </w:p>
    <w:p>
      <w:pPr>
        <w:widowControl w:val="0"/>
        <w:numPr>
          <w:ilvl w:val="0"/>
          <w:numId w:val="0"/>
        </w:numPr>
        <w:adjustRightInd w:val="0"/>
        <w:snapToGrid w:val="0"/>
        <w:spacing w:line="240" w:lineRule="auto"/>
        <w:jc w:val="both"/>
        <w:rPr>
          <w:rFonts w:hint="eastAsia" w:ascii="楷体_GB2312" w:hAnsi="Times New Roman" w:eastAsia="楷体_GB2312" w:cs="Mongolian Baiti"/>
          <w:b/>
          <w:bCs/>
          <w:sz w:val="32"/>
          <w:szCs w:val="32"/>
          <w:lang w:val="en-US" w:eastAsia="zh-CN"/>
          <w14:textOutline w14:w="9525">
            <w14:solidFill>
              <w14:schemeClr w14:val="accent1"/>
            </w14:solidFill>
            <w14:round/>
          </w14:textOutline>
        </w:rPr>
      </w:pPr>
      <w:r>
        <w:rPr>
          <w:rFonts w:hint="eastAsia" w:ascii="楷体_GB2312" w:hAnsi="Times New Roman" w:eastAsia="楷体_GB2312" w:cs="Mongolian Baiti"/>
          <w:b/>
          <w:bCs/>
          <w:sz w:val="32"/>
          <w:szCs w:val="32"/>
          <w:lang w:val="en-US" w:eastAsia="zh-CN"/>
        </w:rPr>
        <w:t xml:space="preserve">   </w:t>
      </w:r>
      <w:r>
        <w:rPr>
          <w:rFonts w:hint="eastAsia" w:ascii="楷体_GB2312" w:hAnsi="Times New Roman" w:eastAsia="楷体_GB2312" w:cs="Mongolian Baiti"/>
          <w:b/>
          <w:bCs/>
          <w:sz w:val="32"/>
          <w:szCs w:val="32"/>
          <w:lang w:val="en-US" w:eastAsia="zh-CN"/>
        </w:rPr>
        <w:drawing>
          <wp:inline distT="0" distB="0" distL="114300" distR="114300">
            <wp:extent cx="5086350" cy="3810000"/>
            <wp:effectExtent l="9525" t="9525" r="9525" b="9525"/>
            <wp:docPr id="9" name="图片 9" descr="图片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50"/>
                    <pic:cNvPicPr>
                      <a:picLocks noChangeAspect="1"/>
                    </pic:cNvPicPr>
                  </pic:nvPicPr>
                  <pic:blipFill>
                    <a:blip r:embed="rId17"/>
                    <a:stretch>
                      <a:fillRect/>
                    </a:stretch>
                  </pic:blipFill>
                  <pic:spPr>
                    <a:xfrm>
                      <a:off x="0" y="0"/>
                      <a:ext cx="5086350" cy="3810000"/>
                    </a:xfrm>
                    <a:prstGeom prst="rect">
                      <a:avLst/>
                    </a:prstGeom>
                    <a:ln>
                      <a:gradFill>
                        <a:gsLst>
                          <a:gs pos="23000">
                            <a:srgbClr val="D6E6F5"/>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p>
      <w:pPr>
        <w:snapToGrid w:val="0"/>
        <w:spacing w:line="600" w:lineRule="exact"/>
        <w:ind w:firstLine="2240" w:firstLineChars="800"/>
        <w:rPr>
          <w:rFonts w:ascii="楷体_GB2312" w:hAnsi="Times New Roman" w:eastAsia="楷体_GB2312" w:cs="Mongolian Baiti"/>
          <w:b/>
          <w:bCs/>
          <w:sz w:val="32"/>
          <w:szCs w:val="32"/>
        </w:rPr>
      </w:pPr>
      <w:r>
        <w:rPr>
          <w:rFonts w:hint="eastAsia" w:ascii="仿宋_GB2312" w:hAnsi="Times New Roman" w:eastAsia="仿宋_GB2312" w:cs="Wingdings"/>
          <w:sz w:val="28"/>
          <w:szCs w:val="28"/>
        </w:rPr>
        <w:t>图</w:t>
      </w:r>
      <w:r>
        <w:rPr>
          <w:rFonts w:hint="eastAsia" w:ascii="仿宋_GB2312" w:hAnsi="Times New Roman" w:eastAsia="仿宋_GB2312" w:cs="Wingdings"/>
          <w:sz w:val="28"/>
          <w:szCs w:val="28"/>
          <w:lang w:val="en-US" w:eastAsia="zh-CN"/>
        </w:rPr>
        <w:t>4</w:t>
      </w:r>
      <w:r>
        <w:rPr>
          <w:rFonts w:hint="eastAsia" w:ascii="仿宋_GB2312" w:hAnsi="Times New Roman" w:eastAsia="仿宋_GB2312" w:cs="Wingdings"/>
          <w:sz w:val="28"/>
          <w:szCs w:val="28"/>
        </w:rPr>
        <w:t>：</w:t>
      </w:r>
      <w:r>
        <w:rPr>
          <w:rFonts w:hint="eastAsia" w:ascii="仿宋_GB2312" w:hAnsi="Times New Roman" w:eastAsia="仿宋_GB2312" w:cs="Wingdings"/>
          <w:sz w:val="28"/>
          <w:szCs w:val="28"/>
          <w:lang w:val="en-US" w:eastAsia="zh-CN"/>
        </w:rPr>
        <w:t>财政拨款收支预算对比</w:t>
      </w:r>
      <w:r>
        <w:rPr>
          <w:rFonts w:hint="eastAsia" w:ascii="仿宋_GB2312" w:hAnsi="Times New Roman" w:eastAsia="仿宋_GB2312" w:cs="Wingdings"/>
          <w:sz w:val="28"/>
          <w:szCs w:val="28"/>
        </w:rPr>
        <w:t>情况</w:t>
      </w:r>
    </w:p>
    <w:p>
      <w:pPr>
        <w:numPr>
          <w:ilvl w:val="0"/>
          <w:numId w:val="2"/>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1098.56</w:t>
      </w:r>
      <w:r>
        <w:rPr>
          <w:rFonts w:hint="eastAsia" w:ascii="仿宋_GB2312" w:hAnsi="Times New Roman" w:eastAsia="仿宋_GB2312" w:cs="Wingdings"/>
          <w:sz w:val="32"/>
          <w:szCs w:val="32"/>
        </w:rPr>
        <w:t>万元，主要用于以下方面</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社会保障和就业支出</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lang w:val="en-US" w:eastAsia="zh-CN"/>
        </w:rPr>
        <w:t>104.48</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9.51</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卫生健康支出31.62万元，</w:t>
      </w:r>
      <w:r>
        <w:rPr>
          <w:rFonts w:hint="eastAsia" w:ascii="仿宋_GB2312" w:hAnsi="Times New Roman" w:eastAsia="仿宋_GB2312" w:cs="DengXian-Regular"/>
          <w:sz w:val="32"/>
          <w:szCs w:val="32"/>
        </w:rPr>
        <w:t>占</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lang w:val="en-US" w:eastAsia="zh-CN"/>
        </w:rPr>
        <w:t>2.88</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住房保障支出</w:t>
      </w:r>
      <w:r>
        <w:rPr>
          <w:rFonts w:hint="eastAsia" w:ascii="仿宋_GB2312" w:hAnsi="Times New Roman" w:eastAsia="仿宋_GB2312" w:cs="DengXian-Regular"/>
          <w:sz w:val="32"/>
          <w:szCs w:val="32"/>
          <w:lang w:val="en-US" w:eastAsia="zh-CN"/>
        </w:rPr>
        <w:t>44.96</w:t>
      </w:r>
      <w:r>
        <w:rPr>
          <w:rFonts w:hint="eastAsia" w:ascii="仿宋_GB2312" w:hAnsi="Times New Roman" w:eastAsia="仿宋_GB2312" w:cs="DengXian-Regular"/>
          <w:sz w:val="32"/>
          <w:szCs w:val="32"/>
        </w:rPr>
        <w:t>万元，占</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lang w:val="en-US" w:eastAsia="zh-CN"/>
        </w:rPr>
        <w:t>4.09</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灾害防治及应急管理支出917.50万元，</w:t>
      </w:r>
      <w:r>
        <w:rPr>
          <w:rFonts w:hint="eastAsia" w:ascii="仿宋_GB2312" w:hAnsi="Times New Roman" w:eastAsia="仿宋_GB2312" w:cs="DengXian-Regular"/>
          <w:sz w:val="32"/>
          <w:szCs w:val="32"/>
        </w:rPr>
        <w:t>占</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lang w:val="en-US" w:eastAsia="zh-CN"/>
        </w:rPr>
        <w:t>83.52</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adjustRightInd w:val="0"/>
        <w:snapToGrid w:val="0"/>
        <w:spacing w:line="580" w:lineRule="exact"/>
        <w:ind w:firstLine="320" w:firstLineChars="100"/>
        <w:rPr>
          <w:rFonts w:hint="eastAsia" w:ascii="仿宋_GB2312" w:hAnsi="Times New Roman" w:eastAsia="仿宋_GB2312" w:cs="DengXian-Regular"/>
          <w:sz w:val="32"/>
          <w:szCs w:val="32"/>
        </w:rPr>
      </w:pPr>
      <w:r>
        <w:rPr>
          <w:rFonts w:hint="eastAsia" w:ascii="仿宋_GB2312" w:hAnsi="Times New Roman" w:eastAsia="仿宋_GB2312" w:cs="Wingdings"/>
          <w:sz w:val="32"/>
          <w:szCs w:val="32"/>
          <w:lang w:val="en-US" w:eastAsia="zh-CN"/>
        </w:rPr>
        <w:t>如图所示：</w:t>
      </w:r>
    </w:p>
    <w:p>
      <w:pPr>
        <w:adjustRightInd w:val="0"/>
        <w:snapToGrid w:val="0"/>
        <w:spacing w:line="240" w:lineRule="auto"/>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val="en-US" w:eastAsia="zh-CN"/>
        </w:rPr>
        <w:t xml:space="preserve"> </w:t>
      </w:r>
    </w:p>
    <w:p>
      <w:pPr>
        <w:adjustRightInd w:val="0"/>
        <w:snapToGrid w:val="0"/>
        <w:spacing w:line="240" w:lineRule="auto"/>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lang w:val="en-US" w:eastAsia="zh-CN"/>
        </w:rPr>
        <w:t xml:space="preserve">        </w:t>
      </w:r>
      <w:r>
        <w:rPr>
          <w:rFonts w:hint="eastAsia" w:ascii="仿宋_GB2312" w:hAnsi="Times New Roman" w:eastAsia="仿宋_GB2312" w:cs="DengXian-Regular"/>
          <w:sz w:val="32"/>
          <w:szCs w:val="32"/>
          <w:lang w:eastAsia="zh-CN"/>
        </w:rPr>
        <w:drawing>
          <wp:inline distT="0" distB="0" distL="114300" distR="114300">
            <wp:extent cx="3689350" cy="1755140"/>
            <wp:effectExtent l="0" t="0" r="6350" b="16510"/>
            <wp:docPr id="6" name="图片 6" descr="图片2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7987"/>
                    <pic:cNvPicPr>
                      <a:picLocks noChangeAspect="1"/>
                    </pic:cNvPicPr>
                  </pic:nvPicPr>
                  <pic:blipFill>
                    <a:blip r:embed="rId18"/>
                    <a:stretch>
                      <a:fillRect/>
                    </a:stretch>
                  </pic:blipFill>
                  <pic:spPr>
                    <a:xfrm>
                      <a:off x="0" y="0"/>
                      <a:ext cx="3689350" cy="1755140"/>
                    </a:xfrm>
                    <a:prstGeom prst="rect">
                      <a:avLst/>
                    </a:prstGeom>
                  </pic:spPr>
                </pic:pic>
              </a:graphicData>
            </a:graphic>
          </wp:inline>
        </w:drawing>
      </w:r>
    </w:p>
    <w:p>
      <w:pPr>
        <w:adjustRightInd w:val="0"/>
        <w:snapToGrid w:val="0"/>
        <w:spacing w:after="160" w:line="560" w:lineRule="exact"/>
        <w:jc w:val="center"/>
        <w:rPr>
          <w:rFonts w:hint="eastAsia" w:ascii="仿宋_GB2312" w:hAnsi="Times New Roman" w:eastAsia="仿宋_GB2312" w:cs="DengXian-Regular"/>
          <w:sz w:val="32"/>
          <w:szCs w:val="32"/>
        </w:rPr>
      </w:pPr>
      <w:r>
        <w:rPr>
          <w:rFonts w:hint="eastAsia" w:ascii="仿宋_GB2312" w:hAnsi="Times New Roman" w:eastAsia="仿宋_GB2312" w:cs="Wingdings"/>
          <w:sz w:val="28"/>
          <w:szCs w:val="28"/>
        </w:rPr>
        <w:t>图</w:t>
      </w:r>
      <w:r>
        <w:rPr>
          <w:rFonts w:hint="eastAsia" w:ascii="仿宋_GB2312" w:hAnsi="Times New Roman" w:eastAsia="仿宋_GB2312" w:cs="Wingdings"/>
          <w:sz w:val="28"/>
          <w:szCs w:val="28"/>
          <w:lang w:val="en-US" w:eastAsia="zh-CN"/>
        </w:rPr>
        <w:t>5</w:t>
      </w:r>
      <w:r>
        <w:rPr>
          <w:rFonts w:hint="eastAsia" w:ascii="仿宋_GB2312" w:hAnsi="Times New Roman" w:eastAsia="仿宋_GB2312" w:cs="Wingdings"/>
          <w:sz w:val="28"/>
          <w:szCs w:val="28"/>
        </w:rPr>
        <w:t>：财政拨款支出决算结构（按功能分类）</w:t>
      </w:r>
    </w:p>
    <w:p>
      <w:pPr>
        <w:adjustRightInd w:val="0"/>
        <w:snapToGrid w:val="0"/>
        <w:spacing w:line="600" w:lineRule="exact"/>
        <w:ind w:left="420" w:leftChars="200"/>
        <w:rPr>
          <w:rFonts w:ascii="仿宋_GB2312" w:hAnsi="Times New Roman" w:eastAsia="仿宋_GB2312" w:cs="Wingdings"/>
          <w:sz w:val="32"/>
          <w:szCs w:val="32"/>
          <w:highlight w:val="yellow"/>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824.64</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776.42</w:t>
      </w:r>
      <w:r>
        <w:rPr>
          <w:rFonts w:hint="eastAsia" w:ascii="仿宋_GB2312" w:hAnsi="Times New Roman" w:eastAsia="仿宋_GB2312" w:cs="Wingdings"/>
          <w:sz w:val="32"/>
          <w:szCs w:val="32"/>
        </w:rPr>
        <w:t>万元，主要包括基本工资、津贴补贴、奖金、绩效工资、机关事业单位基本养老保险缴费、职业年金缴费、职工基本医疗保险缴费、住房公积金、其他社会保障缴费、其他工资福利支出、奖励金、其他对个人和家庭的补助</w:t>
      </w:r>
      <w:r>
        <w:rPr>
          <w:rFonts w:hint="eastAsia" w:ascii="仿宋_GB2312" w:hAnsi="Times New Roman" w:eastAsia="仿宋_GB2312" w:cs="Wingdings"/>
          <w:sz w:val="32"/>
          <w:szCs w:val="32"/>
          <w:lang w:val="en-US" w:eastAsia="zh-CN"/>
        </w:rPr>
        <w:t>支出</w:t>
      </w:r>
      <w:r>
        <w:rPr>
          <w:rFonts w:hint="eastAsia" w:ascii="仿宋_GB2312" w:hAnsi="Times New Roman" w:eastAsia="仿宋_GB2312" w:cs="Wingdings"/>
          <w:sz w:val="32"/>
          <w:szCs w:val="32"/>
        </w:rPr>
        <w:t xml:space="preserve">；公用经费 </w:t>
      </w:r>
      <w:r>
        <w:rPr>
          <w:rFonts w:hint="eastAsia" w:ascii="仿宋_GB2312" w:hAnsi="Times New Roman" w:eastAsia="仿宋_GB2312" w:cs="Wingdings"/>
          <w:sz w:val="32"/>
          <w:szCs w:val="32"/>
          <w:lang w:val="en-US" w:eastAsia="zh-CN"/>
        </w:rPr>
        <w:t>48.22</w:t>
      </w:r>
      <w:r>
        <w:rPr>
          <w:rFonts w:hint="eastAsia" w:ascii="仿宋_GB2312" w:hAnsi="Times New Roman" w:eastAsia="仿宋_GB2312" w:cs="Wingdings"/>
          <w:sz w:val="32"/>
          <w:szCs w:val="32"/>
        </w:rPr>
        <w:t>万元，主要包括办公费、印刷费、手续费、水费、电费、邮电费、劳务费、委托业务费、公务用车运行维护费、其他交通费用、办公设备购置</w:t>
      </w:r>
      <w:r>
        <w:rPr>
          <w:rFonts w:hint="eastAsia" w:ascii="仿宋_GB2312" w:hAnsi="Times New Roman" w:eastAsia="仿宋_GB2312" w:cs="Wingdings"/>
          <w:sz w:val="32"/>
          <w:szCs w:val="32"/>
          <w:lang w:val="en-US" w:eastAsia="zh-CN"/>
        </w:rPr>
        <w:t>支出</w:t>
      </w:r>
      <w:r>
        <w:rPr>
          <w:rFonts w:hint="eastAsia" w:ascii="仿宋_GB2312" w:hAnsi="Times New Roman" w:eastAsia="仿宋_GB2312" w:cs="Wingdings"/>
          <w:sz w:val="32"/>
          <w:szCs w:val="32"/>
        </w:rPr>
        <w:t>。</w:t>
      </w:r>
    </w:p>
    <w:p>
      <w:pPr>
        <w:keepNext/>
        <w:keepLines/>
        <w:snapToGrid w:val="0"/>
        <w:spacing w:line="600" w:lineRule="exact"/>
        <w:ind w:firstLine="640" w:firstLineChars="200"/>
        <w:outlineLvl w:val="1"/>
        <w:rPr>
          <w:rFonts w:ascii="仿宋_GB2312" w:hAnsi="Times New Roman" w:eastAsia="仿宋_GB2312" w:cs="Wingdings"/>
          <w:sz w:val="32"/>
          <w:szCs w:val="32"/>
          <w:highlight w:val="yellow"/>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23.05</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12.38</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53.71</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10.67</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12.38</w:t>
      </w:r>
      <w:r>
        <w:rPr>
          <w:rFonts w:hint="eastAsia" w:ascii="仿宋_GB2312" w:hAnsi="Times New Roman" w:eastAsia="仿宋_GB2312" w:cs="Wingdings"/>
          <w:sz w:val="32"/>
          <w:szCs w:val="32"/>
        </w:rPr>
        <w:t>%，主要是</w:t>
      </w:r>
      <w:r>
        <w:rPr>
          <w:rFonts w:hint="eastAsia" w:ascii="仿宋" w:hAnsi="仿宋" w:eastAsia="仿宋" w:cs="仿宋"/>
          <w:sz w:val="32"/>
          <w:szCs w:val="32"/>
        </w:rPr>
        <w:t>厉行节约、</w:t>
      </w:r>
      <w:r>
        <w:rPr>
          <w:rFonts w:hint="eastAsia" w:ascii="仿宋" w:hAnsi="仿宋" w:eastAsia="仿宋" w:cs="仿宋"/>
          <w:sz w:val="32"/>
          <w:szCs w:val="32"/>
          <w:lang w:val="en-US" w:eastAsia="zh-CN"/>
        </w:rPr>
        <w:t>严控“</w:t>
      </w:r>
      <w:r>
        <w:rPr>
          <w:rFonts w:hint="eastAsia" w:ascii="仿宋" w:hAnsi="仿宋" w:eastAsia="仿宋" w:cs="仿宋"/>
          <w:sz w:val="32"/>
          <w:szCs w:val="32"/>
        </w:rPr>
        <w:t>三公经费</w:t>
      </w:r>
      <w:r>
        <w:rPr>
          <w:rFonts w:hint="eastAsia" w:ascii="仿宋" w:hAnsi="仿宋" w:eastAsia="仿宋" w:cs="仿宋"/>
          <w:sz w:val="32"/>
          <w:szCs w:val="32"/>
          <w:lang w:eastAsia="zh-CN"/>
        </w:rPr>
        <w:t>”</w:t>
      </w:r>
      <w:r>
        <w:rPr>
          <w:rFonts w:hint="eastAsia" w:ascii="仿宋" w:hAnsi="仿宋" w:eastAsia="仿宋" w:cs="仿宋"/>
          <w:sz w:val="32"/>
          <w:szCs w:val="32"/>
        </w:rPr>
        <w:t>支出</w:t>
      </w:r>
      <w:r>
        <w:rPr>
          <w:rFonts w:hint="eastAsia" w:ascii="仿宋" w:hAnsi="仿宋" w:eastAsia="仿宋" w:cs="仿宋"/>
          <w:sz w:val="32"/>
          <w:szCs w:val="32"/>
          <w:lang w:val="en-US" w:eastAsia="zh-CN"/>
        </w:rPr>
        <w:t>管理</w:t>
      </w:r>
      <w:r>
        <w:rPr>
          <w:rFonts w:hint="eastAsia" w:ascii="仿宋_GB2312" w:hAnsi="Times New Roman" w:eastAsia="仿宋_GB2312" w:cs="Wingdings"/>
          <w:sz w:val="32"/>
          <w:szCs w:val="32"/>
        </w:rPr>
        <w:t>；较2019年度减少</w:t>
      </w:r>
      <w:r>
        <w:rPr>
          <w:rFonts w:hint="eastAsia" w:ascii="仿宋_GB2312" w:hAnsi="Times New Roman" w:eastAsia="仿宋_GB2312" w:cs="Wingdings"/>
          <w:sz w:val="32"/>
          <w:szCs w:val="32"/>
          <w:lang w:val="en-US" w:eastAsia="zh-CN"/>
        </w:rPr>
        <w:t>2.15</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14.79</w:t>
      </w:r>
      <w:r>
        <w:rPr>
          <w:rFonts w:hint="eastAsia" w:ascii="仿宋_GB2312" w:hAnsi="Times New Roman" w:eastAsia="仿宋_GB2312" w:cs="Wingdings"/>
          <w:sz w:val="32"/>
          <w:szCs w:val="32"/>
        </w:rPr>
        <w:t>%，主要是</w:t>
      </w:r>
      <w:r>
        <w:rPr>
          <w:rFonts w:hint="eastAsia" w:ascii="仿宋" w:hAnsi="仿宋" w:eastAsia="仿宋" w:cs="仿宋"/>
          <w:sz w:val="32"/>
          <w:szCs w:val="32"/>
        </w:rPr>
        <w:t>厉行节约、</w:t>
      </w:r>
      <w:r>
        <w:rPr>
          <w:rFonts w:hint="eastAsia" w:ascii="仿宋" w:hAnsi="仿宋" w:eastAsia="仿宋" w:cs="仿宋"/>
          <w:sz w:val="32"/>
          <w:szCs w:val="32"/>
          <w:lang w:val="en-US" w:eastAsia="zh-CN"/>
        </w:rPr>
        <w:t>严控“</w:t>
      </w:r>
      <w:r>
        <w:rPr>
          <w:rFonts w:hint="eastAsia" w:ascii="仿宋" w:hAnsi="仿宋" w:eastAsia="仿宋" w:cs="仿宋"/>
          <w:sz w:val="32"/>
          <w:szCs w:val="32"/>
        </w:rPr>
        <w:t>三公经费</w:t>
      </w:r>
      <w:r>
        <w:rPr>
          <w:rFonts w:hint="eastAsia" w:ascii="仿宋" w:hAnsi="仿宋" w:eastAsia="仿宋" w:cs="仿宋"/>
          <w:sz w:val="32"/>
          <w:szCs w:val="32"/>
          <w:lang w:eastAsia="zh-CN"/>
        </w:rPr>
        <w:t>”</w:t>
      </w:r>
      <w:r>
        <w:rPr>
          <w:rFonts w:hint="eastAsia" w:ascii="仿宋" w:hAnsi="仿宋" w:eastAsia="仿宋" w:cs="仿宋"/>
          <w:sz w:val="32"/>
          <w:szCs w:val="32"/>
        </w:rPr>
        <w:t>支出</w:t>
      </w:r>
      <w:r>
        <w:rPr>
          <w:rFonts w:hint="eastAsia" w:ascii="仿宋" w:hAnsi="仿宋" w:eastAsia="仿宋" w:cs="仿宋"/>
          <w:sz w:val="32"/>
          <w:szCs w:val="32"/>
          <w:lang w:val="en-US" w:eastAsia="zh-CN"/>
        </w:rPr>
        <w:t>管理</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hint="eastAsia" w:ascii="仿宋_GB2312" w:hAnsi="Times New Roman" w:eastAsia="仿宋_GB2312" w:cs="Wingdings"/>
          <w:sz w:val="32"/>
          <w:szCs w:val="32"/>
          <w:lang w:val="en-US" w:eastAsia="zh-CN"/>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因公出国（境）费支出</w:t>
      </w:r>
      <w:r>
        <w:rPr>
          <w:rFonts w:hint="eastAsia" w:ascii="仿宋_GB2312" w:hAnsi="Times New Roman" w:eastAsia="仿宋_GB2312" w:cs="Wingdings"/>
          <w:sz w:val="32"/>
          <w:szCs w:val="32"/>
          <w:lang w:val="en-US" w:eastAsia="zh-CN"/>
        </w:rPr>
        <w:t>与年初</w:t>
      </w:r>
      <w:r>
        <w:rPr>
          <w:rFonts w:hint="eastAsia" w:ascii="仿宋_GB2312" w:hAnsi="Times New Roman" w:eastAsia="仿宋_GB2312" w:cs="Wingdings"/>
          <w:sz w:val="32"/>
          <w:szCs w:val="32"/>
        </w:rPr>
        <w:t>预算</w:t>
      </w:r>
      <w:r>
        <w:rPr>
          <w:rFonts w:hint="eastAsia" w:ascii="仿宋_GB2312" w:hAnsi="Times New Roman" w:eastAsia="仿宋_GB2312" w:cs="Wingdings"/>
          <w:sz w:val="32"/>
          <w:szCs w:val="32"/>
          <w:lang w:val="en-US" w:eastAsia="zh-CN"/>
        </w:rPr>
        <w:t>持平</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2020年无因公</w:t>
      </w:r>
      <w:r>
        <w:rPr>
          <w:rFonts w:hint="eastAsia" w:ascii="仿宋_GB2312" w:hAnsi="Times New Roman" w:eastAsia="仿宋_GB2312" w:cs="Wingdings"/>
          <w:sz w:val="32"/>
          <w:szCs w:val="32"/>
        </w:rPr>
        <w:t>出国（境）</w:t>
      </w:r>
      <w:r>
        <w:rPr>
          <w:rFonts w:hint="eastAsia" w:ascii="仿宋_GB2312" w:hAnsi="Times New Roman" w:eastAsia="仿宋_GB2312" w:cs="Wingdings"/>
          <w:sz w:val="32"/>
          <w:szCs w:val="32"/>
          <w:lang w:val="en-US" w:eastAsia="zh-CN"/>
        </w:rPr>
        <w:t>业务</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与2019年度决算支出持平，</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2020年和2019年均无因公</w:t>
      </w:r>
      <w:r>
        <w:rPr>
          <w:rFonts w:hint="eastAsia" w:ascii="仿宋_GB2312" w:hAnsi="Times New Roman" w:eastAsia="仿宋_GB2312" w:cs="Wingdings"/>
          <w:sz w:val="32"/>
          <w:szCs w:val="32"/>
        </w:rPr>
        <w:t>出国（境）</w:t>
      </w:r>
      <w:r>
        <w:rPr>
          <w:rFonts w:hint="eastAsia" w:ascii="仿宋_GB2312" w:hAnsi="Times New Roman" w:eastAsia="仿宋_GB2312" w:cs="Wingdings"/>
          <w:sz w:val="32"/>
          <w:szCs w:val="32"/>
          <w:lang w:val="en-US" w:eastAsia="zh-CN"/>
        </w:rPr>
        <w:t>业务。</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12.38</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55.02</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10.12</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44.98</w:t>
      </w:r>
      <w:r>
        <w:rPr>
          <w:rFonts w:hint="eastAsia" w:ascii="仿宋_GB2312" w:hAnsi="Times New Roman" w:eastAsia="仿宋_GB2312" w:cs="Wingdings"/>
          <w:sz w:val="32"/>
          <w:szCs w:val="32"/>
        </w:rPr>
        <w:t>%,主要是主要是</w:t>
      </w:r>
      <w:r>
        <w:rPr>
          <w:rFonts w:hint="eastAsia" w:ascii="仿宋" w:hAnsi="仿宋" w:eastAsia="仿宋" w:cs="仿宋"/>
          <w:sz w:val="32"/>
          <w:szCs w:val="32"/>
        </w:rPr>
        <w:t>厉行节约、</w:t>
      </w:r>
      <w:r>
        <w:rPr>
          <w:rFonts w:hint="eastAsia" w:ascii="仿宋" w:hAnsi="仿宋" w:eastAsia="仿宋" w:cs="仿宋"/>
          <w:sz w:val="32"/>
          <w:szCs w:val="32"/>
          <w:lang w:val="en-US" w:eastAsia="zh-CN"/>
        </w:rPr>
        <w:t>严控“</w:t>
      </w:r>
      <w:r>
        <w:rPr>
          <w:rFonts w:hint="eastAsia" w:ascii="仿宋" w:hAnsi="仿宋" w:eastAsia="仿宋" w:cs="仿宋"/>
          <w:sz w:val="32"/>
          <w:szCs w:val="32"/>
        </w:rPr>
        <w:t>三公经费</w:t>
      </w:r>
      <w:r>
        <w:rPr>
          <w:rFonts w:hint="eastAsia" w:ascii="仿宋" w:hAnsi="仿宋" w:eastAsia="仿宋" w:cs="仿宋"/>
          <w:sz w:val="32"/>
          <w:szCs w:val="32"/>
          <w:lang w:eastAsia="zh-CN"/>
        </w:rPr>
        <w:t>”</w:t>
      </w:r>
      <w:r>
        <w:rPr>
          <w:rFonts w:hint="eastAsia" w:ascii="仿宋" w:hAnsi="仿宋" w:eastAsia="仿宋" w:cs="仿宋"/>
          <w:sz w:val="32"/>
          <w:szCs w:val="32"/>
        </w:rPr>
        <w:t>支出</w:t>
      </w:r>
      <w:r>
        <w:rPr>
          <w:rFonts w:hint="eastAsia" w:ascii="仿宋" w:hAnsi="仿宋" w:eastAsia="仿宋" w:cs="仿宋"/>
          <w:sz w:val="32"/>
          <w:szCs w:val="32"/>
          <w:lang w:val="en-US" w:eastAsia="zh-CN"/>
        </w:rPr>
        <w:t>管理</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2.15</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14.79</w:t>
      </w:r>
      <w:r>
        <w:rPr>
          <w:rFonts w:hint="eastAsia" w:ascii="仿宋_GB2312" w:hAnsi="Times New Roman" w:eastAsia="仿宋_GB2312" w:cs="Wingdings"/>
          <w:sz w:val="32"/>
          <w:szCs w:val="32"/>
        </w:rPr>
        <w:t>%,主要是</w:t>
      </w:r>
      <w:r>
        <w:rPr>
          <w:rFonts w:hint="eastAsia" w:ascii="仿宋" w:hAnsi="仿宋" w:eastAsia="仿宋" w:cs="仿宋"/>
          <w:sz w:val="32"/>
          <w:szCs w:val="32"/>
        </w:rPr>
        <w:t>厉行节约、</w:t>
      </w:r>
      <w:r>
        <w:rPr>
          <w:rFonts w:hint="eastAsia" w:ascii="仿宋" w:hAnsi="仿宋" w:eastAsia="仿宋" w:cs="仿宋"/>
          <w:sz w:val="32"/>
          <w:szCs w:val="32"/>
          <w:lang w:val="en-US" w:eastAsia="zh-CN"/>
        </w:rPr>
        <w:t>严控“</w:t>
      </w:r>
      <w:r>
        <w:rPr>
          <w:rFonts w:hint="eastAsia" w:ascii="仿宋" w:hAnsi="仿宋" w:eastAsia="仿宋" w:cs="仿宋"/>
          <w:sz w:val="32"/>
          <w:szCs w:val="32"/>
        </w:rPr>
        <w:t>三公经费</w:t>
      </w:r>
      <w:r>
        <w:rPr>
          <w:rFonts w:hint="eastAsia" w:ascii="仿宋" w:hAnsi="仿宋" w:eastAsia="仿宋" w:cs="仿宋"/>
          <w:sz w:val="32"/>
          <w:szCs w:val="32"/>
          <w:lang w:eastAsia="zh-CN"/>
        </w:rPr>
        <w:t>”</w:t>
      </w:r>
      <w:r>
        <w:rPr>
          <w:rFonts w:hint="eastAsia" w:ascii="仿宋" w:hAnsi="仿宋" w:eastAsia="仿宋" w:cs="仿宋"/>
          <w:sz w:val="32"/>
          <w:szCs w:val="32"/>
        </w:rPr>
        <w:t>支出</w:t>
      </w:r>
      <w:r>
        <w:rPr>
          <w:rFonts w:hint="eastAsia" w:ascii="仿宋" w:hAnsi="仿宋" w:eastAsia="仿宋" w:cs="仿宋"/>
          <w:sz w:val="32"/>
          <w:szCs w:val="32"/>
          <w:lang w:val="en-US" w:eastAsia="zh-CN"/>
        </w:rPr>
        <w:t>管理</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keepNext w:val="0"/>
        <w:keepLines w:val="0"/>
        <w:widowControl/>
        <w:suppressLineNumbers w:val="0"/>
        <w:ind w:firstLine="643" w:firstLineChars="200"/>
        <w:jc w:val="left"/>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w:t>
      </w:r>
      <w:r>
        <w:rPr>
          <w:rFonts w:hint="eastAsia" w:ascii="仿宋_GB2312" w:hAnsi="Times New Roman" w:eastAsia="仿宋_GB2312" w:cs="DengXian-Regular"/>
          <w:sz w:val="32"/>
          <w:szCs w:val="32"/>
          <w:lang w:val="en-US" w:eastAsia="zh-CN"/>
        </w:rPr>
        <w:t>未</w:t>
      </w:r>
      <w:r>
        <w:rPr>
          <w:rFonts w:hint="eastAsia" w:ascii="仿宋_GB2312" w:hAnsi="Times New Roman" w:eastAsia="仿宋_GB2312" w:cs="DengXian-Regular"/>
          <w:sz w:val="32"/>
          <w:szCs w:val="32"/>
        </w:rPr>
        <w:t>发生“公务用车购置”经费支出。</w:t>
      </w:r>
      <w:r>
        <w:rPr>
          <w:rFonts w:ascii="仿宋" w:hAnsi="仿宋" w:eastAsia="仿宋" w:cs="仿宋"/>
          <w:color w:val="000000"/>
          <w:kern w:val="0"/>
          <w:sz w:val="31"/>
          <w:szCs w:val="31"/>
          <w:lang w:val="en-US" w:eastAsia="zh-CN" w:bidi="ar"/>
        </w:rPr>
        <w:t>公务用车购置支出与年初预</w:t>
      </w:r>
      <w:r>
        <w:rPr>
          <w:rFonts w:hint="eastAsia" w:ascii="仿宋" w:hAnsi="仿宋" w:eastAsia="仿宋" w:cs="仿宋"/>
          <w:color w:val="000000"/>
          <w:kern w:val="0"/>
          <w:sz w:val="31"/>
          <w:szCs w:val="31"/>
          <w:lang w:val="en-US" w:eastAsia="zh-CN" w:bidi="ar"/>
        </w:rPr>
        <w:t>算相比无增减，与 2019 年度决算支出持平,主要是车辆无增减。</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4</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w:t>
      </w:r>
      <w:r>
        <w:rPr>
          <w:rFonts w:hint="eastAsia" w:ascii="仿宋" w:hAnsi="仿宋" w:eastAsia="仿宋" w:cs="仿宋"/>
          <w:sz w:val="32"/>
          <w:szCs w:val="32"/>
        </w:rPr>
        <w:t>（</w:t>
      </w:r>
      <w:r>
        <w:rPr>
          <w:rFonts w:hint="eastAsia" w:ascii="仿宋" w:hAnsi="仿宋" w:eastAsia="仿宋" w:cs="宋体"/>
          <w:kern w:val="0"/>
          <w:sz w:val="32"/>
          <w:szCs w:val="32"/>
        </w:rPr>
        <w:t>经领导批示将调拨给我单位使用的</w:t>
      </w:r>
      <w:r>
        <w:rPr>
          <w:rFonts w:ascii="仿宋" w:hAnsi="仿宋" w:eastAsia="仿宋" w:cs="宋体"/>
          <w:kern w:val="0"/>
          <w:sz w:val="32"/>
          <w:szCs w:val="32"/>
        </w:rPr>
        <w:t>5</w:t>
      </w:r>
      <w:r>
        <w:rPr>
          <w:rFonts w:hint="eastAsia" w:ascii="仿宋" w:hAnsi="仿宋" w:eastAsia="仿宋" w:cs="宋体"/>
          <w:kern w:val="0"/>
          <w:sz w:val="32"/>
          <w:szCs w:val="32"/>
        </w:rPr>
        <w:t>辆执法车纳入预算</w:t>
      </w:r>
      <w:r>
        <w:rPr>
          <w:rFonts w:ascii="仿宋" w:hAnsi="仿宋" w:eastAsia="仿宋" w:cs="宋体"/>
          <w:kern w:val="0"/>
          <w:sz w:val="32"/>
          <w:szCs w:val="32"/>
        </w:rPr>
        <w:t>,</w:t>
      </w:r>
      <w:r>
        <w:rPr>
          <w:rFonts w:hint="eastAsia" w:ascii="仿宋" w:hAnsi="仿宋" w:eastAsia="仿宋" w:cs="宋体"/>
          <w:kern w:val="0"/>
          <w:sz w:val="32"/>
          <w:szCs w:val="32"/>
        </w:rPr>
        <w:t>按照公</w:t>
      </w:r>
      <w:r>
        <w:rPr>
          <w:rFonts w:hint="eastAsia" w:ascii="仿宋" w:hAnsi="仿宋" w:eastAsia="仿宋" w:cs="仿宋"/>
          <w:sz w:val="32"/>
          <w:szCs w:val="32"/>
        </w:rPr>
        <w:t>务用</w:t>
      </w:r>
      <w:r>
        <w:rPr>
          <w:rFonts w:hint="eastAsia" w:ascii="仿宋" w:hAnsi="仿宋" w:eastAsia="仿宋" w:cs="宋体"/>
          <w:kern w:val="0"/>
          <w:sz w:val="32"/>
          <w:szCs w:val="32"/>
        </w:rPr>
        <w:t>车管理</w:t>
      </w:r>
      <w:r>
        <w:rPr>
          <w:rFonts w:hint="eastAsia" w:ascii="仿宋" w:hAnsi="仿宋" w:eastAsia="仿宋" w:cs="宋体"/>
          <w:kern w:val="0"/>
          <w:sz w:val="32"/>
          <w:szCs w:val="32"/>
          <w:lang w:eastAsia="zh-CN"/>
        </w:rPr>
        <w:t>），</w:t>
      </w:r>
      <w:r>
        <w:rPr>
          <w:rFonts w:hint="eastAsia" w:ascii="仿宋_GB2312" w:hAnsi="Times New Roman" w:eastAsia="仿宋_GB2312" w:cs="Wingdings"/>
          <w:sz w:val="32"/>
          <w:szCs w:val="32"/>
          <w:lang w:val="en-US" w:eastAsia="zh-CN"/>
        </w:rPr>
        <w:t>发生运行维护费支出12.38万元，</w:t>
      </w:r>
      <w:r>
        <w:rPr>
          <w:rFonts w:hint="eastAsia" w:ascii="仿宋_GB2312" w:hAnsi="Times New Roman" w:eastAsia="仿宋_GB2312" w:cs="Wingdings"/>
          <w:sz w:val="32"/>
          <w:szCs w:val="32"/>
        </w:rPr>
        <w:t>。公车运行维护费支出较预算减少</w:t>
      </w:r>
      <w:r>
        <w:rPr>
          <w:rFonts w:hint="eastAsia" w:ascii="仿宋_GB2312" w:hAnsi="Times New Roman" w:eastAsia="仿宋_GB2312" w:cs="Wingdings"/>
          <w:sz w:val="32"/>
          <w:szCs w:val="32"/>
          <w:lang w:val="en-US" w:eastAsia="zh-CN"/>
        </w:rPr>
        <w:t>10.12</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44.98</w:t>
      </w:r>
      <w:r>
        <w:rPr>
          <w:rFonts w:hint="eastAsia" w:ascii="仿宋_GB2312" w:hAnsi="Times New Roman" w:eastAsia="仿宋_GB2312" w:cs="Wingdings"/>
          <w:sz w:val="32"/>
          <w:szCs w:val="32"/>
        </w:rPr>
        <w:t>%,主要是</w:t>
      </w:r>
      <w:r>
        <w:rPr>
          <w:rFonts w:hint="eastAsia" w:ascii="仿宋" w:hAnsi="仿宋" w:eastAsia="仿宋" w:cs="仿宋"/>
          <w:sz w:val="32"/>
          <w:szCs w:val="32"/>
        </w:rPr>
        <w:t>厉行节约、</w:t>
      </w:r>
      <w:r>
        <w:rPr>
          <w:rFonts w:hint="eastAsia" w:ascii="仿宋" w:hAnsi="仿宋" w:eastAsia="仿宋" w:cs="仿宋"/>
          <w:sz w:val="32"/>
          <w:szCs w:val="32"/>
          <w:lang w:val="en-US" w:eastAsia="zh-CN"/>
        </w:rPr>
        <w:t>严控“</w:t>
      </w:r>
      <w:r>
        <w:rPr>
          <w:rFonts w:hint="eastAsia" w:ascii="仿宋" w:hAnsi="仿宋" w:eastAsia="仿宋" w:cs="仿宋"/>
          <w:sz w:val="32"/>
          <w:szCs w:val="32"/>
        </w:rPr>
        <w:t>三公经费</w:t>
      </w:r>
      <w:r>
        <w:rPr>
          <w:rFonts w:hint="eastAsia" w:ascii="仿宋" w:hAnsi="仿宋" w:eastAsia="仿宋" w:cs="仿宋"/>
          <w:sz w:val="32"/>
          <w:szCs w:val="32"/>
          <w:lang w:eastAsia="zh-CN"/>
        </w:rPr>
        <w:t>”</w:t>
      </w:r>
      <w:r>
        <w:rPr>
          <w:rFonts w:hint="eastAsia" w:ascii="仿宋" w:hAnsi="仿宋" w:eastAsia="仿宋" w:cs="仿宋"/>
          <w:sz w:val="32"/>
          <w:szCs w:val="32"/>
        </w:rPr>
        <w:t>支出</w:t>
      </w:r>
      <w:r>
        <w:rPr>
          <w:rFonts w:hint="eastAsia" w:ascii="仿宋" w:hAnsi="仿宋" w:eastAsia="仿宋" w:cs="仿宋"/>
          <w:sz w:val="32"/>
          <w:szCs w:val="32"/>
          <w:lang w:val="en-US" w:eastAsia="zh-CN"/>
        </w:rPr>
        <w:t>管理</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2.15</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14.79</w:t>
      </w:r>
      <w:r>
        <w:rPr>
          <w:rFonts w:hint="eastAsia" w:ascii="仿宋_GB2312" w:hAnsi="Times New Roman" w:eastAsia="仿宋_GB2312" w:cs="Wingdings"/>
          <w:sz w:val="32"/>
          <w:szCs w:val="32"/>
        </w:rPr>
        <w:t>%，主要是</w:t>
      </w:r>
      <w:r>
        <w:rPr>
          <w:rFonts w:hint="eastAsia" w:ascii="仿宋" w:hAnsi="仿宋" w:eastAsia="仿宋" w:cs="仿宋"/>
          <w:sz w:val="32"/>
          <w:szCs w:val="32"/>
        </w:rPr>
        <w:t>厉行节约、</w:t>
      </w:r>
      <w:r>
        <w:rPr>
          <w:rFonts w:hint="eastAsia" w:ascii="仿宋" w:hAnsi="仿宋" w:eastAsia="仿宋" w:cs="仿宋"/>
          <w:sz w:val="32"/>
          <w:szCs w:val="32"/>
          <w:lang w:val="en-US" w:eastAsia="zh-CN"/>
        </w:rPr>
        <w:t>严控“</w:t>
      </w:r>
      <w:r>
        <w:rPr>
          <w:rFonts w:hint="eastAsia" w:ascii="仿宋" w:hAnsi="仿宋" w:eastAsia="仿宋" w:cs="仿宋"/>
          <w:sz w:val="32"/>
          <w:szCs w:val="32"/>
        </w:rPr>
        <w:t>三公经费</w:t>
      </w:r>
      <w:r>
        <w:rPr>
          <w:rFonts w:hint="eastAsia" w:ascii="仿宋" w:hAnsi="仿宋" w:eastAsia="仿宋" w:cs="仿宋"/>
          <w:sz w:val="32"/>
          <w:szCs w:val="32"/>
          <w:lang w:eastAsia="zh-CN"/>
        </w:rPr>
        <w:t>”</w:t>
      </w:r>
      <w:r>
        <w:rPr>
          <w:rFonts w:hint="eastAsia" w:ascii="仿宋" w:hAnsi="仿宋" w:eastAsia="仿宋" w:cs="仿宋"/>
          <w:sz w:val="32"/>
          <w:szCs w:val="32"/>
        </w:rPr>
        <w:t>支出</w:t>
      </w:r>
      <w:r>
        <w:rPr>
          <w:rFonts w:hint="eastAsia" w:ascii="仿宋" w:hAnsi="仿宋" w:eastAsia="仿宋" w:cs="仿宋"/>
          <w:sz w:val="32"/>
          <w:szCs w:val="32"/>
          <w:lang w:val="en-US" w:eastAsia="zh-CN"/>
        </w:rPr>
        <w:t>管理</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w:t>
      </w:r>
      <w:r>
        <w:rPr>
          <w:rFonts w:hint="eastAsia" w:ascii="仿宋_GB2312" w:hAnsi="Times New Roman" w:eastAsia="仿宋_GB2312" w:cs="Wingdings"/>
          <w:sz w:val="32"/>
          <w:szCs w:val="32"/>
          <w:lang w:val="en-US" w:eastAsia="zh-CN"/>
        </w:rPr>
        <w:t>公务接待费</w:t>
      </w:r>
      <w:r>
        <w:rPr>
          <w:rFonts w:hint="eastAsia" w:ascii="仿宋_GB2312" w:hAnsi="Times New Roman" w:eastAsia="仿宋_GB2312" w:cs="Wingdings"/>
          <w:sz w:val="32"/>
          <w:szCs w:val="32"/>
        </w:rPr>
        <w:t>支出</w:t>
      </w:r>
      <w:r>
        <w:rPr>
          <w:rFonts w:hint="eastAsia" w:ascii="仿宋_GB2312" w:hAnsi="Times New Roman" w:eastAsia="仿宋_GB2312" w:cs="Wingdings"/>
          <w:sz w:val="32"/>
          <w:szCs w:val="32"/>
          <w:lang w:val="en-US" w:eastAsia="zh-CN"/>
        </w:rPr>
        <w:t>与年初</w:t>
      </w:r>
      <w:r>
        <w:rPr>
          <w:rFonts w:hint="eastAsia" w:ascii="仿宋_GB2312" w:hAnsi="Times New Roman" w:eastAsia="仿宋_GB2312" w:cs="Wingdings"/>
          <w:sz w:val="32"/>
          <w:szCs w:val="32"/>
        </w:rPr>
        <w:t>预算</w:t>
      </w:r>
      <w:r>
        <w:rPr>
          <w:rFonts w:hint="eastAsia" w:ascii="仿宋_GB2312" w:hAnsi="Times New Roman" w:eastAsia="仿宋_GB2312" w:cs="Wingdings"/>
          <w:sz w:val="32"/>
          <w:szCs w:val="32"/>
          <w:lang w:val="en-US" w:eastAsia="zh-CN"/>
        </w:rPr>
        <w:t>持平</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2020年未发生公务接待费</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与2019年度决算支出持平，</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2020年和2019年均未发生公务接待。</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58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根据预算绩效管理要求，本部门组织对</w:t>
      </w:r>
      <w:r>
        <w:rPr>
          <w:rFonts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年度一般公共预算项目支出全面开展绩效自评，</w:t>
      </w:r>
      <w:r>
        <w:rPr>
          <w:rFonts w:hint="eastAsia" w:ascii="仿宋_GB2312" w:hAnsi="仿宋_GB2312" w:eastAsia="仿宋_GB2312" w:cs="仿宋_GB2312"/>
          <w:sz w:val="32"/>
          <w:szCs w:val="32"/>
          <w:lang w:val="en-US" w:eastAsia="zh-CN"/>
        </w:rPr>
        <w:t>2020年本部门一般公共预算项目共计4个，包括：购置森林防灭火专用车辆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应急局所需办公费</w:t>
      </w:r>
      <w:r>
        <w:rPr>
          <w:rFonts w:hint="eastAsia" w:ascii="仿宋_GB2312" w:hAnsi="仿宋_GB2312" w:eastAsia="仿宋_GB2312" w:cs="仿宋_GB2312"/>
          <w:sz w:val="32"/>
          <w:szCs w:val="32"/>
          <w:lang w:eastAsia="zh-CN"/>
        </w:rPr>
        <w:t>；购置</w:t>
      </w:r>
      <w:r>
        <w:rPr>
          <w:rFonts w:hint="eastAsia" w:ascii="仿宋_GB2312" w:hAnsi="仿宋_GB2312" w:eastAsia="仿宋_GB2312" w:cs="仿宋_GB2312"/>
          <w:sz w:val="32"/>
          <w:szCs w:val="32"/>
          <w:lang w:val="en-US" w:eastAsia="zh-CN"/>
        </w:rPr>
        <w:t>防汛</w:t>
      </w:r>
      <w:r>
        <w:rPr>
          <w:rFonts w:hint="eastAsia" w:ascii="仿宋_GB2312" w:hAnsi="仿宋_GB2312" w:eastAsia="仿宋_GB2312" w:cs="仿宋_GB2312"/>
          <w:sz w:val="32"/>
          <w:szCs w:val="32"/>
          <w:lang w:eastAsia="zh-CN"/>
        </w:rPr>
        <w:t>物资</w:t>
      </w:r>
      <w:r>
        <w:rPr>
          <w:rFonts w:hint="eastAsia" w:ascii="仿宋_GB2312" w:hAnsi="仿宋_GB2312" w:eastAsia="仿宋_GB2312" w:cs="仿宋_GB2312"/>
          <w:sz w:val="32"/>
          <w:szCs w:val="32"/>
          <w:lang w:val="en-US" w:eastAsia="zh-CN"/>
        </w:rPr>
        <w:t>所需</w:t>
      </w:r>
      <w:r>
        <w:rPr>
          <w:rFonts w:hint="eastAsia" w:ascii="仿宋_GB2312" w:hAnsi="仿宋_GB2312" w:eastAsia="仿宋_GB2312" w:cs="仿宋_GB2312"/>
          <w:sz w:val="32"/>
          <w:szCs w:val="32"/>
          <w:lang w:eastAsia="zh-CN"/>
        </w:rPr>
        <w:t>费</w:t>
      </w:r>
      <w:r>
        <w:rPr>
          <w:rFonts w:hint="eastAsia" w:ascii="仿宋_GB2312" w:hAnsi="仿宋_GB2312" w:eastAsia="仿宋_GB2312" w:cs="仿宋_GB2312"/>
          <w:sz w:val="32"/>
          <w:szCs w:val="32"/>
          <w:lang w:val="en-US" w:eastAsia="zh-CN"/>
        </w:rPr>
        <w:t>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2020年自然灾害救助专项资金保财行【2019】21号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未涉及一、二级项目，共计项目支出217.92万元。各项目已于本年度内全部完成。</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keepNext w:val="0"/>
        <w:keepLines w:val="0"/>
        <w:widowControl/>
        <w:suppressLineNumbers w:val="0"/>
        <w:ind w:firstLine="930" w:firstLineChars="300"/>
        <w:jc w:val="left"/>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kern w:val="0"/>
          <w:sz w:val="31"/>
          <w:szCs w:val="31"/>
          <w:lang w:val="en-US" w:eastAsia="zh-CN" w:bidi="ar"/>
        </w:rPr>
        <w:t>2020年，</w:t>
      </w:r>
      <w:r>
        <w:rPr>
          <w:rFonts w:ascii="仿宋" w:hAnsi="仿宋" w:eastAsia="仿宋" w:cs="仿宋"/>
          <w:color w:val="000000"/>
          <w:kern w:val="0"/>
          <w:sz w:val="31"/>
          <w:szCs w:val="31"/>
          <w:lang w:val="en-US" w:eastAsia="zh-CN" w:bidi="ar"/>
        </w:rPr>
        <w:t>我局认真贯彻落实各级党委政府和省</w:t>
      </w:r>
      <w:r>
        <w:rPr>
          <w:rFonts w:hint="eastAsia" w:ascii="仿宋" w:hAnsi="仿宋" w:eastAsia="仿宋" w:cs="仿宋"/>
          <w:color w:val="000000"/>
          <w:kern w:val="0"/>
          <w:sz w:val="31"/>
          <w:szCs w:val="31"/>
          <w:lang w:val="en-US" w:eastAsia="zh-CN" w:bidi="ar"/>
        </w:rPr>
        <w:t>、市</w:t>
      </w:r>
      <w:r>
        <w:rPr>
          <w:rFonts w:ascii="仿宋" w:hAnsi="仿宋" w:eastAsia="仿宋" w:cs="仿宋"/>
          <w:color w:val="000000"/>
          <w:kern w:val="0"/>
          <w:sz w:val="31"/>
          <w:szCs w:val="31"/>
          <w:lang w:val="en-US" w:eastAsia="zh-CN" w:bidi="ar"/>
        </w:rPr>
        <w:t>应急管理</w:t>
      </w:r>
      <w:r>
        <w:rPr>
          <w:rFonts w:hint="eastAsia" w:ascii="仿宋" w:hAnsi="仿宋" w:eastAsia="仿宋" w:cs="仿宋"/>
          <w:color w:val="000000"/>
          <w:kern w:val="0"/>
          <w:sz w:val="31"/>
          <w:szCs w:val="31"/>
          <w:lang w:val="en-US" w:eastAsia="zh-CN" w:bidi="ar"/>
        </w:rPr>
        <w:t>系统关于安全生产的决策部署，落实安全生产责任制，开展安全隐患排查整治及专项督查检查，加大安全生产大检查长效机制建设，有效遏制生产安全事故的发生。</w:t>
      </w:r>
      <w:r>
        <w:rPr>
          <w:rFonts w:hint="eastAsia" w:ascii="仿宋" w:hAnsi="仿宋" w:eastAsia="仿宋" w:cs="仿宋"/>
          <w:color w:val="000000"/>
          <w:kern w:val="0"/>
          <w:sz w:val="32"/>
          <w:szCs w:val="32"/>
          <w:lang w:val="en-US" w:eastAsia="zh-CN" w:bidi="ar"/>
        </w:rPr>
        <w:t xml:space="preserve">通过自评，2020 年所有项目实际完成绩效值均已达到预期绩效指标，项目实施效果明显，达到预期要求，提高了资金的使用效益，个别项目绩效指标有待改善。 2020 年部门整体支出自评得分为 92分，自评结果为优。 </w:t>
      </w:r>
    </w:p>
    <w:p>
      <w:pPr>
        <w:adjustRightInd w:val="0"/>
        <w:snapToGrid w:val="0"/>
        <w:spacing w:line="600" w:lineRule="exact"/>
        <w:ind w:firstLine="643" w:firstLineChars="20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rPr>
        <w:t>（三）财政评价项目绩效评价结果</w:t>
      </w:r>
      <w:r>
        <w:rPr>
          <w:rFonts w:hint="eastAsia" w:ascii="楷体_GB2312" w:hAnsi="楷体_GB2312" w:eastAsia="楷体_GB2312" w:cs="楷体_GB2312"/>
          <w:b/>
          <w:bCs/>
          <w:sz w:val="32"/>
          <w:szCs w:val="32"/>
          <w:lang w:val="en-US" w:eastAsia="zh-CN"/>
        </w:rPr>
        <w:t xml:space="preserve">       </w:t>
      </w:r>
    </w:p>
    <w:p>
      <w:pPr>
        <w:adjustRightInd w:val="0"/>
        <w:snapToGrid w:val="0"/>
        <w:spacing w:line="600" w:lineRule="exact"/>
        <w:ind w:firstLine="643" w:firstLineChars="200"/>
        <w:rPr>
          <w:rFonts w:hint="eastAsia" w:ascii="黑体" w:hAnsi="黑体" w:eastAsia="黑体" w:cs="黑体"/>
          <w:sz w:val="32"/>
          <w:szCs w:val="32"/>
        </w:rPr>
      </w:pPr>
      <w:r>
        <w:rPr>
          <w:rFonts w:hint="eastAsia" w:ascii="楷体_GB2312" w:hAnsi="楷体_GB2312" w:eastAsia="楷体_GB2312" w:cs="楷体_GB2312"/>
          <w:b/>
          <w:bCs/>
          <w:sz w:val="32"/>
          <w:szCs w:val="32"/>
          <w:lang w:val="en-US" w:eastAsia="zh-CN"/>
        </w:rPr>
        <w:t xml:space="preserve">         </w:t>
      </w:r>
      <w:r>
        <w:rPr>
          <w:rFonts w:hint="eastAsia" w:ascii="楷体_GB2312" w:hAnsi="楷体_GB2312" w:eastAsia="楷体_GB2312" w:cs="楷体_GB2312"/>
          <w:b w:val="0"/>
          <w:bCs w:val="0"/>
          <w:sz w:val="32"/>
          <w:szCs w:val="32"/>
          <w:lang w:val="en-US" w:eastAsia="zh-CN"/>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48.22</w:t>
      </w:r>
      <w:r>
        <w:rPr>
          <w:rFonts w:hint="eastAsia" w:ascii="仿宋_GB2312" w:hAnsi="仿宋_GB2312" w:eastAsia="仿宋_GB2312" w:cs="仿宋_GB2312"/>
          <w:sz w:val="32"/>
          <w:szCs w:val="32"/>
        </w:rPr>
        <w:t>万元，比2019年度减少</w:t>
      </w:r>
      <w:r>
        <w:rPr>
          <w:rFonts w:hint="eastAsia" w:ascii="仿宋_GB2312" w:hAnsi="仿宋_GB2312" w:eastAsia="仿宋_GB2312" w:cs="仿宋_GB2312"/>
          <w:sz w:val="32"/>
          <w:szCs w:val="32"/>
          <w:lang w:val="en-US" w:eastAsia="zh-CN"/>
        </w:rPr>
        <w:t>9.56</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16.54</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val="en-US" w:eastAsia="zh-CN"/>
        </w:rPr>
        <w:t>厉行节约，严控日常公用经费及“三公经费”开支</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247.22</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151.64</w:t>
      </w:r>
      <w:r>
        <w:rPr>
          <w:rFonts w:hint="eastAsia" w:ascii="仿宋_GB2312" w:hAnsi="仿宋_GB2312" w:eastAsia="仿宋_GB2312" w:cs="仿宋_GB2312"/>
          <w:color w:val="000000"/>
          <w:kern w:val="0"/>
          <w:sz w:val="32"/>
          <w:szCs w:val="32"/>
          <w:lang w:bidi="ar"/>
        </w:rPr>
        <w:t xml:space="preserve"> 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95.58</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151.64</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61.34</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40.65</w:t>
      </w:r>
      <w:r>
        <w:rPr>
          <w:rFonts w:hint="eastAsia"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val="en-US" w:eastAsia="zh-CN" w:bidi="ar"/>
        </w:rPr>
        <w:t>16.44</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截至2020年12月31日，</w:t>
      </w:r>
      <w:r>
        <w:rPr>
          <w:rFonts w:hint="eastAsia" w:ascii="仿宋_GB2312" w:hAnsi="仿宋_GB2312" w:eastAsia="仿宋_GB2312" w:cs="仿宋_GB2312"/>
          <w:sz w:val="32"/>
          <w:szCs w:val="32"/>
          <w:lang w:val="en-US" w:eastAsia="zh-CN"/>
        </w:rPr>
        <w:t>本部门资产总额：392.21万元。</w:t>
      </w:r>
    </w:p>
    <w:p>
      <w:pPr>
        <w:adjustRightInd w:val="0"/>
        <w:snapToGrid w:val="0"/>
        <w:spacing w:line="58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Times New Roman" w:eastAsia="仿宋_GB2312" w:cs="DengXian-Regular"/>
          <w:sz w:val="32"/>
          <w:szCs w:val="32"/>
        </w:rPr>
        <w:t>本部门共有车辆</w:t>
      </w:r>
      <w:r>
        <w:rPr>
          <w:rFonts w:hint="eastAsia" w:ascii="仿宋_GB2312" w:hAnsi="Times New Roman" w:eastAsia="仿宋_GB2312" w:cs="DengXian-Regular"/>
          <w:sz w:val="32"/>
          <w:szCs w:val="32"/>
          <w:lang w:val="en-US" w:eastAsia="zh-CN"/>
        </w:rPr>
        <w:t>10</w:t>
      </w:r>
      <w:r>
        <w:rPr>
          <w:rFonts w:hint="eastAsia" w:ascii="仿宋_GB2312" w:hAnsi="Times New Roman" w:eastAsia="仿宋_GB2312" w:cs="DengXian-Regular"/>
          <w:sz w:val="32"/>
          <w:szCs w:val="32"/>
        </w:rPr>
        <w:t>辆，比上年</w:t>
      </w:r>
      <w:r>
        <w:rPr>
          <w:rFonts w:hint="eastAsia" w:ascii="仿宋_GB2312" w:hAnsi="Times New Roman" w:eastAsia="仿宋_GB2312" w:cs="DengXian-Regular"/>
          <w:sz w:val="32"/>
          <w:szCs w:val="32"/>
          <w:lang w:val="en-US" w:eastAsia="zh-CN"/>
        </w:rPr>
        <w:t>增加4辆，主要原因是购置4辆森林防灭火专用车</w:t>
      </w:r>
      <w:r>
        <w:rPr>
          <w:rFonts w:hint="eastAsia" w:ascii="仿宋_GB2312" w:hAnsi="Times New Roman" w:eastAsia="仿宋_GB2312" w:cs="DengXian-Regular"/>
          <w:sz w:val="32"/>
          <w:szCs w:val="32"/>
        </w:rPr>
        <w:t>。其中</w:t>
      </w:r>
      <w:r>
        <w:rPr>
          <w:rFonts w:hint="eastAsia" w:ascii="仿宋_GB2312" w:eastAsia="仿宋_GB2312" w:cs="DengXian-Regular"/>
          <w:sz w:val="32"/>
          <w:szCs w:val="32"/>
        </w:rPr>
        <w:t>机要通信</w:t>
      </w:r>
      <w:r>
        <w:rPr>
          <w:rFonts w:hint="eastAsia" w:ascii="仿宋_GB2312" w:eastAsia="仿宋_GB2312" w:cs="DengXian-Regular"/>
          <w:sz w:val="32"/>
          <w:szCs w:val="32"/>
          <w:lang w:eastAsia="zh-CN"/>
        </w:rPr>
        <w:t>、</w:t>
      </w:r>
      <w:r>
        <w:rPr>
          <w:rFonts w:hint="eastAsia" w:ascii="仿宋_GB2312" w:eastAsia="仿宋_GB2312" w:cs="DengXian-Regular"/>
          <w:sz w:val="32"/>
          <w:szCs w:val="32"/>
        </w:rPr>
        <w:t>应急</w:t>
      </w:r>
      <w:r>
        <w:rPr>
          <w:rFonts w:hint="eastAsia" w:ascii="仿宋_GB2312" w:eastAsia="仿宋_GB2312" w:cs="DengXian-Regular"/>
          <w:sz w:val="32"/>
          <w:szCs w:val="32"/>
          <w:lang w:val="en-US" w:eastAsia="zh-CN"/>
        </w:rPr>
        <w:t>等</w:t>
      </w:r>
      <w:r>
        <w:rPr>
          <w:rFonts w:hint="eastAsia" w:ascii="仿宋_GB2312" w:eastAsia="仿宋_GB2312" w:cs="DengXian-Regular"/>
          <w:sz w:val="32"/>
          <w:szCs w:val="32"/>
        </w:rPr>
        <w:t>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val="en-US" w:eastAsia="zh-CN"/>
        </w:rPr>
        <w:t>行政</w:t>
      </w:r>
      <w:r>
        <w:rPr>
          <w:rFonts w:hint="eastAsia" w:ascii="仿宋_GB2312" w:eastAsia="仿宋_GB2312" w:cs="DengXian-Regular"/>
          <w:sz w:val="32"/>
          <w:szCs w:val="32"/>
        </w:rPr>
        <w:t>执法用车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hAnsi="仿宋_GB2312" w:eastAsia="仿宋_GB2312" w:cs="仿宋_GB2312"/>
          <w:sz w:val="32"/>
          <w:szCs w:val="32"/>
        </w:rPr>
        <w:t>特种专业技术用车</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辆</w:t>
      </w:r>
      <w:r>
        <w:rPr>
          <w:rFonts w:hint="eastAsia" w:ascii="仿宋_GB2312" w:hAnsi="仿宋_GB2312" w:eastAsia="仿宋_GB2312" w:cs="仿宋_GB2312"/>
          <w:sz w:val="32"/>
          <w:szCs w:val="32"/>
          <w:lang w:val="en-US" w:eastAsia="zh-CN"/>
        </w:rPr>
        <w:t>,2016年公车改革移交车改办2辆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共计:157.92万元。</w:t>
      </w:r>
    </w:p>
    <w:p>
      <w:pPr>
        <w:adjustRightInd w:val="0"/>
        <w:snapToGrid w:val="0"/>
        <w:spacing w:line="580" w:lineRule="exact"/>
        <w:ind w:firstLine="640" w:firstLineChars="200"/>
        <w:rPr>
          <w:rFonts w:hint="eastAsia" w:ascii="仿宋" w:hAnsi="仿宋" w:eastAsia="仿宋" w:cs="宋体"/>
          <w:kern w:val="0"/>
          <w:sz w:val="32"/>
          <w:szCs w:val="32"/>
          <w:lang w:val="en-US" w:eastAsia="zh-CN"/>
        </w:rPr>
      </w:pPr>
      <w:r>
        <w:rPr>
          <w:rFonts w:hint="eastAsia" w:ascii="仿宋" w:hAnsi="仿宋" w:eastAsia="仿宋" w:cs="宋体"/>
          <w:kern w:val="0"/>
          <w:sz w:val="32"/>
          <w:szCs w:val="32"/>
        </w:rPr>
        <w:t>经</w:t>
      </w:r>
      <w:r>
        <w:rPr>
          <w:rFonts w:hint="eastAsia" w:ascii="仿宋" w:hAnsi="仿宋" w:eastAsia="仿宋" w:cs="宋体"/>
          <w:kern w:val="0"/>
          <w:sz w:val="32"/>
          <w:szCs w:val="32"/>
          <w:lang w:val="en-US" w:eastAsia="zh-CN"/>
        </w:rPr>
        <w:t>区</w:t>
      </w:r>
      <w:r>
        <w:rPr>
          <w:rFonts w:hint="eastAsia" w:ascii="仿宋" w:hAnsi="仿宋" w:eastAsia="仿宋" w:cs="宋体"/>
          <w:kern w:val="0"/>
          <w:sz w:val="32"/>
          <w:szCs w:val="32"/>
        </w:rPr>
        <w:t>领导批示</w:t>
      </w:r>
      <w:r>
        <w:rPr>
          <w:rFonts w:hint="eastAsia" w:ascii="仿宋" w:hAnsi="仿宋" w:eastAsia="仿宋" w:cs="宋体"/>
          <w:kern w:val="0"/>
          <w:sz w:val="32"/>
          <w:szCs w:val="32"/>
          <w:lang w:eastAsia="zh-CN"/>
        </w:rPr>
        <w:t>，</w:t>
      </w:r>
      <w:r>
        <w:rPr>
          <w:rFonts w:hint="eastAsia" w:ascii="仿宋" w:hAnsi="仿宋" w:eastAsia="仿宋" w:cs="宋体"/>
          <w:kern w:val="0"/>
          <w:sz w:val="32"/>
          <w:szCs w:val="32"/>
          <w:lang w:val="en-US" w:eastAsia="zh-CN"/>
        </w:rPr>
        <w:t>将公务服务中心车辆</w:t>
      </w:r>
      <w:r>
        <w:rPr>
          <w:rFonts w:hint="eastAsia" w:ascii="仿宋" w:hAnsi="仿宋" w:eastAsia="仿宋" w:cs="宋体"/>
          <w:kern w:val="0"/>
          <w:sz w:val="32"/>
          <w:szCs w:val="32"/>
        </w:rPr>
        <w:t>调拨</w:t>
      </w:r>
      <w:r>
        <w:rPr>
          <w:rFonts w:hint="eastAsia" w:ascii="仿宋" w:hAnsi="仿宋" w:eastAsia="仿宋" w:cs="宋体"/>
          <w:kern w:val="0"/>
          <w:sz w:val="32"/>
          <w:szCs w:val="32"/>
          <w:lang w:val="en-US" w:eastAsia="zh-CN"/>
        </w:rPr>
        <w:t>给</w:t>
      </w:r>
      <w:r>
        <w:rPr>
          <w:rFonts w:hint="eastAsia" w:ascii="仿宋" w:hAnsi="仿宋" w:eastAsia="仿宋" w:cs="宋体"/>
          <w:kern w:val="0"/>
          <w:sz w:val="32"/>
          <w:szCs w:val="32"/>
        </w:rPr>
        <w:t>我单位使用</w:t>
      </w:r>
      <w:r>
        <w:rPr>
          <w:rFonts w:hint="eastAsia" w:ascii="仿宋" w:hAnsi="仿宋" w:eastAsia="仿宋" w:cs="宋体"/>
          <w:kern w:val="0"/>
          <w:sz w:val="32"/>
          <w:szCs w:val="32"/>
          <w:lang w:val="en-US" w:eastAsia="zh-CN"/>
        </w:rPr>
        <w:t>共：</w:t>
      </w:r>
      <w:r>
        <w:rPr>
          <w:rFonts w:ascii="仿宋" w:hAnsi="仿宋" w:eastAsia="仿宋" w:cs="宋体"/>
          <w:kern w:val="0"/>
          <w:sz w:val="32"/>
          <w:szCs w:val="32"/>
        </w:rPr>
        <w:t>5</w:t>
      </w:r>
      <w:r>
        <w:rPr>
          <w:rFonts w:hint="eastAsia" w:ascii="仿宋" w:hAnsi="仿宋" w:eastAsia="仿宋" w:cs="宋体"/>
          <w:kern w:val="0"/>
          <w:sz w:val="32"/>
          <w:szCs w:val="32"/>
        </w:rPr>
        <w:t>辆</w:t>
      </w:r>
      <w:r>
        <w:rPr>
          <w:rFonts w:hint="eastAsia" w:ascii="仿宋" w:hAnsi="仿宋" w:eastAsia="仿宋" w:cs="宋体"/>
          <w:kern w:val="0"/>
          <w:sz w:val="32"/>
          <w:szCs w:val="32"/>
          <w:lang w:eastAsia="zh-CN"/>
        </w:rPr>
        <w:t>。</w:t>
      </w:r>
    </w:p>
    <w:p>
      <w:pPr>
        <w:adjustRightInd w:val="0"/>
        <w:snapToGrid w:val="0"/>
        <w:spacing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val="en-US" w:eastAsia="zh-CN"/>
        </w:rPr>
        <w:t>较上年无增减变化。</w:t>
      </w:r>
    </w:p>
    <w:p>
      <w:pPr>
        <w:adjustRightInd w:val="0"/>
        <w:snapToGrid w:val="0"/>
        <w:spacing w:line="60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较上年无增减变化。</w:t>
      </w:r>
    </w:p>
    <w:p>
      <w:pPr>
        <w:adjustRightInd w:val="0"/>
        <w:snapToGrid w:val="0"/>
        <w:spacing w:line="60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lang w:val="en-US" w:eastAsia="zh-CN"/>
        </w:rPr>
        <w:t>其他固定资产：234.29万元（包括政府储备物资50.64万元）。</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580" w:lineRule="exact"/>
        <w:ind w:firstLine="640" w:firstLineChars="200"/>
        <w:rPr>
          <w:rFonts w:ascii="仿宋_GB2312" w:hAnsi="Times New Roman" w:eastAsia="仿宋_GB2312" w:cs="DengXian-Regular"/>
          <w:sz w:val="32"/>
          <w:szCs w:val="32"/>
        </w:rPr>
      </w:pPr>
      <w:r>
        <w:rPr>
          <w:rFonts w:ascii="仿宋_GB2312" w:hAnsi="Times New Roman" w:eastAsia="仿宋_GB2312" w:cs="DengXian-Regular"/>
          <w:sz w:val="32"/>
          <w:szCs w:val="32"/>
        </w:rPr>
        <w:t xml:space="preserve">1. </w:t>
      </w:r>
      <w:r>
        <w:rPr>
          <w:rFonts w:hint="eastAsia" w:ascii="仿宋_GB2312" w:eastAsia="仿宋_GB2312" w:cs="DengXian-Regular"/>
          <w:sz w:val="32"/>
          <w:szCs w:val="32"/>
        </w:rPr>
        <w:t>本部门</w:t>
      </w:r>
      <w:r>
        <w:rPr>
          <w:rFonts w:ascii="仿宋_GB2312" w:eastAsia="仿宋_GB2312" w:cs="DengXian-Regular"/>
          <w:sz w:val="32"/>
          <w:szCs w:val="32"/>
        </w:rPr>
        <w:t>20</w:t>
      </w:r>
      <w:r>
        <w:rPr>
          <w:rFonts w:hint="eastAsia" w:ascii="仿宋_GB2312" w:eastAsia="仿宋_GB2312" w:cs="DengXian-Regular"/>
          <w:sz w:val="32"/>
          <w:szCs w:val="32"/>
          <w:lang w:val="en-US" w:eastAsia="zh-CN"/>
        </w:rPr>
        <w:t>20</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政府性基金预算财政拨款、国有资本经营预算财政拨款，</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eastAsia="zh-CN"/>
        </w:rPr>
        <w:t>政府性基金预算财政拨款收入支出决算表、国有资本经营预算财政拨款支出决算</w:t>
      </w:r>
      <w:r>
        <w:rPr>
          <w:rFonts w:hint="eastAsia" w:ascii="仿宋_GB2312" w:eastAsia="仿宋_GB2312" w:cs="DengXian-Regular"/>
          <w:sz w:val="32"/>
          <w:szCs w:val="32"/>
        </w:rPr>
        <w:t>表以空表列示。</w:t>
      </w:r>
    </w:p>
    <w:p>
      <w:pPr>
        <w:ind w:firstLine="640" w:firstLineChars="200"/>
        <w:rPr>
          <w:rFonts w:ascii="仿宋_GB2312" w:hAnsi="宋体" w:eastAsia="仿宋_GB2312" w:cs="Arial Black"/>
          <w:sz w:val="32"/>
          <w:szCs w:val="32"/>
        </w:rPr>
      </w:pPr>
      <w:r>
        <w:rPr>
          <w:rFonts w:ascii="仿宋_GB2312" w:hAnsi="Times New Roman" w:eastAsia="仿宋_GB2312" w:cs="DengXian-Regular"/>
          <w:sz w:val="32"/>
          <w:szCs w:val="32"/>
        </w:rPr>
        <w:t xml:space="preserve">2. </w:t>
      </w:r>
      <w:r>
        <w:rPr>
          <w:rFonts w:hint="eastAsia" w:ascii="仿宋_GB2312" w:hAnsi="Times New Roman" w:eastAsia="仿宋_GB2312" w:cs="DengXian-Regular"/>
          <w:sz w:val="32"/>
          <w:szCs w:val="32"/>
        </w:rPr>
        <w:t>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0288"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0288;v-text-anchor:middle;mso-width-relative:page;mso-height-relative:page;" fillcolor="#44964D [1612]" filled="t" stroked="t" coordsize="21600,21600" o:gfxdata="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bvt8C2gAA&#10;AAwBAAAPAAAAAAAAAAEAIAAAACIAAABkcnMvZG93bnJldi54bWxQSwECFAAUAAAACACHTuJAQWqr&#10;T44CAABMBQAADgAAAAAAAAABACAAAAApAQAAZHJzL2Uyb0RvYy54bWxQSwUGAAAAAAYABgBZAQAA&#10;KQYAAAAA&#10;">
                <v:fill type="pattern" on="t" color2="#CCE8CF [3212]" o:title="5%" focussize="0,0" r:id="rId13"/>
                <v:stroke weight="0.5pt" color="#44964D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Times New Roman"/>
          <w:b/>
          <w:bCs/>
          <w:color w:val="000000"/>
          <w:kern w:val="0"/>
          <w:sz w:val="32"/>
          <w:szCs w:val="32"/>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hint="eastAsia" w:ascii="仿宋_GB2312" w:hAnsi="宋体" w:eastAsia="仿宋_GB2312" w:cs="Times New Roman"/>
          <w:b/>
          <w:bCs/>
          <w:color w:val="000000"/>
          <w:kern w:val="0"/>
          <w:sz w:val="32"/>
          <w:szCs w:val="32"/>
        </w:rPr>
      </w:pP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hint="eastAsia" w:ascii="仿宋_GB2312" w:hAnsi="宋体" w:eastAsia="仿宋_GB2312" w:cs="Times New Roman"/>
          <w:color w:val="000000"/>
          <w:kern w:val="0"/>
          <w:sz w:val="32"/>
          <w:szCs w:val="32"/>
          <w:lang w:val="en-US" w:eastAsia="zh-CN"/>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r>
        <w:rPr>
          <w:rFonts w:hint="eastAsia" w:ascii="仿宋_GB2312" w:hAnsi="宋体" w:eastAsia="仿宋_GB2312" w:cs="Times New Roman"/>
          <w:color w:val="000000"/>
          <w:kern w:val="0"/>
          <w:sz w:val="32"/>
          <w:szCs w:val="32"/>
          <w:lang w:eastAsia="zh-CN"/>
        </w:rPr>
        <w:t>。</w:t>
      </w:r>
      <w:bookmarkStart w:id="0" w:name="_GoBack"/>
      <w:bookmarkEnd w:id="0"/>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CCE8CF">
                              <a:lumMod val="50000"/>
                            </a:sysClr>
                          </a:fgClr>
                          <a:bgClr>
                            <a:sysClr val="window" lastClr="CCE8CF"/>
                          </a:bgClr>
                        </a:pattFill>
                        <a:ln w="12700" cmpd="sng">
                          <a:solidFill>
                            <a:sysClr val="window" lastClr="CCE8C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2336;v-text-anchor:middle;mso-width-relative:page;mso-height-relative:page;" fillcolor="#44964D" filled="t" stroked="t" coordsize="21600,21600" o:gfxdata="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H+/oCHbAAAADQEAAA8AAAAAAAAAAQAgAAAAIgAAAGRycy9k&#10;b3ducmV2LnhtbFBLAQIUABQAAAAIAIdO4kD/hLE3qgIAAKkFAAAOAAAAAAAAAAEAIAAAACoBAABk&#10;cnMvZTJvRG9jLnhtbFBLBQYAAAAABgAGAFkBAABGBgAAAAA=&#10;">
                <v:fill type="pattern" on="t" color2="#CCE8CF" o:title="5%" focussize="0,0" r:id="rId13"/>
                <v:stroke weight="1pt" color="#63B96C"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bidi="ar"/>
              </w:rPr>
              <w:t>部门：</w:t>
            </w:r>
            <w:r>
              <w:rPr>
                <w:rFonts w:hint="eastAsia" w:ascii="宋体" w:hAnsi="宋体" w:eastAsia="宋体" w:cs="宋体"/>
                <w:color w:val="000000"/>
                <w:kern w:val="0"/>
                <w:sz w:val="18"/>
                <w:szCs w:val="18"/>
                <w:lang w:val="en-US" w:eastAsia="zh-CN" w:bidi="ar"/>
              </w:rPr>
              <w:t>保定市满城区应急管理局</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1098.56</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104.48</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31.62</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44.96</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917.50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1098.56</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1098.56</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lang w:val="en-US" w:eastAsia="zh-CN" w:bidi="ar"/>
              </w:rPr>
              <w:t>使用非财政拨款结余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1098.56</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1098.56</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5"/>
        <w:tblW w:w="11126" w:type="dxa"/>
        <w:jc w:val="center"/>
        <w:tblLayout w:type="autofit"/>
        <w:tblCellMar>
          <w:top w:w="0" w:type="dxa"/>
          <w:left w:w="0" w:type="dxa"/>
          <w:bottom w:w="0" w:type="dxa"/>
          <w:right w:w="0" w:type="dxa"/>
        </w:tblCellMar>
      </w:tblPr>
      <w:tblGrid>
        <w:gridCol w:w="385"/>
        <w:gridCol w:w="386"/>
        <w:gridCol w:w="355"/>
        <w:gridCol w:w="25"/>
        <w:gridCol w:w="916"/>
        <w:gridCol w:w="53"/>
        <w:gridCol w:w="111"/>
        <w:gridCol w:w="1695"/>
        <w:gridCol w:w="319"/>
        <w:gridCol w:w="716"/>
        <w:gridCol w:w="1017"/>
        <w:gridCol w:w="123"/>
        <w:gridCol w:w="1155"/>
        <w:gridCol w:w="455"/>
        <w:gridCol w:w="523"/>
        <w:gridCol w:w="159"/>
        <w:gridCol w:w="682"/>
        <w:gridCol w:w="320"/>
        <w:gridCol w:w="362"/>
        <w:gridCol w:w="682"/>
        <w:gridCol w:w="367"/>
        <w:gridCol w:w="320"/>
      </w:tblGrid>
      <w:tr>
        <w:tblPrEx>
          <w:tblCellMar>
            <w:top w:w="0" w:type="dxa"/>
            <w:left w:w="0" w:type="dxa"/>
            <w:bottom w:w="0" w:type="dxa"/>
            <w:right w:w="0" w:type="dxa"/>
          </w:tblCellMar>
        </w:tblPrEx>
        <w:trPr>
          <w:trHeight w:val="670" w:hRule="atLeast"/>
          <w:jc w:val="center"/>
        </w:trPr>
        <w:tc>
          <w:tcPr>
            <w:tcW w:w="11126" w:type="dxa"/>
            <w:gridSpan w:val="22"/>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38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8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80"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094" w:type="dxa"/>
            <w:gridSpan w:val="5"/>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33"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33" w:type="dxa"/>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82"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8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82"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69"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237" w:hRule="atLeast"/>
          <w:jc w:val="center"/>
        </w:trPr>
        <w:tc>
          <w:tcPr>
            <w:tcW w:w="4245" w:type="dxa"/>
            <w:gridSpan w:val="9"/>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hint="default" w:ascii="Arial" w:hAnsi="Arial" w:cs="Arial" w:eastAsiaTheme="minorEastAsia"/>
                <w:color w:val="000000"/>
                <w:sz w:val="20"/>
                <w:szCs w:val="20"/>
                <w:lang w:val="en-US" w:eastAsia="zh-CN"/>
              </w:rPr>
            </w:pPr>
            <w:r>
              <w:rPr>
                <w:rFonts w:hint="eastAsia" w:ascii="宋体" w:hAnsi="宋体" w:eastAsia="宋体" w:cs="宋体"/>
                <w:color w:val="000000"/>
                <w:kern w:val="0"/>
                <w:sz w:val="20"/>
                <w:szCs w:val="20"/>
                <w:lang w:bidi="ar"/>
              </w:rPr>
              <w:t>部门：</w:t>
            </w:r>
            <w:r>
              <w:rPr>
                <w:rFonts w:hint="eastAsia" w:ascii="Arial" w:hAnsi="Arial" w:cs="Arial"/>
                <w:color w:val="000000"/>
                <w:sz w:val="20"/>
                <w:szCs w:val="20"/>
                <w:lang w:val="en-US" w:eastAsia="zh-CN"/>
              </w:rPr>
              <w:t>保定市满城区应急管理局</w:t>
            </w:r>
          </w:p>
        </w:tc>
        <w:tc>
          <w:tcPr>
            <w:tcW w:w="1733"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33" w:type="dxa"/>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82"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8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051" w:type="dxa"/>
            <w:gridSpan w:val="5"/>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4245" w:type="dxa"/>
            <w:gridSpan w:val="9"/>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733"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1733" w:type="dxa"/>
            <w:gridSpan w:val="3"/>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682"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68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682"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68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687"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1151" w:type="dxa"/>
            <w:gridSpan w:val="4"/>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3094" w:type="dxa"/>
            <w:gridSpan w:val="5"/>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733"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733"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8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8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87"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151" w:type="dxa"/>
            <w:gridSpan w:val="4"/>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094" w:type="dxa"/>
            <w:gridSpan w:val="5"/>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733"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733"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7"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1151" w:type="dxa"/>
            <w:gridSpan w:val="4"/>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3094" w:type="dxa"/>
            <w:gridSpan w:val="5"/>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733"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733"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2"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87"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255" w:hRule="atLeast"/>
          <w:jc w:val="center"/>
        </w:trPr>
        <w:tc>
          <w:tcPr>
            <w:tcW w:w="4245" w:type="dxa"/>
            <w:gridSpan w:val="9"/>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73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7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68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68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68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68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68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225" w:hRule="atLeast"/>
          <w:jc w:val="center"/>
        </w:trPr>
        <w:tc>
          <w:tcPr>
            <w:tcW w:w="4245" w:type="dxa"/>
            <w:gridSpan w:val="9"/>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6"/>
                <w:szCs w:val="16"/>
              </w:rPr>
            </w:pPr>
            <w:r>
              <w:rPr>
                <w:rFonts w:hint="eastAsia" w:ascii="宋体" w:hAnsi="宋体" w:eastAsia="宋体" w:cs="宋体"/>
                <w:i w:val="0"/>
                <w:iCs w:val="0"/>
                <w:color w:val="000000"/>
                <w:kern w:val="0"/>
                <w:sz w:val="16"/>
                <w:szCs w:val="16"/>
                <w:u w:val="none"/>
                <w:lang w:val="en-US" w:eastAsia="zh-CN" w:bidi="ar"/>
              </w:rPr>
              <w:t>1098.56</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6"/>
                <w:szCs w:val="16"/>
              </w:rPr>
            </w:pPr>
            <w:r>
              <w:rPr>
                <w:rFonts w:hint="eastAsia" w:ascii="宋体" w:hAnsi="宋体" w:eastAsia="宋体" w:cs="宋体"/>
                <w:i w:val="0"/>
                <w:iCs w:val="0"/>
                <w:color w:val="000000"/>
                <w:kern w:val="0"/>
                <w:sz w:val="16"/>
                <w:szCs w:val="16"/>
                <w:u w:val="none"/>
                <w:lang w:val="en-US" w:eastAsia="zh-CN" w:bidi="ar"/>
              </w:rPr>
              <w:t>1098.56</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208</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社会保障和就业支出</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104.48</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104.48</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20805</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行政事业单位养老支出</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104.48</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104.48</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2080505</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机关事业单位基本养老保险缴费支出</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80.64</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80.64</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0"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2080506</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机关事业单位职业年金缴费支出</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23.84</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23.84</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210</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卫生健康支出</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21011</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行政事业单位医疗</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2101101</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行政单位医疗</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221</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住房保障支出</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22102</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住房改革支出</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2210201</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住房公积金</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灾害防治及应急管理支出</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917.50</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917.50</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应急管理事务</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684.23</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684.23</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2240101</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行政运行</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555.52</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555.52</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2240106</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安全监管</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45.59</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45.59</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2240108</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应急救援</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40.65</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40.65</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2240150</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事业运行</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33.19</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33.19</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2240199</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其他应急管理支出</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9.28</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9.28</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22403</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森林消防事务</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119.27</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119.27</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2240304</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森林消防应急救援</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119.27</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119.27</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22407</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自然灾害救灾及恢复重建支出</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114.00</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114.00</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2240702</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地方自然灾害生活补助</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63.00</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63.00</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2240799</w:t>
            </w:r>
          </w:p>
        </w:tc>
        <w:tc>
          <w:tcPr>
            <w:tcW w:w="3094"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其他自然灾害救灾及恢复重建支出</w:t>
            </w:r>
          </w:p>
        </w:tc>
        <w:tc>
          <w:tcPr>
            <w:tcW w:w="173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51.00</w:t>
            </w:r>
          </w:p>
        </w:tc>
        <w:tc>
          <w:tcPr>
            <w:tcW w:w="1733"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51.00</w:t>
            </w: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8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126" w:type="dxa"/>
            <w:gridSpan w:val="22"/>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r>
        <w:tblPrEx>
          <w:tblCellMar>
            <w:top w:w="0" w:type="dxa"/>
            <w:left w:w="0" w:type="dxa"/>
            <w:bottom w:w="0" w:type="dxa"/>
            <w:right w:w="0" w:type="dxa"/>
          </w:tblCellMar>
        </w:tblPrEx>
        <w:trPr>
          <w:gridBefore w:val="3"/>
          <w:gridAfter w:val="1"/>
          <w:wBefore w:w="1126" w:type="dxa"/>
          <w:wAfter w:w="320" w:type="dxa"/>
          <w:trHeight w:val="612" w:hRule="atLeast"/>
          <w:jc w:val="center"/>
        </w:trPr>
        <w:tc>
          <w:tcPr>
            <w:tcW w:w="9680" w:type="dxa"/>
            <w:gridSpan w:val="1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gridBefore w:val="3"/>
          <w:gridAfter w:val="1"/>
          <w:wBefore w:w="1126" w:type="dxa"/>
          <w:wAfter w:w="320" w:type="dxa"/>
          <w:trHeight w:val="313" w:hRule="atLeast"/>
          <w:jc w:val="center"/>
        </w:trPr>
        <w:tc>
          <w:tcPr>
            <w:tcW w:w="941"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035"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40"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7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gridSpan w:val="3"/>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gridBefore w:val="3"/>
          <w:gridAfter w:val="1"/>
          <w:wBefore w:w="1126" w:type="dxa"/>
          <w:wAfter w:w="320" w:type="dxa"/>
          <w:trHeight w:val="313" w:hRule="atLeast"/>
          <w:jc w:val="center"/>
        </w:trPr>
        <w:tc>
          <w:tcPr>
            <w:tcW w:w="2800" w:type="dxa"/>
            <w:gridSpan w:val="5"/>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宋体" w:hAnsi="宋体" w:eastAsia="宋体" w:cs="宋体"/>
                <w:color w:val="000000"/>
                <w:kern w:val="0"/>
                <w:sz w:val="18"/>
                <w:szCs w:val="18"/>
                <w:lang w:bidi="ar"/>
              </w:rPr>
              <w:t>部门：</w:t>
            </w:r>
            <w:r>
              <w:rPr>
                <w:rFonts w:hint="eastAsia" w:ascii="Arial" w:hAnsi="Arial" w:cs="Arial"/>
                <w:color w:val="000000"/>
                <w:sz w:val="20"/>
                <w:szCs w:val="20"/>
                <w:lang w:val="en-US" w:eastAsia="zh-CN"/>
              </w:rPr>
              <w:t>保定市满城区应急管理局</w:t>
            </w:r>
          </w:p>
        </w:tc>
        <w:tc>
          <w:tcPr>
            <w:tcW w:w="1035"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40"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97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6"/>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280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035"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40"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15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978" w:type="dxa"/>
            <w:gridSpan w:val="2"/>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1161" w:type="dxa"/>
            <w:gridSpan w:val="3"/>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411" w:type="dxa"/>
            <w:gridSpan w:val="3"/>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gridBefore w:val="3"/>
          <w:gridAfter w:val="1"/>
          <w:wBefore w:w="1126" w:type="dxa"/>
          <w:wAfter w:w="320" w:type="dxa"/>
          <w:trHeight w:val="319" w:hRule="atLeast"/>
          <w:jc w:val="center"/>
        </w:trPr>
        <w:tc>
          <w:tcPr>
            <w:tcW w:w="1105" w:type="dxa"/>
            <w:gridSpan w:val="4"/>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035"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4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97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gridBefore w:val="3"/>
          <w:gridAfter w:val="1"/>
          <w:wBefore w:w="1126" w:type="dxa"/>
          <w:wAfter w:w="320" w:type="dxa"/>
          <w:trHeight w:val="319" w:hRule="atLeast"/>
          <w:jc w:val="center"/>
        </w:trPr>
        <w:tc>
          <w:tcPr>
            <w:tcW w:w="1105" w:type="dxa"/>
            <w:gridSpan w:val="4"/>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35"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4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7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12" w:hRule="atLeast"/>
          <w:jc w:val="center"/>
        </w:trPr>
        <w:tc>
          <w:tcPr>
            <w:tcW w:w="1105" w:type="dxa"/>
            <w:gridSpan w:val="4"/>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035"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40"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78" w:type="dxa"/>
            <w:gridSpan w:val="2"/>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gridSpan w:val="3"/>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2800"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0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4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97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1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4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2800"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6"/>
                <w:szCs w:val="16"/>
              </w:rPr>
            </w:pPr>
            <w:r>
              <w:rPr>
                <w:rFonts w:hint="eastAsia" w:ascii="宋体" w:hAnsi="宋体" w:eastAsia="宋体" w:cs="宋体"/>
                <w:i w:val="0"/>
                <w:iCs w:val="0"/>
                <w:color w:val="000000"/>
                <w:kern w:val="0"/>
                <w:sz w:val="16"/>
                <w:szCs w:val="16"/>
                <w:u w:val="none"/>
                <w:lang w:val="en-US" w:eastAsia="zh-CN" w:bidi="ar"/>
              </w:rPr>
              <w:t>1098.56</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6"/>
                <w:szCs w:val="16"/>
              </w:rPr>
            </w:pPr>
            <w:r>
              <w:rPr>
                <w:rFonts w:hint="eastAsia" w:ascii="宋体" w:hAnsi="宋体" w:eastAsia="宋体" w:cs="宋体"/>
                <w:i w:val="0"/>
                <w:iCs w:val="0"/>
                <w:color w:val="000000"/>
                <w:kern w:val="0"/>
                <w:sz w:val="16"/>
                <w:szCs w:val="16"/>
                <w:u w:val="none"/>
                <w:lang w:val="en-US" w:eastAsia="zh-CN" w:bidi="ar"/>
              </w:rPr>
              <w:t>824.64</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6"/>
                <w:szCs w:val="16"/>
              </w:rPr>
            </w:pPr>
            <w:r>
              <w:rPr>
                <w:rFonts w:hint="eastAsia" w:ascii="宋体" w:hAnsi="宋体" w:eastAsia="宋体" w:cs="宋体"/>
                <w:i w:val="0"/>
                <w:iCs w:val="0"/>
                <w:color w:val="000000"/>
                <w:kern w:val="0"/>
                <w:sz w:val="16"/>
                <w:szCs w:val="16"/>
                <w:u w:val="none"/>
                <w:lang w:val="en-US" w:eastAsia="zh-CN" w:bidi="ar"/>
              </w:rPr>
              <w:t>273.92</w:t>
            </w: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社会保障和就业支出</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104.48</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104.48</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行政事业单位养老支出</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104.48</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104.48</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机关事业单位基本养老保险缴费支出</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80.64</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80.64</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554"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2080506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机关事业单位职业年金缴费支出</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23.84</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23.84</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卫生健康支出</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行政事业单位医疗</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行政单位医疗</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住房保障支出</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住房改革支出</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2210201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住房公积金</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灾害防治及应急管理支出</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917.50</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643.58</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273.92</w:t>
            </w: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应急管理事务</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684.23</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643.58</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40.65</w:t>
            </w: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行政运行</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555.52</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555.52</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安全监管</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45.59</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45.59</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应急救援</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40.65</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40.65</w:t>
            </w: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2240150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事业运行</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33.19</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33.19</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其他应急管理支出</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9.28</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9.28</w:t>
            </w: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森林消防事务</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119.27</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119.27</w:t>
            </w: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2240304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森林消防应急救援</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119.27</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119.27</w:t>
            </w: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22407</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自然灾害救灾及恢复重建支出</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114.00</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114.00</w:t>
            </w: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2240702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地方自然灾害生活补助</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63.00</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63.00</w:t>
            </w: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110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2240799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其他自然灾害救灾及恢复重建支出</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51.00</w:t>
            </w:r>
          </w:p>
        </w:tc>
        <w:tc>
          <w:tcPr>
            <w:tcW w:w="114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115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51.00</w:t>
            </w:r>
          </w:p>
        </w:tc>
        <w:tc>
          <w:tcPr>
            <w:tcW w:w="97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Before w:val="3"/>
          <w:gridAfter w:val="1"/>
          <w:wBefore w:w="1126" w:type="dxa"/>
          <w:wAfter w:w="320" w:type="dxa"/>
          <w:trHeight w:val="323" w:hRule="atLeast"/>
          <w:jc w:val="center"/>
        </w:trPr>
        <w:tc>
          <w:tcPr>
            <w:tcW w:w="9680" w:type="dxa"/>
            <w:gridSpan w:val="18"/>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1887"/>
        <w:gridCol w:w="2137"/>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275"/>
              <w:gridCol w:w="495"/>
              <w:gridCol w:w="855"/>
              <w:gridCol w:w="780"/>
              <w:gridCol w:w="696"/>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7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329"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rPr>
                    <w:t>部门：</w:t>
                  </w:r>
                  <w:r>
                    <w:rPr>
                      <w:rFonts w:hint="eastAsia" w:ascii="宋体" w:hAnsi="宋体" w:eastAsia="宋体" w:cs="Arial"/>
                      <w:color w:val="000000"/>
                      <w:kern w:val="0"/>
                      <w:sz w:val="15"/>
                      <w:szCs w:val="15"/>
                      <w:lang w:val="en-US" w:eastAsia="zh-CN"/>
                    </w:rPr>
                    <w:t>保定市满城区应急管理局</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27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80"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549"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27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9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85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8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69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27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9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8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69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1098.56</w:t>
                  </w: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104.48</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lang w:val="en-US" w:eastAsia="zh-CN"/>
                    </w:rPr>
                    <w:t>104.48</w:t>
                  </w: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31.62</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lang w:val="en-US" w:eastAsia="zh-CN"/>
                    </w:rPr>
                    <w:t>31.62</w:t>
                  </w: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44.96</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lang w:val="en-US" w:eastAsia="zh-CN"/>
                    </w:rPr>
                    <w:t>44.96</w:t>
                  </w: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917.50</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lang w:val="en-US" w:eastAsia="zh-CN"/>
                    </w:rPr>
                    <w:t>917.50</w:t>
                  </w: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1098.56</w:t>
                  </w: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1098.56</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lang w:val="en-US" w:eastAsia="zh-CN"/>
                    </w:rPr>
                    <w:t>1098.56</w:t>
                  </w: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1098.56</w:t>
                  </w:r>
                </w:p>
              </w:tc>
              <w:tc>
                <w:tcPr>
                  <w:tcW w:w="227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9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85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1098.56</w:t>
                  </w:r>
                </w:p>
              </w:tc>
              <w:tc>
                <w:tcPr>
                  <w:tcW w:w="78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lang w:val="en-US" w:eastAsia="zh-CN"/>
                    </w:rPr>
                    <w:t>1098.56</w:t>
                  </w:r>
                </w:p>
              </w:tc>
              <w:tc>
                <w:tcPr>
                  <w:tcW w:w="69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88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13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3195" w:type="dxa"/>
            <w:gridSpan w:val="4"/>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宋体" w:hAnsi="宋体" w:eastAsia="宋体" w:cs="宋体"/>
                <w:color w:val="000000"/>
                <w:kern w:val="0"/>
                <w:sz w:val="18"/>
                <w:szCs w:val="18"/>
                <w:lang w:bidi="ar"/>
              </w:rPr>
              <w:t>部门：</w:t>
            </w:r>
            <w:r>
              <w:rPr>
                <w:rFonts w:hint="eastAsia" w:ascii="宋体" w:hAnsi="宋体" w:eastAsia="宋体" w:cs="Arial"/>
                <w:color w:val="000000"/>
                <w:kern w:val="0"/>
                <w:sz w:val="18"/>
                <w:szCs w:val="18"/>
                <w:lang w:val="en-US" w:eastAsia="zh-CN"/>
              </w:rPr>
              <w:t>保定市满城区应急管理局</w:t>
            </w:r>
          </w:p>
        </w:tc>
        <w:tc>
          <w:tcPr>
            <w:tcW w:w="213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195"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795"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887"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213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88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13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887"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13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19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213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195"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213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6"/>
                <w:szCs w:val="16"/>
              </w:rPr>
            </w:pPr>
            <w:r>
              <w:rPr>
                <w:rFonts w:hint="eastAsia" w:ascii="宋体" w:hAnsi="宋体" w:eastAsia="宋体" w:cs="宋体"/>
                <w:i w:val="0"/>
                <w:iCs w:val="0"/>
                <w:color w:val="000000"/>
                <w:kern w:val="0"/>
                <w:sz w:val="16"/>
                <w:szCs w:val="16"/>
                <w:u w:val="none"/>
                <w:lang w:val="en-US" w:eastAsia="zh-CN" w:bidi="ar"/>
              </w:rPr>
              <w:t>1098.56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6"/>
                <w:szCs w:val="16"/>
              </w:rPr>
            </w:pPr>
            <w:r>
              <w:rPr>
                <w:rFonts w:hint="eastAsia" w:ascii="宋体" w:hAnsi="宋体" w:eastAsia="宋体" w:cs="宋体"/>
                <w:i w:val="0"/>
                <w:iCs w:val="0"/>
                <w:color w:val="000000"/>
                <w:kern w:val="0"/>
                <w:sz w:val="16"/>
                <w:szCs w:val="16"/>
                <w:u w:val="none"/>
                <w:lang w:val="en-US" w:eastAsia="zh-CN" w:bidi="ar"/>
              </w:rPr>
              <w:t>824.64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6"/>
                <w:szCs w:val="16"/>
              </w:rPr>
            </w:pPr>
            <w:r>
              <w:rPr>
                <w:rFonts w:hint="eastAsia" w:ascii="宋体" w:hAnsi="宋体" w:eastAsia="宋体" w:cs="宋体"/>
                <w:i w:val="0"/>
                <w:iCs w:val="0"/>
                <w:color w:val="000000"/>
                <w:kern w:val="0"/>
                <w:sz w:val="16"/>
                <w:szCs w:val="16"/>
                <w:u w:val="none"/>
                <w:lang w:val="en-US" w:eastAsia="zh-CN" w:bidi="ar"/>
              </w:rPr>
              <w:t>273.92</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208</w:t>
            </w:r>
          </w:p>
        </w:tc>
        <w:tc>
          <w:tcPr>
            <w:tcW w:w="18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社会保障和就业支出</w:t>
            </w:r>
          </w:p>
        </w:tc>
        <w:tc>
          <w:tcPr>
            <w:tcW w:w="213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104.48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104.48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20805</w:t>
            </w:r>
          </w:p>
        </w:tc>
        <w:tc>
          <w:tcPr>
            <w:tcW w:w="18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行政事业单位养老支出</w:t>
            </w:r>
          </w:p>
        </w:tc>
        <w:tc>
          <w:tcPr>
            <w:tcW w:w="213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104.48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104.48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2080505</w:t>
            </w:r>
          </w:p>
        </w:tc>
        <w:tc>
          <w:tcPr>
            <w:tcW w:w="18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机关事业单位基本养老保险缴费支出</w:t>
            </w:r>
          </w:p>
        </w:tc>
        <w:tc>
          <w:tcPr>
            <w:tcW w:w="213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80.64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80.64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2080506</w:t>
            </w:r>
          </w:p>
        </w:tc>
        <w:tc>
          <w:tcPr>
            <w:tcW w:w="18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机关事业单位职业年金缴费支出</w:t>
            </w:r>
          </w:p>
        </w:tc>
        <w:tc>
          <w:tcPr>
            <w:tcW w:w="213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23.84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23.84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210</w:t>
            </w:r>
          </w:p>
        </w:tc>
        <w:tc>
          <w:tcPr>
            <w:tcW w:w="18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卫生健康支出</w:t>
            </w:r>
          </w:p>
        </w:tc>
        <w:tc>
          <w:tcPr>
            <w:tcW w:w="213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21011</w:t>
            </w:r>
          </w:p>
        </w:tc>
        <w:tc>
          <w:tcPr>
            <w:tcW w:w="188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行政事业单位医疗</w:t>
            </w:r>
          </w:p>
        </w:tc>
        <w:tc>
          <w:tcPr>
            <w:tcW w:w="213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2101101</w:t>
            </w:r>
          </w:p>
        </w:tc>
        <w:tc>
          <w:tcPr>
            <w:tcW w:w="1887"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行政单位医疗</w:t>
            </w:r>
          </w:p>
        </w:tc>
        <w:tc>
          <w:tcPr>
            <w:tcW w:w="2137"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2329"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31.62</w:t>
            </w:r>
          </w:p>
        </w:tc>
        <w:tc>
          <w:tcPr>
            <w:tcW w:w="2329" w:type="dxa"/>
            <w:gridSpan w:val="2"/>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221</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住房保障支出</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22102</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住房改革支出</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2210201</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住房公积金</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44.96</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灾害防治及应急管理支出</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917.50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643.58</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273.92</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应急管理事务</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684.23</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643.58</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40.65</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2240101</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行政运行</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555.52</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555.52</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2240106</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安全监管</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45.59</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45.59</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2240108</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应急救援</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40.65</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40.65</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2240150</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事业运行</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33.19</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33.19</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2240199</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其他应急管理支出</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9.28</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9.28</w:t>
            </w: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22403</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森林消防事务</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119.27</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119.27</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2240304</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森林消防应急救援</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119.27</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119.27</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22407</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自然灾害救灾及恢复重建支出</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114.00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114.00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2240702</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地方自然灾害生活补助</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63.00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63.00</w:t>
            </w:r>
          </w:p>
        </w:tc>
      </w:tr>
      <w:tr>
        <w:tblPrEx>
          <w:tblCellMar>
            <w:top w:w="0" w:type="dxa"/>
            <w:left w:w="0" w:type="dxa"/>
            <w:bottom w:w="0" w:type="dxa"/>
            <w:right w:w="0" w:type="dxa"/>
          </w:tblCellMar>
        </w:tblPrEx>
        <w:trPr>
          <w:trHeight w:val="308" w:hRule="atLeast"/>
          <w:jc w:val="center"/>
        </w:trPr>
        <w:tc>
          <w:tcPr>
            <w:tcW w:w="1308" w:type="dxa"/>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2240799</w:t>
            </w:r>
          </w:p>
        </w:tc>
        <w:tc>
          <w:tcPr>
            <w:tcW w:w="188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 xml:space="preserve">  其他自然灾害救灾及恢复重建支出</w:t>
            </w:r>
          </w:p>
        </w:tc>
        <w:tc>
          <w:tcPr>
            <w:tcW w:w="213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51.00</w:t>
            </w:r>
          </w:p>
        </w:tc>
        <w:tc>
          <w:tcPr>
            <w:tcW w:w="232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rPr>
                <w:rFonts w:ascii="宋体" w:hAnsi="宋体" w:eastAsia="宋体" w:cs="宋体"/>
                <w:color w:val="000000"/>
                <w:sz w:val="16"/>
                <w:szCs w:val="16"/>
              </w:rPr>
            </w:pPr>
          </w:p>
        </w:tc>
        <w:tc>
          <w:tcPr>
            <w:tcW w:w="2329"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51.00</w:t>
            </w:r>
          </w:p>
        </w:tc>
      </w:tr>
    </w:tbl>
    <w:p>
      <w:pPr>
        <w:rPr>
          <w:sz w:val="16"/>
          <w:szCs w:val="16"/>
        </w:rPr>
      </w:pPr>
      <w:r>
        <w:rPr>
          <w:sz w:val="16"/>
          <w:szCs w:val="16"/>
        </w:rP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3728"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r>
              <w:rPr>
                <w:rFonts w:hint="eastAsia" w:ascii="宋体" w:hAnsi="宋体" w:eastAsia="宋体" w:cs="宋体"/>
                <w:color w:val="000000"/>
                <w:kern w:val="0"/>
                <w:sz w:val="16"/>
                <w:szCs w:val="16"/>
                <w:lang w:bidi="ar"/>
              </w:rPr>
              <w:t>部门：</w:t>
            </w:r>
            <w:r>
              <w:rPr>
                <w:rFonts w:hint="eastAsia" w:ascii="宋体" w:hAnsi="宋体" w:eastAsia="宋体" w:cs="Arial"/>
                <w:color w:val="000000"/>
                <w:kern w:val="0"/>
                <w:sz w:val="15"/>
                <w:szCs w:val="15"/>
                <w:lang w:val="en-US" w:eastAsia="zh-CN"/>
              </w:rPr>
              <w:t>保定市满城区应急管理局</w:t>
            </w: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775.46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47.63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308.14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11.00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58.51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22.08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0.59</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0.02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183.12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0.51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0.59</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92.15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3.77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27.51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5.64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32.81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0.14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46.79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4.21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0.96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2.64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sz w:val="16"/>
                <w:szCs w:val="16"/>
                <w:lang w:val="en-US"/>
              </w:rPr>
            </w:pPr>
            <w:r>
              <w:rPr>
                <w:rFonts w:hint="eastAsia" w:ascii="宋体" w:hAnsi="宋体" w:eastAsia="宋体" w:cs="宋体"/>
                <w:i w:val="0"/>
                <w:iCs w:val="0"/>
                <w:color w:val="000000"/>
                <w:kern w:val="0"/>
                <w:sz w:val="16"/>
                <w:szCs w:val="16"/>
                <w:u w:val="none"/>
                <w:lang w:val="en-US" w:eastAsia="zh-CN" w:bidi="ar"/>
              </w:rPr>
              <w:t>1.50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0.81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12.38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0.15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r>
              <w:rPr>
                <w:rFonts w:hint="eastAsia" w:ascii="宋体" w:hAnsi="宋体" w:eastAsia="宋体" w:cs="宋体"/>
                <w:i w:val="0"/>
                <w:iCs w:val="0"/>
                <w:color w:val="000000"/>
                <w:kern w:val="0"/>
                <w:sz w:val="16"/>
                <w:szCs w:val="16"/>
                <w:u w:val="none"/>
                <w:lang w:val="en-US" w:eastAsia="zh-CN" w:bidi="ar"/>
              </w:rPr>
              <w:t>7.92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776.42</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center"/>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48.22</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2953" w:type="dxa"/>
            <w:gridSpan w:val="2"/>
            <w:tcBorders>
              <w:top w:val="nil"/>
              <w:left w:val="nil"/>
              <w:bottom w:val="nil"/>
              <w:right w:val="nil"/>
            </w:tcBorders>
            <w:shd w:val="clear" w:color="auto" w:fill="auto"/>
            <w:noWrap/>
            <w:tcMar>
              <w:top w:w="15" w:type="dxa"/>
              <w:left w:w="15" w:type="dxa"/>
              <w:right w:w="15" w:type="dxa"/>
            </w:tcMar>
            <w:vAlign w:val="bottom"/>
          </w:tcPr>
          <w:p>
            <w:pPr>
              <w:spacing w:line="240" w:lineRule="exact"/>
              <w:rPr>
                <w:rFonts w:hint="default" w:ascii="Arial" w:hAnsi="Arial" w:eastAsia="宋体" w:cs="Arial"/>
                <w:color w:val="000000"/>
                <w:sz w:val="18"/>
                <w:szCs w:val="18"/>
                <w:lang w:val="en-US" w:eastAsia="zh-CN"/>
              </w:rPr>
            </w:pPr>
            <w:r>
              <w:rPr>
                <w:rFonts w:hint="eastAsia" w:ascii="宋体" w:hAnsi="宋体" w:eastAsia="宋体" w:cs="宋体"/>
                <w:color w:val="000000"/>
                <w:kern w:val="0"/>
                <w:sz w:val="18"/>
                <w:szCs w:val="18"/>
                <w:lang w:bidi="ar"/>
              </w:rPr>
              <w:t>部门：</w:t>
            </w:r>
            <w:r>
              <w:rPr>
                <w:rFonts w:hint="eastAsia" w:ascii="宋体" w:hAnsi="宋体" w:eastAsia="宋体" w:cs="宋体"/>
                <w:color w:val="000000"/>
                <w:kern w:val="0"/>
                <w:sz w:val="18"/>
                <w:szCs w:val="18"/>
                <w:lang w:val="en-US" w:eastAsia="zh-CN" w:bidi="ar"/>
              </w:rPr>
              <w:t>保定市满城区应急管理局</w:t>
            </w: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23.05</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22.50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22.50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0.55</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12.38</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12.38</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12.38</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6"/>
                <w:szCs w:val="16"/>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10124" w:type="dxa"/>
        <w:jc w:val="center"/>
        <w:tblLayout w:type="autofit"/>
        <w:tblCellMar>
          <w:top w:w="0" w:type="dxa"/>
          <w:left w:w="0" w:type="dxa"/>
          <w:bottom w:w="0" w:type="dxa"/>
          <w:right w:w="0" w:type="dxa"/>
        </w:tblCellMar>
      </w:tblPr>
      <w:tblGrid>
        <w:gridCol w:w="54"/>
        <w:gridCol w:w="54"/>
        <w:gridCol w:w="362"/>
        <w:gridCol w:w="2540"/>
        <w:gridCol w:w="1352"/>
        <w:gridCol w:w="1153"/>
        <w:gridCol w:w="1153"/>
        <w:gridCol w:w="1153"/>
        <w:gridCol w:w="1153"/>
        <w:gridCol w:w="1150"/>
      </w:tblGrid>
      <w:tr>
        <w:tblPrEx>
          <w:tblCellMar>
            <w:top w:w="0" w:type="dxa"/>
            <w:left w:w="0" w:type="dxa"/>
            <w:bottom w:w="0" w:type="dxa"/>
            <w:right w:w="0" w:type="dxa"/>
          </w:tblCellMar>
        </w:tblPrEx>
        <w:trPr>
          <w:trHeight w:val="780" w:hRule="atLeast"/>
          <w:jc w:val="center"/>
        </w:trPr>
        <w:tc>
          <w:tcPr>
            <w:tcW w:w="10124"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40"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3642" w:type="dxa"/>
            <w:gridSpan w:val="5"/>
            <w:tcBorders>
              <w:top w:val="nil"/>
              <w:left w:val="nil"/>
              <w:bottom w:val="nil"/>
              <w:right w:val="nil"/>
            </w:tcBorders>
            <w:shd w:val="clear" w:color="auto" w:fill="auto"/>
            <w:noWrap/>
            <w:tcMar>
              <w:top w:w="15" w:type="dxa"/>
              <w:left w:w="15" w:type="dxa"/>
              <w:right w:w="15" w:type="dxa"/>
            </w:tcMar>
            <w:vAlign w:val="bottom"/>
          </w:tcPr>
          <w:p>
            <w:pPr>
              <w:spacing w:line="240" w:lineRule="exact"/>
              <w:rPr>
                <w:rFonts w:hint="default" w:ascii="Arial" w:hAnsi="Arial" w:eastAsia="宋体" w:cs="Arial"/>
                <w:color w:val="000000"/>
                <w:sz w:val="18"/>
                <w:szCs w:val="18"/>
                <w:lang w:val="en-US" w:eastAsia="zh-CN"/>
              </w:rPr>
            </w:pPr>
            <w:r>
              <w:rPr>
                <w:rFonts w:hint="eastAsia" w:ascii="宋体" w:hAnsi="宋体" w:eastAsia="宋体" w:cs="宋体"/>
                <w:color w:val="000000"/>
                <w:kern w:val="0"/>
                <w:sz w:val="18"/>
                <w:szCs w:val="18"/>
                <w:lang w:bidi="ar"/>
              </w:rPr>
              <w:t>部门：</w:t>
            </w:r>
            <w:r>
              <w:rPr>
                <w:rFonts w:hint="eastAsia" w:ascii="宋体" w:hAnsi="宋体" w:eastAsia="宋体" w:cs="宋体"/>
                <w:color w:val="000000"/>
                <w:kern w:val="0"/>
                <w:sz w:val="18"/>
                <w:szCs w:val="18"/>
                <w:lang w:val="en-US" w:eastAsia="zh-CN" w:bidi="ar"/>
              </w:rPr>
              <w:t>保定市满城区应急管理局</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5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29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891"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29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39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168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5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2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2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2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39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5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39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5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29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39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39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39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39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16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39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8432"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tabs>
                <w:tab w:val="left" w:pos="1339"/>
              </w:tabs>
              <w:jc w:val="center"/>
              <w:rPr>
                <w:rFonts w:hint="eastAsia" w:ascii="宋体" w:hAnsi="宋体" w:eastAsia="宋体" w:cs="宋体"/>
                <w:color w:val="000000"/>
                <w:szCs w:val="22"/>
                <w:lang w:eastAsia="zh-CN"/>
              </w:rPr>
            </w:pPr>
            <w:r>
              <w:rPr>
                <w:rFonts w:hint="eastAsia" w:ascii="宋体" w:hAnsi="宋体" w:eastAsia="宋体" w:cs="宋体"/>
                <w:color w:val="000000"/>
                <w:sz w:val="16"/>
                <w:szCs w:val="16"/>
                <w:lang w:val="en-US" w:eastAsia="zh-CN"/>
              </w:rPr>
              <w:t>注:我单位无政府性基金预算财政拨款，空表列示。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ascii="宋体" w:hAnsi="宋体" w:eastAsia="宋体" w:cs="宋体"/>
          <w:sz w:val="20"/>
          <w:szCs w:val="22"/>
        </w:rPr>
        <w:t>注：本表反映部门本年度政府性基金预算财政拨款收入、支出及结转结余情况。</w:t>
      </w:r>
      <w:r>
        <w:rPr>
          <w:b/>
          <w:sz w:val="20"/>
          <w:szCs w:val="22"/>
          <w:highlight w:val="yellow"/>
        </w:rPr>
        <w:br w:type="page"/>
      </w:r>
    </w:p>
    <w:tbl>
      <w:tblPr>
        <w:tblStyle w:val="5"/>
        <w:tblW w:w="9064" w:type="dxa"/>
        <w:tblInd w:w="0" w:type="dxa"/>
        <w:tblLayout w:type="autofit"/>
        <w:tblCellMar>
          <w:top w:w="0" w:type="dxa"/>
          <w:left w:w="0" w:type="dxa"/>
          <w:bottom w:w="0" w:type="dxa"/>
          <w:right w:w="0" w:type="dxa"/>
        </w:tblCellMar>
      </w:tblPr>
      <w:tblGrid>
        <w:gridCol w:w="66"/>
        <w:gridCol w:w="1225"/>
        <w:gridCol w:w="263"/>
        <w:gridCol w:w="2950"/>
        <w:gridCol w:w="1193"/>
        <w:gridCol w:w="241"/>
        <w:gridCol w:w="1988"/>
        <w:gridCol w:w="2362"/>
      </w:tblGrid>
      <w:tr>
        <w:tblPrEx>
          <w:tblCellMar>
            <w:top w:w="0" w:type="dxa"/>
            <w:left w:w="0" w:type="dxa"/>
            <w:bottom w:w="0" w:type="dxa"/>
            <w:right w:w="0" w:type="dxa"/>
          </w:tblCellMar>
        </w:tblPrEx>
        <w:trPr>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3"/>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5386" w:type="dxa"/>
            <w:gridSpan w:val="5"/>
            <w:tcBorders>
              <w:top w:val="nil"/>
              <w:left w:val="nil"/>
              <w:bottom w:val="nil"/>
              <w:right w:val="nil"/>
            </w:tcBorders>
            <w:shd w:val="clear" w:color="auto" w:fill="auto"/>
            <w:noWrap/>
            <w:tcMar>
              <w:top w:w="15" w:type="dxa"/>
              <w:left w:w="15" w:type="dxa"/>
              <w:right w:w="15" w:type="dxa"/>
            </w:tcMar>
            <w:vAlign w:val="bottom"/>
          </w:tcPr>
          <w:p>
            <w:pPr>
              <w:rPr>
                <w:rFonts w:hint="default" w:ascii="Arial" w:hAnsi="Arial" w:eastAsia="宋体" w:cs="Arial"/>
                <w:color w:val="000000"/>
                <w:sz w:val="20"/>
                <w:szCs w:val="20"/>
                <w:lang w:val="en-US" w:eastAsia="zh-CN"/>
              </w:rPr>
            </w:pPr>
            <w:r>
              <w:rPr>
                <w:rFonts w:hint="eastAsia" w:ascii="宋体" w:hAnsi="宋体" w:eastAsia="宋体" w:cs="宋体"/>
                <w:color w:val="000000"/>
                <w:kern w:val="0"/>
                <w:sz w:val="20"/>
                <w:szCs w:val="20"/>
                <w:lang w:bidi="ar"/>
              </w:rPr>
              <w:t>部门：</w:t>
            </w:r>
            <w:r>
              <w:rPr>
                <w:rFonts w:hint="eastAsia" w:ascii="宋体" w:hAnsi="宋体" w:eastAsia="宋体" w:cs="宋体"/>
                <w:color w:val="000000"/>
                <w:kern w:val="0"/>
                <w:sz w:val="20"/>
                <w:szCs w:val="20"/>
                <w:lang w:val="en-US" w:eastAsia="zh-CN" w:bidi="ar"/>
              </w:rPr>
              <w:t>保定市满城区应急管理局</w:t>
            </w:r>
          </w:p>
        </w:tc>
        <w:tc>
          <w:tcPr>
            <w:tcW w:w="3678" w:type="dxa"/>
            <w:gridSpan w:val="3"/>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5812"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宋体" w:hAnsi="宋体" w:eastAsia="宋体" w:cs="宋体"/>
                <w:color w:val="000000"/>
                <w:sz w:val="22"/>
                <w:lang w:val="en-US"/>
              </w:rPr>
            </w:pPr>
            <w:r>
              <w:rPr>
                <w:rFonts w:hint="eastAsia" w:ascii="宋体" w:hAnsi="宋体" w:eastAsia="宋体" w:cs="宋体"/>
                <w:color w:val="000000"/>
                <w:sz w:val="16"/>
                <w:szCs w:val="16"/>
                <w:lang w:val="en-US" w:eastAsia="zh-CN"/>
              </w:rPr>
              <w:t>注：我单位无国有资本经营预算财政拨款，空表列示。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highlight w:val="yellow"/>
        </w:rPr>
      </w:pPr>
      <w:r>
        <w:rPr>
          <w:rFonts w:hint="eastAsia" w:ascii="宋体" w:hAnsi="宋体" w:eastAsia="宋体" w:cs="宋体"/>
        </w:rPr>
        <w:t>注：本表反映部门本年度国有资本经营预算财政拨款收入、支出及结转结余情况。</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jc w:val="left"/>
        <w:rPr>
          <w:rFonts w:ascii="仿宋_GB2312" w:hAnsi="Cambria" w:eastAsia="仿宋_GB2312" w:cs="Arial Black"/>
          <w:kern w:val="0"/>
          <w:sz w:val="32"/>
          <w:szCs w:val="32"/>
        </w:rPr>
      </w:pP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2AF" w:usb1="01D77CFB" w:usb2="00000012" w:usb3="00000000" w:csb0="00080001" w:csb1="0000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 w:name="TimesNewRomanPSMT">
    <w:altName w:val="Arial"/>
    <w:panose1 w:val="00000000000000000000"/>
    <w:charset w:val="00"/>
    <w:family w:val="swiss"/>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1E14AF"/>
    <w:multiLevelType w:val="singleLevel"/>
    <w:tmpl w:val="D41E14AF"/>
    <w:lvl w:ilvl="0" w:tentative="0">
      <w:start w:val="3"/>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18668E"/>
    <w:rsid w:val="001B73D2"/>
    <w:rsid w:val="001E62BF"/>
    <w:rsid w:val="00293E7B"/>
    <w:rsid w:val="002D1F4F"/>
    <w:rsid w:val="00366D90"/>
    <w:rsid w:val="003D678E"/>
    <w:rsid w:val="00801F66"/>
    <w:rsid w:val="009334BF"/>
    <w:rsid w:val="01AA6340"/>
    <w:rsid w:val="03060C0D"/>
    <w:rsid w:val="032C055B"/>
    <w:rsid w:val="047D5CE8"/>
    <w:rsid w:val="058B71E0"/>
    <w:rsid w:val="05E82981"/>
    <w:rsid w:val="061B79B7"/>
    <w:rsid w:val="064E4AB3"/>
    <w:rsid w:val="08043E90"/>
    <w:rsid w:val="0A4C6172"/>
    <w:rsid w:val="0B9F08EC"/>
    <w:rsid w:val="0C4E2B22"/>
    <w:rsid w:val="0C8313CB"/>
    <w:rsid w:val="0C9852B4"/>
    <w:rsid w:val="0D272BB3"/>
    <w:rsid w:val="0EA325C9"/>
    <w:rsid w:val="0F7522E3"/>
    <w:rsid w:val="10DB46E9"/>
    <w:rsid w:val="18B57A35"/>
    <w:rsid w:val="1932521F"/>
    <w:rsid w:val="1DF236E8"/>
    <w:rsid w:val="1E114511"/>
    <w:rsid w:val="1EA2393F"/>
    <w:rsid w:val="1F21547A"/>
    <w:rsid w:val="1FB82FD5"/>
    <w:rsid w:val="201403AA"/>
    <w:rsid w:val="215B4C76"/>
    <w:rsid w:val="230248AD"/>
    <w:rsid w:val="2426568C"/>
    <w:rsid w:val="24F0329F"/>
    <w:rsid w:val="25E34594"/>
    <w:rsid w:val="26075728"/>
    <w:rsid w:val="279542A0"/>
    <w:rsid w:val="28FB4540"/>
    <w:rsid w:val="295876A8"/>
    <w:rsid w:val="29A1665C"/>
    <w:rsid w:val="2B305891"/>
    <w:rsid w:val="2BE54E3C"/>
    <w:rsid w:val="2D264C36"/>
    <w:rsid w:val="2E180E72"/>
    <w:rsid w:val="2EE35F37"/>
    <w:rsid w:val="2FA84B31"/>
    <w:rsid w:val="2FB96948"/>
    <w:rsid w:val="2FFD7FB1"/>
    <w:rsid w:val="3058391C"/>
    <w:rsid w:val="308E62C1"/>
    <w:rsid w:val="31C50F58"/>
    <w:rsid w:val="31F8341C"/>
    <w:rsid w:val="3327616A"/>
    <w:rsid w:val="346A1C38"/>
    <w:rsid w:val="34C45458"/>
    <w:rsid w:val="35C83C42"/>
    <w:rsid w:val="35DC639E"/>
    <w:rsid w:val="37AB3095"/>
    <w:rsid w:val="37C5006F"/>
    <w:rsid w:val="38B849ED"/>
    <w:rsid w:val="3B872C29"/>
    <w:rsid w:val="3B9155FA"/>
    <w:rsid w:val="3C0E0640"/>
    <w:rsid w:val="3CF41680"/>
    <w:rsid w:val="3D4979AA"/>
    <w:rsid w:val="3D880950"/>
    <w:rsid w:val="3E333507"/>
    <w:rsid w:val="3E483EA4"/>
    <w:rsid w:val="406944FD"/>
    <w:rsid w:val="40D82DFA"/>
    <w:rsid w:val="41AF255D"/>
    <w:rsid w:val="41D6635E"/>
    <w:rsid w:val="42F81EEA"/>
    <w:rsid w:val="430E7C61"/>
    <w:rsid w:val="442B4735"/>
    <w:rsid w:val="4543145D"/>
    <w:rsid w:val="479F50DC"/>
    <w:rsid w:val="48833C35"/>
    <w:rsid w:val="49AF1527"/>
    <w:rsid w:val="4AC61E7C"/>
    <w:rsid w:val="4B0B671D"/>
    <w:rsid w:val="4B556656"/>
    <w:rsid w:val="4C516493"/>
    <w:rsid w:val="4C7130AA"/>
    <w:rsid w:val="4DDC770B"/>
    <w:rsid w:val="4E80766F"/>
    <w:rsid w:val="4EA17C71"/>
    <w:rsid w:val="4F1A12CC"/>
    <w:rsid w:val="4F1F33F7"/>
    <w:rsid w:val="50596546"/>
    <w:rsid w:val="50F033EF"/>
    <w:rsid w:val="5220004D"/>
    <w:rsid w:val="528D0B83"/>
    <w:rsid w:val="531262A2"/>
    <w:rsid w:val="53FF4DEC"/>
    <w:rsid w:val="57C3455E"/>
    <w:rsid w:val="5A627982"/>
    <w:rsid w:val="5AAB44C8"/>
    <w:rsid w:val="5B617083"/>
    <w:rsid w:val="5D0C63C4"/>
    <w:rsid w:val="5EAE1844"/>
    <w:rsid w:val="5F1C7C9C"/>
    <w:rsid w:val="60125669"/>
    <w:rsid w:val="604569B0"/>
    <w:rsid w:val="6111438F"/>
    <w:rsid w:val="62131B2C"/>
    <w:rsid w:val="62F65EE8"/>
    <w:rsid w:val="63983D63"/>
    <w:rsid w:val="64123481"/>
    <w:rsid w:val="6483259B"/>
    <w:rsid w:val="64945F56"/>
    <w:rsid w:val="6558673C"/>
    <w:rsid w:val="668951B1"/>
    <w:rsid w:val="6709163E"/>
    <w:rsid w:val="6816757F"/>
    <w:rsid w:val="686679F7"/>
    <w:rsid w:val="69F80FAD"/>
    <w:rsid w:val="6A052FDA"/>
    <w:rsid w:val="6A14661B"/>
    <w:rsid w:val="6ACD31E9"/>
    <w:rsid w:val="6AFF27A3"/>
    <w:rsid w:val="6BFE6A8C"/>
    <w:rsid w:val="70334C37"/>
    <w:rsid w:val="71F21D85"/>
    <w:rsid w:val="73CD7029"/>
    <w:rsid w:val="73D824BD"/>
    <w:rsid w:val="755D29C6"/>
    <w:rsid w:val="779D6ED2"/>
    <w:rsid w:val="77FA23DA"/>
    <w:rsid w:val="78BC4506"/>
    <w:rsid w:val="78F53BE1"/>
    <w:rsid w:val="797771E4"/>
    <w:rsid w:val="79857394"/>
    <w:rsid w:val="7C6C4332"/>
    <w:rsid w:val="7D3C25E1"/>
    <w:rsid w:val="7D7262A1"/>
    <w:rsid w:val="7DA527D7"/>
    <w:rsid w:val="7DB66DD1"/>
    <w:rsid w:val="7E8D2B69"/>
    <w:rsid w:val="7FC93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8">
    <w:name w:val="标题 1 Char"/>
    <w:basedOn w:val="7"/>
    <w:link w:val="2"/>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2.bmp"/><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2019-2020</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年收支总计对比情况（图</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endPar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209718361608105"/>
          <c:y val="0.846648044692737"/>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2019年</c:v>
                </c:pt>
                <c:pt idx="1">
                  <c:v>2020年</c:v>
                </c:pt>
              </c:strCache>
            </c:strRef>
          </c:cat>
          <c:val>
            <c:numRef>
              <c:f>Sheet1!$B$2:$B$3</c:f>
              <c:numCache>
                <c:formatCode>General</c:formatCode>
                <c:ptCount val="2"/>
                <c:pt idx="0">
                  <c:v>958</c:v>
                </c:pt>
                <c:pt idx="1">
                  <c:v>1098.56</c:v>
                </c:pt>
              </c:numCache>
            </c:numRef>
          </c:val>
        </c:ser>
        <c:dLbls>
          <c:showLegendKey val="0"/>
          <c:showVal val="1"/>
          <c:showCatName val="0"/>
          <c:showSerName val="0"/>
          <c:showPercent val="0"/>
          <c:showBubbleSize val="0"/>
        </c:dLbls>
        <c:gapWidth val="219"/>
        <c:overlap val="-27"/>
        <c:axId val="462451782"/>
        <c:axId val="737457775"/>
      </c:barChart>
      <c:catAx>
        <c:axId val="46245178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737457775"/>
        <c:crosses val="autoZero"/>
        <c:auto val="1"/>
        <c:lblAlgn val="ctr"/>
        <c:lblOffset val="100"/>
        <c:noMultiLvlLbl val="0"/>
      </c:catAx>
      <c:valAx>
        <c:axId val="73745777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46245178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30312807730552"/>
          <c:y val="0.36317316982804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814502427184466"/>
          <c:y val="0.0102459016393443"/>
          <c:w val="0.805242718446602"/>
          <c:h val="0.74775956284153"/>
        </c:manualLayout>
      </c:layout>
      <c:pie3DChart>
        <c:varyColors val="1"/>
        <c:ser>
          <c:idx val="0"/>
          <c:order val="0"/>
          <c:tx>
            <c:strRef>
              <c:f>Sheet1!$B$1</c:f>
              <c:strCache>
                <c:ptCount val="1"/>
                <c:pt idx="0">
                  <c:v>销售额</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c:spPr>
          </c:dPt>
          <c:dPt>
            <c:idx val="1"/>
            <c:bubble3D val="0"/>
            <c:spPr>
              <a:solidFill>
                <a:schemeClr val="accent2"/>
              </a:solidFill>
              <a:ln w="2540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75.07</c:v>
                </c:pt>
                <c:pt idx="1">
                  <c:v>24.93</c:v>
                </c:pt>
              </c:numCache>
            </c:numRef>
          </c:val>
        </c:ser>
        <c:dLbls>
          <c:showLegendKey val="0"/>
          <c:showVal val="1"/>
          <c:showCatName val="0"/>
          <c:showSerName val="0"/>
          <c:showPercent val="0"/>
          <c:showBubbleSize val="0"/>
        </c:dLbls>
      </c:pie3D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8730</Words>
  <Characters>10836</Characters>
  <Lines>82</Lines>
  <Paragraphs>23</Paragraphs>
  <TotalTime>2</TotalTime>
  <ScaleCrop>false</ScaleCrop>
  <LinksUpToDate>false</LinksUpToDate>
  <CharactersWithSpaces>11258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12</cp:lastModifiedBy>
  <dcterms:modified xsi:type="dcterms:W3CDTF">2022-05-24T07:47:56Z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65FA352BAB5146309CB066C800874C19</vt:lpwstr>
  </property>
</Properties>
</file>