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cs="黑体"/>
          <w:sz w:val="56"/>
          <w:szCs w:val="72"/>
        </w:rPr>
      </w:pPr>
    </w:p>
    <w:p>
      <w:pPr>
        <w:ind w:firstLine="1440" w:firstLineChars="200"/>
        <w:rPr>
          <w:rFonts w:ascii="黑体" w:hAnsi="黑体" w:eastAsia="黑体" w:cs="黑体"/>
          <w:sz w:val="72"/>
          <w:szCs w:val="72"/>
        </w:rPr>
      </w:pPr>
      <w:r>
        <w:rPr>
          <w:rFonts w:hint="eastAsia" w:ascii="黑体" w:hAnsi="黑体" w:eastAsia="黑体" w:cs="黑体"/>
          <w:sz w:val="72"/>
          <w:szCs w:val="72"/>
        </w:rPr>
        <w:t>保定市满城区商务局</w:t>
      </w:r>
    </w:p>
    <w:p>
      <w:pPr>
        <w:rPr>
          <w:rFonts w:ascii="黑体" w:hAnsi="黑体" w:eastAsia="黑体" w:cs="黑体"/>
          <w:b/>
          <w:bCs/>
          <w:sz w:val="72"/>
          <w:szCs w:val="96"/>
        </w:rPr>
      </w:pPr>
      <w:r>
        <w:rPr>
          <w:rFonts w:ascii="黑体" w:hAnsi="黑体" w:eastAsia="黑体" w:cs="黑体"/>
          <w:b/>
          <w:bCs/>
          <w:sz w:val="72"/>
          <w:szCs w:val="96"/>
        </w:rPr>
        <w:t>20</w:t>
      </w:r>
      <w:r>
        <w:rPr>
          <w:rFonts w:hint="eastAsia" w:ascii="黑体" w:hAnsi="黑体" w:eastAsia="黑体" w:cs="黑体"/>
          <w:b/>
          <w:bCs/>
          <w:sz w:val="72"/>
          <w:szCs w:val="96"/>
        </w:rPr>
        <w:t xml:space="preserve">20年度部门决算公开文本      </w:t>
      </w: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楷体_GB2312" w:hAnsi="楷体_GB2312" w:eastAsia="楷体_GB2312" w:cs="楷体_GB2312"/>
          <w:color w:val="000000"/>
          <w:kern w:val="0"/>
          <w:sz w:val="44"/>
          <w:szCs w:val="44"/>
        </w:rPr>
      </w:pPr>
      <w:r>
        <w:rPr>
          <w:rFonts w:ascii="黑体" w:eastAsia="黑体"/>
          <w:sz w:val="48"/>
          <w:szCs w:val="48"/>
        </w:rPr>
        <w:tab/>
      </w:r>
      <w:r>
        <w:rPr>
          <w:rFonts w:hint="eastAsia" w:ascii="楷体_GB2312" w:hAnsi="楷体_GB2312" w:eastAsia="楷体_GB2312" w:cs="楷体_GB2312"/>
          <w:color w:val="000000"/>
          <w:kern w:val="0"/>
          <w:sz w:val="44"/>
          <w:szCs w:val="44"/>
        </w:rPr>
        <w:t>二〇二一年九月</w:t>
      </w:r>
    </w:p>
    <w:p>
      <w:pPr>
        <w:tabs>
          <w:tab w:val="left" w:pos="2728"/>
        </w:tabs>
        <w:ind w:firstLine="3360" w:firstLineChars="700"/>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after="160" w:line="580" w:lineRule="exact"/>
        <w:ind w:firstLine="640" w:firstLineChars="200"/>
        <w:rPr>
          <w:rFonts w:eastAsia="黑体"/>
          <w:sz w:val="32"/>
          <w:szCs w:val="32"/>
        </w:rPr>
      </w:pPr>
    </w:p>
    <w:p>
      <w:pPr>
        <w:widowControl/>
        <w:spacing w:after="160"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p>
    <w:p>
      <w:pPr>
        <w:widowControl/>
        <w:spacing w:after="160" w:line="580" w:lineRule="exact"/>
        <w:ind w:firstLine="1273" w:firstLineChars="398"/>
        <w:rPr>
          <w:rFonts w:eastAsia="仿宋_GB2312"/>
          <w:sz w:val="32"/>
          <w:szCs w:val="32"/>
        </w:rPr>
      </w:pPr>
      <w:r>
        <w:rPr>
          <w:rFonts w:hint="eastAsia" w:eastAsia="仿宋_GB2312"/>
          <w:sz w:val="32"/>
          <w:szCs w:val="32"/>
        </w:rPr>
        <w:t>一、部门职责</w:t>
      </w:r>
    </w:p>
    <w:p>
      <w:pPr>
        <w:widowControl/>
        <w:spacing w:after="160" w:line="580" w:lineRule="exact"/>
        <w:ind w:firstLine="1273" w:firstLineChars="398"/>
        <w:rPr>
          <w:rFonts w:eastAsia="仿宋_GB2312"/>
          <w:sz w:val="32"/>
          <w:szCs w:val="32"/>
        </w:rPr>
      </w:pPr>
      <w:r>
        <w:rPr>
          <w:rFonts w:hint="eastAsia" w:eastAsia="仿宋_GB2312"/>
          <w:sz w:val="32"/>
          <w:szCs w:val="32"/>
        </w:rPr>
        <w:t>二、机构设置</w:t>
      </w:r>
    </w:p>
    <w:p>
      <w:pPr>
        <w:widowControl/>
        <w:spacing w:after="160" w:line="580" w:lineRule="exact"/>
        <w:ind w:firstLine="640" w:firstLineChars="200"/>
        <w:rPr>
          <w:rFonts w:eastAsia="黑体"/>
          <w:sz w:val="32"/>
          <w:szCs w:val="32"/>
        </w:rPr>
      </w:pPr>
      <w:r>
        <w:rPr>
          <w:rFonts w:hint="eastAsia" w:eastAsia="黑体"/>
          <w:sz w:val="32"/>
          <w:szCs w:val="32"/>
        </w:rPr>
        <w:t>第二部分</w:t>
      </w:r>
      <w:r>
        <w:rPr>
          <w:rFonts w:eastAsia="黑体"/>
          <w:sz w:val="32"/>
          <w:szCs w:val="32"/>
        </w:rPr>
        <w:t xml:space="preserve">   20</w:t>
      </w:r>
      <w:r>
        <w:rPr>
          <w:rFonts w:hint="eastAsia" w:eastAsia="黑体"/>
          <w:sz w:val="32"/>
          <w:szCs w:val="32"/>
        </w:rPr>
        <w:t>20年部门决算情况说明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四、财政拨款收入支出决算总体情况说明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五、一般公共预算</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640" w:lineRule="exact"/>
        <w:ind w:left="630" w:leftChars="300" w:firstLine="640" w:firstLineChars="200"/>
        <w:rPr>
          <w:rFonts w:eastAsia="仿宋_GB2312"/>
          <w:sz w:val="32"/>
          <w:szCs w:val="32"/>
        </w:rPr>
      </w:pPr>
      <w:r>
        <w:rPr>
          <w:rFonts w:hint="eastAsia" w:eastAsia="仿宋_GB2312"/>
          <w:sz w:val="32"/>
          <w:szCs w:val="32"/>
        </w:rPr>
        <w:t>七、机关运行经费情况</w:t>
      </w:r>
    </w:p>
    <w:p>
      <w:pPr>
        <w:widowControl/>
        <w:spacing w:line="640" w:lineRule="exact"/>
        <w:ind w:left="630" w:leftChars="300" w:firstLine="640" w:firstLineChars="200"/>
        <w:rPr>
          <w:rFonts w:eastAsia="仿宋_GB2312"/>
          <w:sz w:val="32"/>
          <w:szCs w:val="32"/>
        </w:rPr>
      </w:pPr>
      <w:r>
        <w:rPr>
          <w:rFonts w:hint="eastAsia" w:eastAsia="仿宋_GB2312"/>
          <w:sz w:val="32"/>
          <w:szCs w:val="32"/>
        </w:rPr>
        <w:t>八、政府采购情况</w:t>
      </w:r>
    </w:p>
    <w:p>
      <w:pPr>
        <w:widowControl/>
        <w:spacing w:line="640" w:lineRule="exact"/>
        <w:ind w:left="630" w:leftChars="300" w:firstLine="640" w:firstLineChars="200"/>
        <w:rPr>
          <w:rFonts w:eastAsia="仿宋_GB2312"/>
          <w:sz w:val="32"/>
          <w:szCs w:val="32"/>
        </w:rPr>
      </w:pPr>
      <w:r>
        <w:rPr>
          <w:rFonts w:hint="eastAsia" w:eastAsia="仿宋_GB2312"/>
          <w:sz w:val="32"/>
          <w:szCs w:val="32"/>
        </w:rPr>
        <w:t>九、国有资产占用情况</w:t>
      </w:r>
    </w:p>
    <w:p>
      <w:pPr>
        <w:widowControl/>
        <w:spacing w:after="160" w:line="580" w:lineRule="exact"/>
        <w:ind w:left="640" w:firstLine="640" w:firstLineChars="200"/>
        <w:rPr>
          <w:rFonts w:eastAsia="仿宋_GB2312"/>
          <w:sz w:val="32"/>
          <w:szCs w:val="32"/>
        </w:rPr>
      </w:pPr>
      <w:r>
        <w:rPr>
          <w:rFonts w:hint="eastAsia" w:eastAsia="仿宋_GB2312"/>
          <w:sz w:val="32"/>
          <w:szCs w:val="32"/>
        </w:rPr>
        <w:t>十、其他重要事项的说明</w:t>
      </w:r>
    </w:p>
    <w:p>
      <w:pPr>
        <w:widowControl/>
        <w:spacing w:after="160"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名词解释</w:t>
      </w:r>
    </w:p>
    <w:p>
      <w:pPr>
        <w:widowControl/>
        <w:spacing w:after="160"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20</w:t>
      </w:r>
      <w:r>
        <w:rPr>
          <w:rFonts w:hint="eastAsia" w:eastAsia="黑体"/>
          <w:sz w:val="32"/>
          <w:szCs w:val="32"/>
        </w:rPr>
        <w:t>20年度部门决算报表</w:t>
      </w: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3" name="文本框 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anchorCtr="0" upright="1"/>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o4ST3bAAAADQEAAA8AAAAAAAAAAQAgAAAAIgAAAGRy&#10;cy9kb3ducmV2LnhtbFBLAQIUABQAAAAIAIdO4kDbUvWKOwIAAJwEAAAOAAAAAAAAAAEAIAAAACoB&#10;AABkcnMvZTJvRG9jLnhtbFBLBQYAAAAABgAGAFkBAADXBQAAAAA=&#10;">
                <v:fill type="pattern" on="t" color2="#FFFFFF" focussize="0,0" r:id="rId7"/>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numPr>
          <w:ilvl w:val="0"/>
          <w:numId w:val="1"/>
        </w:numPr>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spacing w:line="600" w:lineRule="exact"/>
        <w:rPr>
          <w:rFonts w:ascii="方正小标宋简体" w:eastAsia="方正小标宋简体"/>
          <w:sz w:val="44"/>
          <w:szCs w:val="44"/>
        </w:rPr>
      </w:pPr>
    </w:p>
    <w:p>
      <w:pPr>
        <w:spacing w:line="600" w:lineRule="exact"/>
        <w:rPr>
          <w:rFonts w:ascii="黑体" w:hAnsi="黑体" w:eastAsia="黑体"/>
          <w:spacing w:val="-8"/>
          <w:sz w:val="32"/>
        </w:rPr>
      </w:pPr>
      <w:r>
        <w:rPr>
          <w:rFonts w:hint="eastAsia" w:ascii="黑体" w:hAnsi="黑体" w:eastAsia="黑体"/>
          <w:spacing w:val="-8"/>
          <w:sz w:val="32"/>
        </w:rPr>
        <w:t>第一条</w:t>
      </w:r>
      <w:r>
        <w:rPr>
          <w:rFonts w:ascii="黑体" w:hAnsi="黑体" w:eastAsia="黑体"/>
          <w:spacing w:val="-8"/>
          <w:sz w:val="32"/>
        </w:rPr>
        <w:t xml:space="preserve"> </w:t>
      </w:r>
      <w:r>
        <w:rPr>
          <w:rFonts w:ascii="仿宋_GB2312" w:hAnsi="仿宋" w:eastAsia="仿宋_GB2312"/>
          <w:spacing w:val="-8"/>
          <w:sz w:val="32"/>
          <w:szCs w:val="32"/>
        </w:rPr>
        <w:t xml:space="preserve"> </w:t>
      </w:r>
      <w:r>
        <w:rPr>
          <w:rFonts w:hint="eastAsia" w:ascii="仿宋_GB2312" w:hAnsi="华文仿宋" w:eastAsia="仿宋_GB2312"/>
          <w:spacing w:val="-8"/>
          <w:sz w:val="32"/>
          <w:szCs w:val="32"/>
        </w:rPr>
        <w:t>根据《中共保定市委办公厅、保定市人民政府办公厅关于印发〈保定市满城区机构改革方案〉的通知》（</w:t>
      </w:r>
      <w:r>
        <w:rPr>
          <w:rFonts w:hint="eastAsia" w:ascii="仿宋_GB2312" w:eastAsia="仿宋_GB2312"/>
          <w:spacing w:val="-8"/>
          <w:sz w:val="32"/>
          <w:szCs w:val="32"/>
        </w:rPr>
        <w:t>保办字〔</w:t>
      </w:r>
      <w:r>
        <w:rPr>
          <w:rFonts w:ascii="仿宋_GB2312" w:eastAsia="仿宋_GB2312"/>
          <w:spacing w:val="-8"/>
          <w:sz w:val="32"/>
          <w:szCs w:val="32"/>
        </w:rPr>
        <w:t>2018</w:t>
      </w:r>
      <w:r>
        <w:rPr>
          <w:rFonts w:hint="eastAsia" w:ascii="仿宋_GB2312" w:eastAsia="仿宋_GB2312"/>
          <w:spacing w:val="-8"/>
          <w:sz w:val="32"/>
          <w:szCs w:val="32"/>
        </w:rPr>
        <w:t>〕</w:t>
      </w:r>
      <w:r>
        <w:rPr>
          <w:rFonts w:ascii="仿宋_GB2312" w:eastAsia="仿宋_GB2312"/>
          <w:spacing w:val="-8"/>
          <w:sz w:val="32"/>
          <w:szCs w:val="32"/>
        </w:rPr>
        <w:t>68</w:t>
      </w:r>
      <w:r>
        <w:rPr>
          <w:rFonts w:hint="eastAsia" w:ascii="仿宋_GB2312" w:eastAsia="仿宋_GB2312"/>
          <w:spacing w:val="-8"/>
          <w:sz w:val="32"/>
          <w:szCs w:val="32"/>
        </w:rPr>
        <w:t>号</w:t>
      </w:r>
      <w:r>
        <w:rPr>
          <w:rFonts w:hint="eastAsia" w:ascii="仿宋_GB2312" w:hAnsi="华文仿宋" w:eastAsia="仿宋_GB2312"/>
          <w:spacing w:val="-8"/>
          <w:sz w:val="32"/>
          <w:szCs w:val="32"/>
        </w:rPr>
        <w:t>），制定本规定。</w:t>
      </w:r>
    </w:p>
    <w:p>
      <w:pPr>
        <w:spacing w:line="600" w:lineRule="exact"/>
        <w:rPr>
          <w:rFonts w:ascii="仿宋_GB2312" w:hAnsi="仿宋" w:eastAsia="仿宋_GB2312"/>
          <w:spacing w:val="-8"/>
          <w:sz w:val="32"/>
          <w:szCs w:val="32"/>
        </w:rPr>
      </w:pPr>
      <w:r>
        <w:rPr>
          <w:rFonts w:hint="eastAsia" w:ascii="黑体" w:hAnsi="黑体" w:eastAsia="黑体"/>
          <w:spacing w:val="-8"/>
          <w:sz w:val="32"/>
        </w:rPr>
        <w:t>第二条</w:t>
      </w:r>
      <w:r>
        <w:rPr>
          <w:rFonts w:ascii="仿宋_GB2312" w:hAnsi="仿宋" w:eastAsia="仿宋_GB2312"/>
          <w:spacing w:val="-8"/>
          <w:sz w:val="32"/>
          <w:szCs w:val="32"/>
        </w:rPr>
        <w:t xml:space="preserve">  </w:t>
      </w:r>
      <w:r>
        <w:rPr>
          <w:rFonts w:hint="eastAsia" w:ascii="仿宋_GB2312" w:hAnsi="仿宋" w:eastAsia="仿宋_GB2312"/>
          <w:spacing w:val="-8"/>
          <w:sz w:val="32"/>
          <w:szCs w:val="32"/>
        </w:rPr>
        <w:t>保定市满城区商务局（简称区商务局）为区政府工作部门，机构规格为正科级。</w:t>
      </w:r>
    </w:p>
    <w:p>
      <w:pPr>
        <w:spacing w:line="600" w:lineRule="exact"/>
        <w:rPr>
          <w:rFonts w:ascii="仿宋_GB2312" w:hAnsi="仿宋" w:eastAsia="仿宋_GB2312" w:cs="仿宋_GB2312"/>
          <w:spacing w:val="-8"/>
          <w:sz w:val="32"/>
          <w:szCs w:val="32"/>
        </w:rPr>
      </w:pPr>
      <w:r>
        <w:rPr>
          <w:rFonts w:hint="eastAsia" w:ascii="黑体" w:hAnsi="黑体" w:eastAsia="黑体"/>
          <w:spacing w:val="-8"/>
          <w:sz w:val="32"/>
        </w:rPr>
        <w:t>第三条</w:t>
      </w:r>
      <w:r>
        <w:rPr>
          <w:rFonts w:ascii="黑体" w:hAnsi="黑体" w:eastAsia="黑体"/>
          <w:spacing w:val="-8"/>
          <w:sz w:val="32"/>
        </w:rPr>
        <w:t xml:space="preserve">  </w:t>
      </w:r>
      <w:r>
        <w:rPr>
          <w:rFonts w:hint="eastAsia" w:ascii="仿宋_GB2312" w:hAnsi="仿宋" w:eastAsia="仿宋_GB2312" w:cs="仿宋_GB2312"/>
          <w:spacing w:val="-8"/>
          <w:sz w:val="32"/>
          <w:szCs w:val="32"/>
        </w:rPr>
        <w:t>贯彻落实党中央、省委、市委、区委关于商务工作的方针政策和决策部署，在履行职责过程中坚持和加强党对商务工作的集中统一领导。主要职责是：</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（一）贯彻落实国家有关内外贸易、国际经济合作和招商引资的发展战略、方针、政策；拟订全区相应的发展规划以及规定、办法和措施；研究经济全球化、区域经济合作、现代流通方式的发展趋势并提出建议。</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二）拟订全区国内贸易发展规划，促进城乡市场发展，提出引导国内外资金投向市场体系建设的意见，指导大宗产品批发市场建设和城市商业网点规划、商业体系建设工作，推进农村市场体系建设，组织实施农村现代流通网络工程。</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三）提出流通体制改革建议。负责推进流通产业结构调整，指导流通企业改革、商贸服务业和社区商业发展；提出促进商贸中小企业发展的政策建议，推动流通标准化和连锁经营、商业特许经营（新增）、物流配送、电子商务等现代流通方式的发展；指导全区流通领域信息网络和电子商务建设。</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（四）推进商务领域信用体系建设，规范商贸企业交易行为，协调推动重要产品追溯体系建设</w:t>
      </w:r>
      <w:r>
        <w:rPr>
          <w:rFonts w:ascii="仿宋_GB2312" w:hAnsi="仿宋" w:eastAsia="仿宋_GB2312" w:cs="仿宋_GB2312"/>
          <w:spacing w:val="-8"/>
          <w:sz w:val="32"/>
          <w:szCs w:val="32"/>
        </w:rPr>
        <w:t>;</w:t>
      </w:r>
      <w:r>
        <w:rPr>
          <w:rFonts w:hint="eastAsia" w:ascii="仿宋_GB2312" w:hAnsi="仿宋" w:eastAsia="仿宋_GB2312" w:cs="仿宋_GB2312"/>
          <w:spacing w:val="-8"/>
          <w:sz w:val="32"/>
          <w:szCs w:val="32"/>
        </w:rPr>
        <w:t>按有关规定对特殊流通行业进行监督管理。</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五）负责组织实施重要消费品市场调控和重要生产资料流通管理，建立健全生活必需品市场供应应急管理机制，监测分析市场运行、商品供求状况，调查分析商品价格信息，进行预测预警和信息引导，按分工负责重要消费品储备管理和市场调控工作；按有关规定对成品油市场进行监督管理；负责拍卖等行业的监督管理；推进再生资源回收和商贸企业节能减排等绿色流通工作。</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（六）执行国家制定的进出口商品和技术目录，贯彻执行国家、省、市促进外贸增长方式转变的政策措施，指导贸易促进活动和外贸促进体系建设。</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（七）贯彻执行国家对外技术贸易、进出口管制以及鼓励技术和成套设备进出口的贸易政策</w:t>
      </w:r>
      <w:r>
        <w:rPr>
          <w:rFonts w:ascii="仿宋_GB2312" w:hAnsi="仿宋" w:eastAsia="仿宋_GB2312" w:cs="仿宋_GB2312"/>
          <w:spacing w:val="-8"/>
          <w:sz w:val="32"/>
          <w:szCs w:val="32"/>
        </w:rPr>
        <w:t>;</w:t>
      </w:r>
      <w:r>
        <w:rPr>
          <w:rFonts w:hint="eastAsia" w:ascii="仿宋_GB2312" w:hAnsi="仿宋" w:eastAsia="仿宋_GB2312" w:cs="仿宋_GB2312"/>
          <w:spacing w:val="-8"/>
          <w:sz w:val="32"/>
          <w:szCs w:val="32"/>
        </w:rPr>
        <w:t>拟订和推进全区科技兴贸战略；配合商务部、省商务厅、市商务局依法监督技术引进、设备进口、国家限制出口技术的工作。</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（八）会同有关部门贯彻执行国家、省、市促进服务出口和服务外包发展的规划、政策，牵头拟订全区服务贸易发展规划并组织实施。</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（九）拟订全区外商投资政策并组织实施；指导全区外商投资企业备案管理工作</w:t>
      </w:r>
      <w:r>
        <w:rPr>
          <w:rFonts w:ascii="仿宋_GB2312" w:hAnsi="仿宋" w:eastAsia="仿宋_GB2312" w:cs="仿宋_GB2312"/>
          <w:spacing w:val="-8"/>
          <w:sz w:val="32"/>
          <w:szCs w:val="32"/>
        </w:rPr>
        <w:t>;</w:t>
      </w:r>
      <w:r>
        <w:rPr>
          <w:rFonts w:hint="eastAsia" w:ascii="仿宋_GB2312" w:hAnsi="仿宋" w:eastAsia="仿宋_GB2312" w:cs="仿宋_GB2312"/>
          <w:spacing w:val="-8"/>
          <w:sz w:val="32"/>
          <w:szCs w:val="32"/>
        </w:rPr>
        <w:t>依法对外商投资企业及其投资者履行备案义务进行监督检查</w:t>
      </w:r>
      <w:r>
        <w:rPr>
          <w:rFonts w:ascii="仿宋_GB2312" w:hAnsi="仿宋" w:eastAsia="仿宋_GB2312" w:cs="仿宋_GB2312"/>
          <w:spacing w:val="-8"/>
          <w:sz w:val="32"/>
          <w:szCs w:val="32"/>
        </w:rPr>
        <w:t>;</w:t>
      </w:r>
      <w:r>
        <w:rPr>
          <w:rFonts w:hint="eastAsia" w:ascii="仿宋_GB2312" w:hAnsi="仿宋" w:eastAsia="仿宋_GB2312" w:cs="仿宋_GB2312"/>
          <w:spacing w:val="-8"/>
          <w:sz w:val="32"/>
          <w:szCs w:val="32"/>
        </w:rPr>
        <w:t>牵头组织实施全区外商投资企业联合年报工作</w:t>
      </w:r>
      <w:r>
        <w:rPr>
          <w:rFonts w:ascii="仿宋_GB2312" w:hAnsi="仿宋" w:eastAsia="仿宋_GB2312" w:cs="仿宋_GB2312"/>
          <w:spacing w:val="-8"/>
          <w:sz w:val="32"/>
          <w:szCs w:val="32"/>
        </w:rPr>
        <w:t>;</w:t>
      </w:r>
      <w:r>
        <w:rPr>
          <w:rFonts w:hint="eastAsia" w:ascii="仿宋_GB2312" w:hAnsi="仿宋" w:eastAsia="仿宋_GB2312" w:cs="仿宋_GB2312"/>
          <w:spacing w:val="-8"/>
          <w:sz w:val="32"/>
          <w:szCs w:val="32"/>
        </w:rPr>
        <w:t>负责全区利用外资统计工作；指导全区吸引外资工作，规范对外招商引资活动；综合协调和指导我区省级以上经济开发区的有关工作；指导和管理全区外商投资企业进出口工作。</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十）负责全区对外经济合作工作；执行对外经济合作政策，依法管理和监督对外劳务合作等工作；指导外派劳务和境外就业人员的权益保护工作；指导境外经贸园区有关工作；负责对外援助有关工作；指导我区对外投资和经济合作促进工作。</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十一）配合商务部、省商务厅、市商务局调查国（境）外对我国出口商品实施的歧视性贸易政策、法律法规及做法；配合组织协调涉及我区的反倾销、反补贴和保障措施等贸易救济调查以及进出口公平贸易相关工作，配合指导协调出口产品贸易摩擦应对和进口产品贸易救济申诉工作；跟踪调查反倾销、反补贴和保障措施等贸易救济措施对我区相关产业的影响；配合建立产业安全贸易预警机制。</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（十二）负责全区商务系统涉及世贸组织相关事务的研究、指导和服务工作，配合商务部、省商务厅、市商务局解决世贸组织框架下涉及我区的贸易争端。</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（十三）贯彻执行国家制定的对自由贸易区国家和地区的经贸规划、政策；管理联合国及其他国际组织或外国政府对我区经济技术合作方面的无偿援助及赠款等发展合作业务。</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（十四）负责全区会展业促进发展工作，指导监督以保定市满城区名义在境内外对外经济技术展览会和赴境外非商业性办展活动。</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（十五）负责全区商务工作新闻发布会、宣传工作和提供信息咨询服务；指导全区流通领域信息网络和电子商务建设；外资统计等。</w:t>
      </w:r>
      <w:r>
        <w:rPr>
          <w:rFonts w:ascii="仿宋_GB2312" w:hAnsi="仿宋" w:eastAsia="仿宋_GB2312" w:cs="仿宋_GB2312"/>
          <w:spacing w:val="-8"/>
          <w:sz w:val="32"/>
          <w:szCs w:val="32"/>
        </w:rPr>
        <w:t xml:space="preserve"> </w:t>
      </w:r>
    </w:p>
    <w:p>
      <w:pPr>
        <w:spacing w:line="600" w:lineRule="exact"/>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（十六）指导全区商务领域行业协会、学会等社团组织工作；负责</w:t>
      </w:r>
      <w:r>
        <w:rPr>
          <w:rFonts w:hint="eastAsia" w:ascii="仿宋_GB2312" w:hAnsi="仿宋" w:eastAsia="仿宋_GB2312"/>
          <w:spacing w:val="-8"/>
          <w:sz w:val="32"/>
          <w:szCs w:val="32"/>
        </w:rPr>
        <w:t>职业卫生的监督管理工作</w:t>
      </w:r>
      <w:r>
        <w:rPr>
          <w:rFonts w:hint="eastAsia" w:ascii="仿宋_GB2312" w:hAnsi="仿宋" w:eastAsia="仿宋_GB2312" w:cs="仿宋_GB2312"/>
          <w:spacing w:val="-8"/>
          <w:sz w:val="32"/>
          <w:szCs w:val="32"/>
        </w:rPr>
        <w:t>。</w:t>
      </w:r>
    </w:p>
    <w:p>
      <w:pPr>
        <w:spacing w:line="600" w:lineRule="exact"/>
        <w:rPr>
          <w:rFonts w:ascii="仿宋_GB2312" w:hAnsi="仿宋" w:eastAsia="仿宋_GB2312"/>
          <w:spacing w:val="-8"/>
          <w:sz w:val="32"/>
          <w:szCs w:val="32"/>
        </w:rPr>
      </w:pPr>
      <w:r>
        <w:rPr>
          <w:rFonts w:hint="eastAsia" w:ascii="仿宋_GB2312" w:hAnsi="仿宋" w:eastAsia="仿宋_GB2312" w:cs="仿宋_GB2312"/>
          <w:spacing w:val="-8"/>
          <w:sz w:val="32"/>
          <w:szCs w:val="32"/>
        </w:rPr>
        <w:t>（十七）</w:t>
      </w:r>
      <w:r>
        <w:rPr>
          <w:rFonts w:hint="eastAsia" w:ascii="仿宋_GB2312" w:hAnsi="仿宋" w:eastAsia="仿宋_GB2312"/>
          <w:spacing w:val="-8"/>
          <w:sz w:val="32"/>
          <w:szCs w:val="32"/>
        </w:rPr>
        <w:t>完成</w:t>
      </w:r>
      <w:r>
        <w:rPr>
          <w:rFonts w:hint="eastAsia" w:ascii="仿宋_GB2312" w:hAnsi="仿宋" w:eastAsia="仿宋_GB2312" w:cs="仿宋_GB2312"/>
          <w:spacing w:val="-8"/>
          <w:sz w:val="32"/>
          <w:szCs w:val="32"/>
        </w:rPr>
        <w:t>区委、区政府交办</w:t>
      </w:r>
      <w:r>
        <w:rPr>
          <w:rFonts w:hint="eastAsia" w:ascii="仿宋_GB2312" w:hAnsi="仿宋" w:eastAsia="仿宋_GB2312"/>
          <w:spacing w:val="-8"/>
          <w:sz w:val="32"/>
          <w:szCs w:val="32"/>
        </w:rPr>
        <w:t>的其他任务。</w:t>
      </w:r>
    </w:p>
    <w:p>
      <w:pPr>
        <w:spacing w:line="600" w:lineRule="exact"/>
        <w:rPr>
          <w:rFonts w:ascii="仿宋_GB2312" w:hAnsi="仿宋" w:eastAsia="仿宋_GB2312"/>
          <w:spacing w:val="-8"/>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Yu Gothic UI Semilight" w:hAnsi="Yu Gothic UI Semilight" w:eastAsia="Yu Gothic UI Semilight" w:cs="ArialUnicodeMS"/>
          <w:kern w:val="0"/>
          <w:sz w:val="32"/>
          <w:szCs w:val="32"/>
        </w:rPr>
        <w:t>从决算</w:t>
      </w:r>
      <w:r>
        <w:rPr>
          <w:rFonts w:hint="eastAsia" w:ascii="Yu Gothic UI Semilight" w:hAnsi="Yu Gothic UI Semilight" w:eastAsia="仿宋_GB2312" w:cs="ArialUnicodeMS"/>
          <w:kern w:val="0"/>
          <w:sz w:val="32"/>
          <w:szCs w:val="32"/>
        </w:rPr>
        <w:t>编报单</w:t>
      </w:r>
      <w:r>
        <w:rPr>
          <w:rFonts w:hint="eastAsia" w:ascii="Yu Gothic UI Semilight" w:hAnsi="Yu Gothic UI Semilight" w:eastAsia="Yu Gothic UI Semilight" w:cs="ArialUnicodeMS"/>
          <w:kern w:val="0"/>
          <w:sz w:val="32"/>
          <w:szCs w:val="32"/>
        </w:rPr>
        <w:t>位构成看，</w:t>
      </w:r>
      <w:r>
        <w:rPr>
          <w:rFonts w:hint="eastAsia" w:ascii="Yu Gothic UI Semilight" w:hAnsi="Yu Gothic UI Semilight" w:eastAsia="仿宋_GB2312" w:cs="ArialUnicodeMS"/>
          <w:kern w:val="0"/>
          <w:sz w:val="32"/>
          <w:szCs w:val="32"/>
        </w:rPr>
        <w:t>纳</w:t>
      </w:r>
      <w:r>
        <w:rPr>
          <w:rFonts w:hint="eastAsia" w:ascii="Yu Gothic UI Semilight" w:hAnsi="Yu Gothic UI Semilight" w:eastAsia="Yu Gothic UI Semilight" w:cs="ArialUnicodeMS"/>
          <w:kern w:val="0"/>
          <w:sz w:val="32"/>
          <w:szCs w:val="32"/>
        </w:rPr>
        <w:t>入</w:t>
      </w:r>
      <w:r>
        <w:rPr>
          <w:rFonts w:ascii="Yu Gothic UI Semilight" w:hAnsi="Yu Gothic UI Semilight" w:eastAsia="Yu Gothic UI Semilight" w:cs="ArialUnicodeMS"/>
          <w:kern w:val="0"/>
          <w:sz w:val="32"/>
          <w:szCs w:val="32"/>
        </w:rPr>
        <w:t>20</w:t>
      </w:r>
      <w:r>
        <w:rPr>
          <w:rFonts w:hint="eastAsia" w:ascii="Yu Gothic UI Semilight" w:hAnsi="Yu Gothic UI Semilight" w:cs="ArialUnicodeMS" w:eastAsiaTheme="minorEastAsia"/>
          <w:kern w:val="0"/>
          <w:sz w:val="32"/>
          <w:szCs w:val="32"/>
        </w:rPr>
        <w:t>20</w:t>
      </w:r>
      <w:r>
        <w:rPr>
          <w:rFonts w:ascii="Yu Gothic UI Semilight" w:hAnsi="Yu Gothic UI Semilight" w:eastAsia="Yu Gothic UI Semilight" w:cs="ArialUnicodeMS"/>
          <w:kern w:val="0"/>
          <w:sz w:val="32"/>
          <w:szCs w:val="32"/>
        </w:rPr>
        <w:t xml:space="preserve"> </w:t>
      </w:r>
      <w:r>
        <w:rPr>
          <w:rFonts w:hint="eastAsia" w:ascii="Yu Gothic UI Semilight" w:hAnsi="Yu Gothic UI Semilight" w:eastAsia="Yu Gothic UI Semilight" w:cs="ArialUnicodeMS"/>
          <w:kern w:val="0"/>
          <w:sz w:val="32"/>
          <w:szCs w:val="32"/>
        </w:rPr>
        <w:t>年度本部门决算</w:t>
      </w:r>
      <w:r>
        <w:rPr>
          <w:rFonts w:hint="eastAsia" w:ascii="Yu Gothic UI Semilight" w:hAnsi="Yu Gothic UI Semilight" w:eastAsia="仿宋_GB2312" w:cs="ArialUnicodeMS"/>
          <w:kern w:val="0"/>
          <w:sz w:val="32"/>
          <w:szCs w:val="32"/>
        </w:rPr>
        <w:t>汇编</w:t>
      </w:r>
      <w:r>
        <w:rPr>
          <w:rFonts w:hint="eastAsia" w:ascii="Yu Gothic UI Semilight" w:hAnsi="Yu Gothic UI Semilight" w:eastAsia="Yu Gothic UI Semilight" w:cs="ArialUnicodeMS"/>
          <w:kern w:val="0"/>
          <w:sz w:val="32"/>
          <w:szCs w:val="32"/>
        </w:rPr>
        <w:t>范</w:t>
      </w:r>
      <w:r>
        <w:rPr>
          <w:rFonts w:hint="eastAsia" w:ascii="Yu Gothic UI Semilight" w:hAnsi="Yu Gothic UI Semilight" w:eastAsia="仿宋_GB2312" w:cs="ArialUnicodeMS"/>
          <w:kern w:val="0"/>
          <w:sz w:val="32"/>
          <w:szCs w:val="32"/>
        </w:rPr>
        <w:t>围</w:t>
      </w:r>
      <w:r>
        <w:rPr>
          <w:rFonts w:hint="eastAsia" w:ascii="Yu Gothic UI Semilight" w:hAnsi="Yu Gothic UI Semilight" w:eastAsia="Yu Gothic UI Semilight" w:cs="ArialUnicodeMS"/>
          <w:kern w:val="0"/>
          <w:sz w:val="32"/>
          <w:szCs w:val="32"/>
        </w:rPr>
        <w:t>的独立核算</w:t>
      </w:r>
      <w:r>
        <w:rPr>
          <w:rFonts w:hint="eastAsia" w:ascii="Yu Gothic UI Semilight" w:hAnsi="Yu Gothic UI Semilight" w:eastAsia="仿宋_GB2312" w:cs="ArialUnicodeMS"/>
          <w:kern w:val="0"/>
          <w:sz w:val="32"/>
          <w:szCs w:val="32"/>
        </w:rPr>
        <w:t>单</w:t>
      </w:r>
      <w:r>
        <w:rPr>
          <w:rFonts w:hint="eastAsia" w:ascii="Yu Gothic UI Semilight" w:hAnsi="Yu Gothic UI Semilight" w:eastAsia="Yu Gothic UI Semilight" w:cs="ArialUnicodeMS"/>
          <w:kern w:val="0"/>
          <w:sz w:val="32"/>
          <w:szCs w:val="32"/>
        </w:rPr>
        <w:t>位（以下</w:t>
      </w:r>
      <w:r>
        <w:rPr>
          <w:rFonts w:hint="eastAsia" w:ascii="Yu Gothic UI Semilight" w:hAnsi="Yu Gothic UI Semilight" w:eastAsia="仿宋_GB2312" w:cs="ArialUnicodeMS"/>
          <w:kern w:val="0"/>
          <w:sz w:val="32"/>
          <w:szCs w:val="32"/>
        </w:rPr>
        <w:t>简</w:t>
      </w:r>
      <w:r>
        <w:rPr>
          <w:rFonts w:hint="eastAsia" w:ascii="Yu Gothic UI Semilight" w:hAnsi="Yu Gothic UI Semilight" w:eastAsia="Yu Gothic UI Semilight" w:cs="ArialUnicodeMS"/>
          <w:kern w:val="0"/>
          <w:sz w:val="32"/>
          <w:szCs w:val="32"/>
        </w:rPr>
        <w:t>称“</w:t>
      </w:r>
      <w:r>
        <w:rPr>
          <w:rFonts w:hint="eastAsia" w:ascii="Yu Gothic UI Semilight" w:hAnsi="Yu Gothic UI Semilight" w:eastAsia="仿宋_GB2312" w:cs="ArialUnicodeMS"/>
          <w:kern w:val="0"/>
          <w:sz w:val="32"/>
          <w:szCs w:val="32"/>
        </w:rPr>
        <w:t>单</w:t>
      </w:r>
      <w:r>
        <w:rPr>
          <w:rFonts w:hint="eastAsia" w:ascii="Yu Gothic UI Semilight" w:hAnsi="Yu Gothic UI Semilight" w:eastAsia="Yu Gothic UI Semilight" w:cs="ArialUnicodeMS"/>
          <w:kern w:val="0"/>
          <w:sz w:val="32"/>
          <w:szCs w:val="32"/>
        </w:rPr>
        <w:t>位”）共1个，具体情况如下</w:t>
      </w:r>
      <w:r>
        <w:rPr>
          <w:rFonts w:hint="eastAsia" w:ascii="仿宋_GB2312" w:hAnsi="Calibri" w:eastAsia="仿宋_GB2312" w:cs="ArialUnicodeMS"/>
          <w:kern w:val="0"/>
          <w:sz w:val="32"/>
          <w:szCs w:val="32"/>
        </w:rPr>
        <w:t>：</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保定市满城区商务局</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 Black"/>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eastAsia="黑体"/>
          <w:sz w:val="32"/>
          <w:szCs w:val="32"/>
        </w:rPr>
      </w:pPr>
    </w:p>
    <w:p>
      <w:pPr>
        <w:widowControl/>
        <w:spacing w:after="160" w:line="580" w:lineRule="exact"/>
        <w:ind w:firstLine="640" w:firstLineChars="200"/>
        <w:rPr>
          <w:rFonts w:eastAsia="黑体"/>
          <w:sz w:val="32"/>
          <w:szCs w:val="32"/>
        </w:rPr>
        <w:sectPr>
          <w:headerReference r:id="rId4" w:type="first"/>
          <w:headerReference r:id="rId3" w:type="default"/>
          <w:pgSz w:w="11906" w:h="16838"/>
          <w:pgMar w:top="2041" w:right="1531" w:bottom="2041" w:left="1531" w:header="851" w:footer="992" w:gutter="0"/>
          <w:pgNumType w:fmt="numberInDash"/>
          <w:cols w:space="0" w:num="1"/>
          <w:titlePg/>
          <w:docGrid w:type="lines" w:linePitch="312" w:charSpace="0"/>
        </w:sect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w:t>
      </w:r>
      <w:r>
        <w:rPr>
          <w:rFonts w:hint="eastAsia" w:ascii="黑体" w:hAnsi="黑体" w:eastAsia="黑体" w:cs="黑体"/>
          <w:color w:val="000000"/>
          <w:sz w:val="90"/>
          <w:szCs w:val="90"/>
        </w:rPr>
        <w:t>20年部门决算情况说明</w:t>
      </w:r>
    </w:p>
    <w:p/>
    <w:p>
      <w:pPr>
        <w:widowControl/>
        <w:spacing w:after="160" w:line="580" w:lineRule="exact"/>
        <w:ind w:firstLine="420" w:firstLineChars="200"/>
        <w:rPr>
          <w:rFonts w:eastAsia="黑体"/>
          <w:sz w:val="32"/>
          <w:szCs w:val="32"/>
        </w:rPr>
        <w:sectPr>
          <w:pgSz w:w="11906" w:h="16838"/>
          <w:pgMar w:top="2041" w:right="1531" w:bottom="2041" w:left="1531" w:header="851" w:footer="992" w:gutter="0"/>
          <w:pgNumType w:fmt="numberInDash"/>
          <w:cols w:space="0" w:num="1"/>
          <w:titlePg/>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23" name="文本框 4"/>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upright="1"/>
                    </wps:wsp>
                  </a:graphicData>
                </a:graphic>
              </wp:anchor>
            </w:drawing>
          </mc:Choice>
          <mc:Fallback>
            <w:pict>
              <v:shape id="文本框 4" o:spid="_x0000_s1026" o:spt="202" type="#_x0000_t202" style="position:absolute;left:0pt;margin-left:-85.7pt;margin-top:238.15pt;height:173.25pt;width:613.65pt;z-index:25166028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uuj5PeAAAADQEAAA8AAAAAAAAAAQAgAAAAIgAAAGRycy9kb3ducmV2&#10;LnhtbFBLAQIUABQAAAAIAIdO4kALGObxvQEAAGcDAAAOAAAAAAAAAAEAIAAAAC0BAABkcnMvZTJv&#10;RG9jLnhtbFBLBQYAAAAABgAGAFkBAABcBQAAAAA=&#10;">
                <v:fill on="f" focussize="0,0"/>
                <v:stroke on="f" weight="0.5pt"/>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ind w:firstLine="570"/>
        <w:rPr>
          <w:rFonts w:ascii="仿宋_GB2312" w:eastAsia="仿宋_GB2312" w:cs="Wingdings"/>
          <w:sz w:val="32"/>
          <w:szCs w:val="32"/>
        </w:rPr>
      </w:pPr>
      <w:r>
        <w:rPr>
          <w:rFonts w:hint="eastAsia" w:ascii="仿宋_GB2312" w:eastAsia="仿宋_GB2312" w:cs="Wingdings"/>
          <w:sz w:val="32"/>
          <w:szCs w:val="32"/>
        </w:rPr>
        <w:t>本部门2020年度收、支总计454.52万元。与2019年度决算相比，收支各减少483.40万元，下降51.50%，主要原因是粮食局全员划入发展和改革局，经费减少。</w:t>
      </w:r>
    </w:p>
    <w:tbl>
      <w:tblPr>
        <w:tblStyle w:val="6"/>
        <w:tblW w:w="2829" w:type="dxa"/>
        <w:tblInd w:w="108" w:type="dxa"/>
        <w:tblLayout w:type="autofit"/>
        <w:tblCellMar>
          <w:top w:w="0" w:type="dxa"/>
          <w:left w:w="108" w:type="dxa"/>
          <w:bottom w:w="0" w:type="dxa"/>
          <w:right w:w="108" w:type="dxa"/>
        </w:tblCellMar>
      </w:tblPr>
      <w:tblGrid>
        <w:gridCol w:w="1096"/>
        <w:gridCol w:w="1733"/>
      </w:tblGrid>
      <w:tr>
        <w:tblPrEx>
          <w:tblCellMar>
            <w:top w:w="0" w:type="dxa"/>
            <w:left w:w="108" w:type="dxa"/>
            <w:bottom w:w="0" w:type="dxa"/>
            <w:right w:w="108" w:type="dxa"/>
          </w:tblCellMar>
        </w:tblPrEx>
        <w:trPr>
          <w:trHeight w:val="270" w:hRule="atLeast"/>
        </w:trPr>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733"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4"/>
              </w:rPr>
            </w:pPr>
            <w:r>
              <w:rPr>
                <w:rFonts w:hint="eastAsia" w:ascii="宋体" w:hAnsi="宋体" w:cs="宋体"/>
                <w:color w:val="000000"/>
                <w:kern w:val="0"/>
                <w:sz w:val="22"/>
                <w:szCs w:val="22"/>
              </w:rPr>
              <w:t xml:space="preserve">             </w:t>
            </w:r>
            <w:r>
              <w:rPr>
                <w:rFonts w:hint="eastAsia" w:ascii="宋体" w:hAnsi="宋体" w:cs="宋体"/>
                <w:color w:val="000000"/>
                <w:kern w:val="0"/>
                <w:sz w:val="24"/>
              </w:rPr>
              <w:t xml:space="preserve">937.92   </w:t>
            </w:r>
          </w:p>
        </w:tc>
      </w:tr>
    </w:tbl>
    <w:p>
      <w:pPr>
        <w:rPr>
          <w:rFonts w:ascii="仿宋_GB2312" w:eastAsia="仿宋_GB2312" w:cs="Wingdings"/>
          <w:sz w:val="24"/>
        </w:rPr>
      </w:pPr>
      <w:r>
        <w:rPr>
          <w:rFonts w:hint="eastAsia" w:ascii="仿宋_GB2312" w:eastAsia="仿宋_GB2312" w:cs="Wingdings"/>
          <w:sz w:val="32"/>
          <w:szCs w:val="32"/>
        </w:rPr>
        <w:t xml:space="preserve">                          </w:t>
      </w:r>
      <w:r>
        <w:rPr>
          <w:rFonts w:hint="eastAsia" w:ascii="仿宋_GB2312" w:eastAsia="仿宋_GB2312" w:cs="Wingdings"/>
          <w:sz w:val="24"/>
        </w:rPr>
        <w:t xml:space="preserve">454.12 </w:t>
      </w:r>
    </w:p>
    <w:p>
      <w:pPr>
        <w:ind w:firstLine="570"/>
        <w:rPr>
          <w:rFonts w:ascii="Microsoft JhengHei Light" w:hAnsi="Microsoft JhengHei Light" w:cs="仿宋_GB2312" w:eastAsiaTheme="minorEastAsia"/>
          <w:sz w:val="28"/>
          <w:szCs w:val="28"/>
        </w:rPr>
      </w:pPr>
      <w:r>
        <w:drawing>
          <wp:inline distT="0" distB="0" distL="114300" distR="114300">
            <wp:extent cx="4091940" cy="292608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2520" w:firstLineChars="900"/>
        <w:rPr>
          <w:rFonts w:ascii="Microsoft JhengHei Light" w:hAnsi="Microsoft JhengHei Light" w:cs="仿宋_GB2312" w:eastAsiaTheme="minorEastAsia"/>
          <w:sz w:val="28"/>
          <w:szCs w:val="28"/>
        </w:rPr>
      </w:pPr>
      <w:r>
        <w:rPr>
          <w:rFonts w:hint="eastAsia" w:ascii="Microsoft JhengHei Light" w:hAnsi="Microsoft JhengHei Light" w:cs="仿宋_GB2312" w:eastAsiaTheme="minorEastAsia"/>
          <w:sz w:val="28"/>
          <w:szCs w:val="28"/>
        </w:rPr>
        <w:t>2019-2020年收支总计对比情况(图1）</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Microsoft JhengHei Light" w:hAnsi="Microsoft JhengHei Light" w:eastAsia="Microsoft JhengHei Light"/>
          <w:b/>
          <w:bCs/>
          <w:sz w:val="32"/>
          <w:szCs w:val="32"/>
        </w:rPr>
      </w:pPr>
      <w:r>
        <w:rPr>
          <w:rFonts w:hint="eastAsia" w:ascii="仿宋_GB2312" w:eastAsia="仿宋_GB2312" w:cs="Wingdings"/>
          <w:sz w:val="32"/>
          <w:szCs w:val="32"/>
        </w:rPr>
        <w:t>本部门2020年度本年收入合计454.52万元，其中：财政拨款收入454.52万元，占100%；事业收入0；经营收入0，其他收入0。</w:t>
      </w:r>
      <w:r>
        <w:rPr>
          <w:rFonts w:ascii="Microsoft JhengHei Light" w:hAnsi="Microsoft JhengHei Light" w:eastAsia="Microsoft JhengHei Light"/>
        </w:rPr>
        <mc:AlternateContent>
          <mc:Choice Requires="wpg">
            <w:drawing>
              <wp:anchor distT="0" distB="0" distL="114300" distR="114300" simplePos="0" relativeHeight="251661312" behindDoc="0" locked="0" layoutInCell="1" allowOverlap="1">
                <wp:simplePos x="0" y="0"/>
                <wp:positionH relativeFrom="column">
                  <wp:posOffset>909955</wp:posOffset>
                </wp:positionH>
                <wp:positionV relativeFrom="paragraph">
                  <wp:posOffset>248285</wp:posOffset>
                </wp:positionV>
                <wp:extent cx="3921125" cy="2762250"/>
                <wp:effectExtent l="0" t="0" r="0" b="0"/>
                <wp:wrapNone/>
                <wp:docPr id="29" name="组合 8"/>
                <wp:cNvGraphicFramePr/>
                <a:graphic xmlns:a="http://schemas.openxmlformats.org/drawingml/2006/main">
                  <a:graphicData uri="http://schemas.microsoft.com/office/word/2010/wordprocessingGroup">
                    <wpg:wgp>
                      <wpg:cNvGrpSpPr/>
                      <wpg:grpSpPr>
                        <a:xfrm>
                          <a:off x="0" y="0"/>
                          <a:ext cx="3921125" cy="2762250"/>
                          <a:chOff x="6817" y="180284"/>
                          <a:chExt cx="5156" cy="3464203"/>
                        </a:xfrm>
                        <a:effectLst/>
                      </wpg:grpSpPr>
                      <pic:pic xmlns:pic="http://schemas.openxmlformats.org/drawingml/2006/picture">
                        <pic:nvPicPr>
                          <pic:cNvPr id="27" name="图片 1"/>
                          <pic:cNvPicPr>
                            <a:picLocks noChangeAspect="1"/>
                          </pic:cNvPicPr>
                        </pic:nvPicPr>
                        <pic:blipFill>
                          <a:blip r:embed="rId9"/>
                          <a:srcRect l="3252" t="2274" r="1859" b="7961"/>
                          <a:stretch>
                            <a:fillRect/>
                          </a:stretch>
                        </pic:blipFill>
                        <pic:spPr>
                          <a:xfrm>
                            <a:off x="6817" y="180284"/>
                            <a:ext cx="5156" cy="2988"/>
                          </a:xfrm>
                          <a:prstGeom prst="rect">
                            <a:avLst/>
                          </a:prstGeom>
                          <a:noFill/>
                          <a:ln>
                            <a:noFill/>
                          </a:ln>
                          <a:effectLst/>
                        </pic:spPr>
                      </pic:pic>
                      <wps:wsp>
                        <wps:cNvPr id="28" name="文本框 32"/>
                        <wps:cNvSpPr txBox="1"/>
                        <wps:spPr>
                          <a:xfrm>
                            <a:off x="7580" y="183134"/>
                            <a:ext cx="3630" cy="615"/>
                          </a:xfrm>
                          <a:prstGeom prst="rect">
                            <a:avLst/>
                          </a:prstGeom>
                          <a:solidFill>
                            <a:srgbClr val="FFFFFF"/>
                          </a:solidFill>
                          <a:ln w="6350">
                            <a:noFill/>
                          </a:ln>
                          <a:effectLst/>
                        </wps:spPr>
                        <wps:txb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X</w:t>
                              </w:r>
                              <w:r>
                                <w:rPr>
                                  <w:rFonts w:hint="eastAsia" w:ascii="仿宋_GB2312" w:eastAsia="仿宋_GB2312" w:cs="DengXian-Regular"/>
                                  <w:sz w:val="28"/>
                                  <w:szCs w:val="28"/>
                                </w:rPr>
                                <w:t>：收入构成情况</w:t>
                              </w:r>
                            </w:p>
                            <w:p>
                              <w:pPr>
                                <w:spacing w:after="160" w:line="480" w:lineRule="auto"/>
                                <w:rPr>
                                  <w:sz w:val="20"/>
                                </w:rPr>
                              </w:pPr>
                            </w:p>
                          </w:txbxContent>
                        </wps:txbx>
                        <wps:bodyPr upright="1"/>
                      </wps:wsp>
                    </wpg:wgp>
                  </a:graphicData>
                </a:graphic>
              </wp:anchor>
            </w:drawing>
          </mc:Choice>
          <mc:Fallback>
            <w:pict>
              <v:group id="组合 8" o:spid="_x0000_s1026" o:spt="203" style="position:absolute;left:0pt;margin-left:71.65pt;margin-top:19.55pt;height:217.5pt;width:308.75pt;z-index:251661312;mso-width-relative:page;mso-height-relative:page;" coordorigin="6817,180284" coordsize="5156,346420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">
                <o:lock v:ext="edit" aspectratio="f"/>
                <v:shape id="图片 1" o:spid="_x0000_s1026" o:spt="75" type="#_x0000_t75" style="position:absolute;left:6817;top:180284;height:2988;width:5156;" filled="f" o:preferrelative="t" stroked="f" coordsize="21600,21600" o:gfxdata="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zW47sAAADb&#10;AAAADwAAAAAAAAABACAAAAAiAAAAZHJzL2Rvd25yZXYueG1sUEsBAhQAFAAAAAgAh07iQDMvBZ47&#10;AAAAOQAAABAAAAAAAAAAAQAgAAAACgEAAGRycy9zaGFwZXhtbC54bWxQSwUGAAAAAAYABgBbAQAA&#10;tAMAAAAA&#10;">
                  <v:fill on="f" focussize="0,0"/>
                  <v:stroke on="f"/>
                  <v:imagedata r:id="rId9" cropleft="2131f" croptop="1490f" cropright="1218f" cropbottom="5217f" o:title=""/>
                  <o:lock v:ext="edit" aspectratio="t"/>
                </v:shape>
                <v:shape id="文本框 32" o:spid="_x0000_s1026" o:spt="202" type="#_x0000_t202" style="position:absolute;left:7580;top:183134;height:615;width:3630;" fillcolor="#FFFFFF" filled="t" stroked="f" coordsize="21600,21600" o:gfxdata="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EuqbA2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X</w:t>
                        </w:r>
                        <w:r>
                          <w:rPr>
                            <w:rFonts w:hint="eastAsia" w:ascii="仿宋_GB2312" w:eastAsia="仿宋_GB2312" w:cs="DengXian-Regular"/>
                            <w:sz w:val="28"/>
                            <w:szCs w:val="28"/>
                          </w:rPr>
                          <w:t>：收入构成情况</w:t>
                        </w:r>
                      </w:p>
                      <w:p>
                        <w:pPr>
                          <w:spacing w:after="160" w:line="480" w:lineRule="auto"/>
                          <w:rPr>
                            <w:sz w:val="20"/>
                          </w:rPr>
                        </w:pPr>
                      </w:p>
                    </w:txbxContent>
                  </v:textbox>
                </v:shape>
              </v:group>
            </w:pict>
          </mc:Fallback>
        </mc:AlternateConten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eastAsia="仿宋_GB2312" w:cs="Wingdings"/>
          <w:sz w:val="32"/>
          <w:szCs w:val="32"/>
        </w:rPr>
      </w:pPr>
      <w:r>
        <w:rPr>
          <w:rFonts w:hint="eastAsia" w:ascii="仿宋_GB2312" w:eastAsia="仿宋_GB2312" w:cs="Wingdings"/>
          <w:sz w:val="32"/>
          <w:szCs w:val="32"/>
        </w:rPr>
        <w:t>本部门2020年度本年支出合计454.52万元，其中：基本支出276.70万元，占60.88%；项目支出177.82万元，占39.12%。</w:t>
      </w:r>
    </w:p>
    <w:p>
      <w:pPr>
        <w:widowControl/>
        <w:jc w:val="left"/>
        <w:rPr>
          <w:rFonts w:ascii="仿宋_GB2312" w:eastAsia="仿宋_GB2312" w:cs="Wingdings"/>
          <w:sz w:val="32"/>
          <w:szCs w:val="32"/>
        </w:rPr>
      </w:pPr>
      <w:r>
        <w:rPr>
          <w:rFonts w:ascii="仿宋_GB2312" w:eastAsia="仿宋_GB2312" w:cs="Wingdings"/>
          <w:sz w:val="32"/>
          <w:szCs w:val="32"/>
        </w:rPr>
        <w:br w:type="page"/>
      </w:r>
      <w:r>
        <w:rPr>
          <w:rFonts w:ascii="仿宋_GB2312" w:eastAsia="仿宋_GB2312" w:cs="Wingdings"/>
          <w:sz w:val="32"/>
          <w:szCs w:val="32"/>
        </w:rPr>
        <w:drawing>
          <wp:inline distT="0" distB="0" distL="0" distR="0">
            <wp:extent cx="4648200" cy="2333625"/>
            <wp:effectExtent l="0" t="0" r="0" b="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jc w:val="left"/>
        <w:rPr>
          <w:rFonts w:ascii="仿宋_GB2312" w:eastAsia="仿宋_GB2312" w:cs="Wingdings"/>
          <w:sz w:val="32"/>
          <w:szCs w:val="32"/>
        </w:rPr>
      </w:pPr>
    </w:p>
    <w:p>
      <w:pPr>
        <w:widowControl/>
        <w:jc w:val="left"/>
        <w:rPr>
          <w:rFonts w:ascii="仿宋_GB2312" w:eastAsia="仿宋_GB2312" w:cs="Wingdings"/>
          <w:sz w:val="32"/>
          <w:szCs w:val="32"/>
        </w:rPr>
      </w:pPr>
    </w:p>
    <w:p>
      <w:pPr>
        <w:adjustRightInd w:val="0"/>
        <w:snapToGrid w:val="0"/>
        <w:spacing w:line="580" w:lineRule="exact"/>
        <w:ind w:firstLine="1280" w:firstLineChars="400"/>
        <w:rPr>
          <w:rFonts w:ascii="仿宋_GB2312" w:eastAsia="仿宋_GB2312" w:cs="Wingdings"/>
          <w:sz w:val="32"/>
          <w:szCs w:val="32"/>
        </w:rPr>
      </w:pPr>
      <w:r>
        <w:rPr>
          <w:rFonts w:hint="eastAsia" w:ascii="仿宋_GB2312" w:eastAsia="仿宋_GB2312" w:cs="Wingdings"/>
          <w:sz w:val="32"/>
          <w:szCs w:val="32"/>
        </w:rPr>
        <w:t>图2：支出决算构成情况（按支出性质）</w:t>
      </w:r>
    </w:p>
    <w:p>
      <w:pPr>
        <w:adjustRightInd w:val="0"/>
        <w:snapToGrid w:val="0"/>
        <w:spacing w:line="580" w:lineRule="exact"/>
        <w:ind w:firstLine="640" w:firstLineChars="200"/>
        <w:rPr>
          <w:rFonts w:ascii="仿宋_GB2312" w:eastAsia="仿宋_GB2312" w:cs="Wingdings"/>
          <w:sz w:val="32"/>
          <w:szCs w:val="32"/>
        </w:rPr>
      </w:pPr>
    </w:p>
    <w:p>
      <w:pPr>
        <w:adjustRightInd w:val="0"/>
        <w:snapToGrid w:val="0"/>
        <w:spacing w:line="580" w:lineRule="exact"/>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201</w:t>
      </w:r>
      <w:r>
        <w:rPr>
          <w:rFonts w:hint="eastAsia" w:ascii="楷体_GB2312" w:eastAsia="楷体_GB2312" w:cs="DengXian-Bold"/>
          <w:b/>
          <w:bCs/>
          <w:sz w:val="32"/>
          <w:szCs w:val="32"/>
        </w:rPr>
        <w:t>9</w:t>
      </w:r>
      <w:r>
        <w:rPr>
          <w:rFonts w:ascii="楷体_GB2312" w:eastAsia="楷体_GB2312" w:cs="DengXian-Bold"/>
          <w:b/>
          <w:bCs/>
          <w:sz w:val="32"/>
          <w:szCs w:val="32"/>
        </w:rPr>
        <w:t xml:space="preserve"> </w:t>
      </w:r>
      <w:r>
        <w:rPr>
          <w:rFonts w:hint="eastAsia" w:ascii="楷体_GB2312" w:eastAsia="楷体_GB2312" w:cs="DengXian-Bold"/>
          <w:b/>
          <w:bCs/>
          <w:sz w:val="32"/>
          <w:szCs w:val="32"/>
        </w:rPr>
        <w:t>年度决算对比情况</w:t>
      </w:r>
    </w:p>
    <w:p>
      <w:pPr>
        <w:adjustRightInd w:val="0"/>
        <w:snapToGrid w:val="0"/>
        <w:spacing w:line="600" w:lineRule="exact"/>
        <w:ind w:firstLine="640" w:firstLineChars="200"/>
        <w:rPr>
          <w:rFonts w:ascii="仿宋_GB2312" w:eastAsia="仿宋_GB2312" w:cs="Wingdings"/>
          <w:sz w:val="32"/>
          <w:szCs w:val="32"/>
        </w:rPr>
      </w:pPr>
      <w:r>
        <w:rPr>
          <w:rFonts w:hint="eastAsia" w:ascii="仿宋_GB2312" w:eastAsia="仿宋_GB2312" w:cs="Wingdings"/>
          <w:sz w:val="32"/>
          <w:szCs w:val="32"/>
        </w:rPr>
        <w:t>本部门2020年度财政拨款收支均为一般公共预算财政拨款，其中本年收入454.52万元,比2019年度减少483.4</w:t>
      </w:r>
      <w:r>
        <w:rPr>
          <w:rFonts w:hint="eastAsia" w:ascii="仿宋_GB2312" w:eastAsia="仿宋_GB2312" w:cs="Wingdings"/>
          <w:sz w:val="32"/>
          <w:szCs w:val="32"/>
          <w:lang w:val="en-US" w:eastAsia="zh-CN"/>
        </w:rPr>
        <w:t>0</w:t>
      </w:r>
      <w:r>
        <w:rPr>
          <w:rFonts w:hint="eastAsia" w:ascii="仿宋_GB2312" w:eastAsia="仿宋_GB2312" w:cs="Wingdings"/>
          <w:sz w:val="32"/>
          <w:szCs w:val="32"/>
        </w:rPr>
        <w:t>万元，降低51.5</w:t>
      </w:r>
      <w:r>
        <w:rPr>
          <w:rFonts w:hint="eastAsia" w:ascii="仿宋_GB2312" w:eastAsia="仿宋_GB2312" w:cs="Wingdings"/>
          <w:sz w:val="32"/>
          <w:szCs w:val="32"/>
          <w:lang w:val="en-US" w:eastAsia="zh-CN"/>
        </w:rPr>
        <w:t>0</w:t>
      </w:r>
      <w:r>
        <w:rPr>
          <w:rFonts w:hint="eastAsia" w:ascii="仿宋_GB2312" w:eastAsia="仿宋_GB2312" w:cs="Wingdings"/>
          <w:sz w:val="32"/>
          <w:szCs w:val="32"/>
        </w:rPr>
        <w:t>%，主要是粮食局全员划入发展和改革局，经费减少。本年支出454.52万元，减少483.40万元，降低51.50%，主要是粮食局全员划入发展和改革局经费减少。</w:t>
      </w:r>
    </w:p>
    <w:p>
      <w:pPr>
        <w:adjustRightInd w:val="0"/>
        <w:snapToGrid w:val="0"/>
        <w:spacing w:line="600" w:lineRule="exact"/>
        <w:ind w:firstLine="640" w:firstLineChars="200"/>
        <w:rPr>
          <w:rFonts w:ascii="仿宋_GB2312" w:eastAsia="仿宋_GB2312" w:cs="Wingdings"/>
          <w:sz w:val="32"/>
          <w:szCs w:val="32"/>
        </w:rPr>
      </w:pPr>
    </w:p>
    <w:p>
      <w:pPr>
        <w:adjustRightInd w:val="0"/>
        <w:snapToGrid w:val="0"/>
        <w:spacing w:line="600" w:lineRule="exact"/>
        <w:ind w:firstLine="640" w:firstLineChars="200"/>
        <w:rPr>
          <w:rFonts w:ascii="仿宋_GB2312" w:eastAsia="仿宋_GB2312" w:cs="Wingdings"/>
          <w:sz w:val="32"/>
          <w:szCs w:val="32"/>
        </w:rPr>
      </w:pPr>
    </w:p>
    <w:p>
      <w:pPr>
        <w:adjustRightInd w:val="0"/>
        <w:snapToGrid w:val="0"/>
        <w:spacing w:line="600" w:lineRule="exact"/>
        <w:ind w:firstLine="640" w:firstLineChars="200"/>
        <w:rPr>
          <w:rFonts w:ascii="仿宋_GB2312" w:eastAsia="仿宋_GB2312" w:cs="Wingdings"/>
          <w:sz w:val="32"/>
          <w:szCs w:val="32"/>
        </w:rPr>
      </w:pPr>
    </w:p>
    <w:p>
      <w:pPr>
        <w:adjustRightInd w:val="0"/>
        <w:snapToGrid w:val="0"/>
        <w:spacing w:line="600" w:lineRule="exact"/>
        <w:ind w:firstLine="640" w:firstLineChars="200"/>
        <w:rPr>
          <w:rFonts w:ascii="仿宋_GB2312" w:eastAsia="仿宋_GB2312" w:cs="Wingdings"/>
          <w:sz w:val="32"/>
          <w:szCs w:val="32"/>
        </w:rPr>
      </w:pPr>
    </w:p>
    <w:p>
      <w:pPr>
        <w:adjustRightInd w:val="0"/>
        <w:snapToGrid w:val="0"/>
        <w:spacing w:line="600" w:lineRule="exact"/>
        <w:ind w:firstLine="640" w:firstLineChars="200"/>
        <w:rPr>
          <w:rFonts w:ascii="仿宋_GB2312" w:eastAsia="仿宋_GB2312" w:cs="Wingdings"/>
          <w:sz w:val="24"/>
        </w:rPr>
      </w:pPr>
      <w:r>
        <w:rPr>
          <w:rFonts w:hint="eastAsia" w:ascii="仿宋_GB2312" w:eastAsia="仿宋_GB2312" w:cs="Wingdings"/>
          <w:sz w:val="32"/>
          <w:szCs w:val="32"/>
        </w:rPr>
        <w:t xml:space="preserve">     </w:t>
      </w:r>
      <w:r>
        <w:rPr>
          <w:rFonts w:hint="eastAsia" w:ascii="仿宋_GB2312" w:eastAsia="仿宋_GB2312" w:cs="Wingdings"/>
          <w:sz w:val="24"/>
        </w:rPr>
        <w:t xml:space="preserve"> 937.92               454.52</w:t>
      </w:r>
    </w:p>
    <w:p>
      <w:pPr>
        <w:rPr>
          <w:rFonts w:ascii="仿宋_GB2312" w:eastAsia="仿宋_GB2312" w:cs="Wingdings"/>
          <w:sz w:val="32"/>
          <w:szCs w:val="32"/>
        </w:rPr>
      </w:pPr>
      <w:r>
        <w:rPr>
          <w:rFonts w:ascii="仿宋_GB2312" w:eastAsia="仿宋_GB2312" w:cs="Wingdings"/>
          <w:sz w:val="32"/>
          <w:szCs w:val="32"/>
        </w:rP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adjustRightInd w:val="0"/>
        <w:snapToGrid w:val="0"/>
        <w:spacing w:line="580" w:lineRule="exact"/>
        <w:ind w:firstLine="496" w:firstLineChars="200"/>
        <w:rPr>
          <w:rFonts w:ascii="仿宋_GB2312" w:eastAsia="仿宋_GB2312" w:cs="Wingdings"/>
          <w:sz w:val="32"/>
          <w:szCs w:val="32"/>
        </w:rPr>
      </w:pPr>
      <w:r>
        <w:rPr>
          <w:rFonts w:hint="eastAsia" w:ascii="仿宋_GB2312" w:eastAsia="仿宋_GB2312" w:cs="Wingdings"/>
          <w:spacing w:val="1"/>
          <w:w w:val="82"/>
          <w:kern w:val="0"/>
          <w:sz w:val="30"/>
          <w:szCs w:val="30"/>
          <w:fitText w:val="3960" w:id="-1706927614"/>
        </w:rPr>
        <w:t>图3:2019-2020年财政拨款支出情</w:t>
      </w:r>
      <w:r>
        <w:rPr>
          <w:rFonts w:hint="eastAsia" w:ascii="仿宋_GB2312" w:eastAsia="仿宋_GB2312" w:cs="Wingdings"/>
          <w:spacing w:val="8"/>
          <w:w w:val="82"/>
          <w:kern w:val="0"/>
          <w:sz w:val="30"/>
          <w:szCs w:val="30"/>
          <w:fitText w:val="3960" w:id="-1706927614"/>
        </w:rPr>
        <w:t>况</w:t>
      </w:r>
      <w:r>
        <w:rPr>
          <w:rFonts w:hint="eastAsia" w:ascii="仿宋_GB2312" w:eastAsia="仿宋_GB2312" w:cs="Wingdings"/>
          <w:sz w:val="32"/>
          <w:szCs w:val="32"/>
        </w:rPr>
        <w:t xml:space="preserve">                         </w:t>
      </w:r>
      <w:r>
        <w:rPr>
          <w:rFonts w:hint="eastAsia" w:ascii="楷体_GB2312" w:eastAsia="楷体_GB2312" w:cs="DengXian-Bold"/>
          <w:b/>
          <w:bCs/>
          <w:sz w:val="32"/>
          <w:szCs w:val="32"/>
        </w:rPr>
        <w:t>（二）财政拨款收支与年初预算数对比情况</w:t>
      </w:r>
    </w:p>
    <w:p>
      <w:pPr>
        <w:adjustRightInd w:val="0"/>
        <w:snapToGrid w:val="0"/>
        <w:spacing w:line="600" w:lineRule="exact"/>
        <w:ind w:firstLine="640" w:firstLineChars="200"/>
        <w:rPr>
          <w:rFonts w:ascii="仿宋_GB2312" w:eastAsia="仿宋_GB2312" w:cs="Wingdings"/>
          <w:sz w:val="32"/>
          <w:szCs w:val="32"/>
        </w:rPr>
      </w:pPr>
      <w:r>
        <w:rPr>
          <w:rFonts w:hint="eastAsia" w:ascii="仿宋_GB2312" w:eastAsia="仿宋_GB2312" w:cs="Wingdings"/>
          <w:sz w:val="32"/>
          <w:szCs w:val="32"/>
        </w:rPr>
        <w:t>本部门2020年度一般公共预算财政拨款收入454.52万元，完成年初预算的108.30%,比年初预算增加34.84万元，决算数大于预算数主要原因是补发涉军人员生活费等；本年支出454.52万元，完成年初预算的108.30%,比年初预算增加34.84万元，决算数大于预算数主要原因是主要是补发涉军人员生活费等。</w:t>
      </w:r>
    </w:p>
    <w:p>
      <w:pPr>
        <w:numPr>
          <w:ilvl w:val="0"/>
          <w:numId w:val="2"/>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600" w:lineRule="exact"/>
        <w:ind w:firstLine="640" w:firstLineChars="200"/>
        <w:rPr>
          <w:rFonts w:ascii="仿宋_GB2312" w:eastAsia="仿宋_GB2312" w:cs="Wingdings"/>
          <w:sz w:val="32"/>
          <w:szCs w:val="32"/>
        </w:rPr>
      </w:pPr>
      <w:r>
        <w:rPr>
          <w:rFonts w:hint="eastAsia" w:ascii="仿宋_GB2312" w:eastAsia="仿宋_GB2312" w:cs="Wingdings"/>
          <w:sz w:val="32"/>
          <w:szCs w:val="32"/>
        </w:rPr>
        <w:t>2020 年度财政拨款支出454.52万元，主要用于以下方面：一般公共服务（类）支出232.67万元，占51.19%，社会保障和就业（类）支出 26.68万元，占5.87%；住房保障（类）支出12.15万元，占 2.67%;卫生健康支出18.18万元，占4.00%，商业服务业务支出164.84万元，占36.27%。</w:t>
      </w:r>
    </w:p>
    <w:p>
      <w:pPr>
        <w:adjustRightInd w:val="0"/>
        <w:snapToGrid w:val="0"/>
        <w:spacing w:line="580" w:lineRule="exact"/>
        <w:rPr>
          <w:rFonts w:ascii="楷体_GB2312" w:eastAsia="楷体_GB2312" w:cs="DengXian-Bold"/>
          <w:b/>
          <w:bCs/>
          <w:sz w:val="32"/>
          <w:szCs w:val="32"/>
        </w:rPr>
      </w:pPr>
    </w:p>
    <w:p>
      <w:pPr>
        <w:widowControl/>
        <w:jc w:val="left"/>
        <w:rPr>
          <w:rFonts w:ascii="楷体_GB2312" w:eastAsia="楷体_GB2312" w:cs="DengXian-Bold"/>
          <w:b/>
          <w:bCs/>
          <w:sz w:val="32"/>
          <w:szCs w:val="32"/>
        </w:rPr>
      </w:pPr>
      <w:r>
        <w:rPr>
          <w:rFonts w:ascii="楷体_GB2312" w:eastAsia="楷体_GB2312" w:cs="DengXian-Bold"/>
          <w:b/>
          <w:bCs/>
          <w:sz w:val="32"/>
          <w:szCs w:val="32"/>
        </w:rPr>
        <w:drawing>
          <wp:inline distT="0" distB="0" distL="0" distR="0">
            <wp:extent cx="4038600" cy="2847975"/>
            <wp:effectExtent l="0" t="0" r="0" b="0"/>
            <wp:docPr id="2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ind w:firstLine="1680" w:firstLineChars="700"/>
        <w:jc w:val="left"/>
        <w:rPr>
          <w:rFonts w:ascii="楷体_GB2312" w:eastAsia="楷体_GB2312" w:cs="DengXian-Bold"/>
          <w:b/>
          <w:bCs/>
          <w:sz w:val="32"/>
          <w:szCs w:val="32"/>
        </w:rPr>
      </w:pPr>
      <w:r>
        <w:rPr>
          <w:rFonts w:asciiTheme="minorHAnsi" w:hAnsiTheme="minorEastAsia" w:eastAsiaTheme="minorEastAsia" w:cstheme="minorHAnsi"/>
          <w:bCs/>
          <w:sz w:val="24"/>
        </w:rPr>
        <w:t>图</w:t>
      </w:r>
      <w:r>
        <w:rPr>
          <w:rFonts w:asciiTheme="minorHAnsi" w:hAnsiTheme="minorHAnsi" w:eastAsiaTheme="minorEastAsia" w:cstheme="minorHAnsi"/>
          <w:bCs/>
          <w:sz w:val="24"/>
        </w:rPr>
        <w:t>4</w:t>
      </w:r>
      <w:r>
        <w:rPr>
          <w:rFonts w:asciiTheme="minorHAnsi" w:hAnsiTheme="minorEastAsia" w:eastAsiaTheme="minorEastAsia" w:cstheme="minorHAnsi"/>
          <w:bCs/>
          <w:sz w:val="24"/>
        </w:rPr>
        <w:t>：财政拨款支出决算结构（按功能分类）</w:t>
      </w:r>
      <w:r>
        <w:rPr>
          <w:rFonts w:ascii="楷体_GB2312" w:eastAsia="楷体_GB2312" w:cs="DengXian-Bold"/>
          <w:b/>
          <w:bCs/>
          <w:sz w:val="32"/>
          <w:szCs w:val="32"/>
        </w:rPr>
        <w:t xml:space="preserve"> </w:t>
      </w:r>
    </w:p>
    <w:p>
      <w:pPr>
        <w:adjustRightInd w:val="0"/>
        <w:snapToGrid w:val="0"/>
        <w:spacing w:line="580" w:lineRule="exact"/>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Wingdings"/>
          <w:sz w:val="32"/>
          <w:szCs w:val="32"/>
        </w:rPr>
        <w:t>2020 年度财政拨款基本支出276.70万元，其中：人员经费 206.70万元，主要包括基本工资91.79万元、津贴补贴33.79</w:t>
      </w:r>
      <w:r>
        <w:rPr>
          <w:rFonts w:hint="eastAsia" w:ascii="仿宋_GB2312" w:eastAsia="仿宋_GB2312" w:cs="Wingdings"/>
          <w:sz w:val="32"/>
          <w:szCs w:val="32"/>
          <w:lang w:val="en-US" w:eastAsia="zh-CN"/>
        </w:rPr>
        <w:t>万元</w:t>
      </w:r>
      <w:r>
        <w:rPr>
          <w:rFonts w:hint="eastAsia" w:ascii="仿宋_GB2312" w:eastAsia="仿宋_GB2312" w:cs="Wingdings"/>
          <w:sz w:val="32"/>
          <w:szCs w:val="32"/>
        </w:rPr>
        <w:t>、奖金7.22万元、绩效工资9.17万元、机关事业单位基本养老保险缴费21.96万元、职业年金缴费4.73万元、职工基本医疗保险缴费14.18、住房公积金12.15万元、其他社会保障缴费11.71万元、其他对个人和家庭的补助支出28.47万元，主要包括退休费15.5万元、生活补助12.30万元、奖励金0.67万元；公用经费 41.53万元，主要包括办公费1.96万元、手续费0.01万元、水费0.44万元、电费1.48万元、邮电费4.49万元、劳务费20.11万元、公务用车运行维护费4.99万元、其他交通费用6.29万元、其他商品和服务支出1.76万元。</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600" w:lineRule="exact"/>
        <w:ind w:firstLine="640" w:firstLineChars="200"/>
        <w:rPr>
          <w:rFonts w:ascii="仿宋" w:hAnsi="仿宋" w:eastAsia="仿宋" w:cs="Wingdings"/>
          <w:sz w:val="32"/>
          <w:szCs w:val="32"/>
        </w:rPr>
      </w:pPr>
      <w:r>
        <w:rPr>
          <w:rFonts w:hint="eastAsia" w:ascii="仿宋_GB2312" w:eastAsia="仿宋_GB2312" w:cs="Wingdings"/>
          <w:sz w:val="32"/>
          <w:szCs w:val="32"/>
        </w:rPr>
        <w:t>本</w:t>
      </w:r>
      <w:r>
        <w:rPr>
          <w:rFonts w:hint="eastAsia" w:ascii="仿宋" w:hAnsi="仿宋" w:eastAsia="仿宋" w:cs="Wingdings"/>
          <w:sz w:val="32"/>
          <w:szCs w:val="32"/>
        </w:rPr>
        <w:t>部门2020年度“三公”经费财政拨款支出预算为5.13万元，支出决算为4.99万元，完成预算的97.27%,较预算减少0.14万元，降低2.73%，主要是</w:t>
      </w:r>
      <w:r>
        <w:rPr>
          <w:rFonts w:hint="eastAsia" w:ascii="仿宋" w:hAnsi="仿宋" w:eastAsia="仿宋" w:cs="DengXian-Regular"/>
          <w:sz w:val="32"/>
          <w:szCs w:val="32"/>
        </w:rPr>
        <w:t>厉行节约，严控三公经费支出</w:t>
      </w:r>
      <w:r>
        <w:rPr>
          <w:rFonts w:hint="eastAsia" w:ascii="仿宋" w:hAnsi="仿宋" w:eastAsia="仿宋" w:cs="Wingdings"/>
          <w:sz w:val="32"/>
          <w:szCs w:val="32"/>
        </w:rPr>
        <w:t>；较2019年度减少2.43万元，降低32.75%，主要是</w:t>
      </w:r>
      <w:r>
        <w:rPr>
          <w:rFonts w:hint="eastAsia" w:ascii="仿宋" w:hAnsi="仿宋" w:eastAsia="仿宋" w:cs="DengXian-Regular"/>
          <w:sz w:val="32"/>
          <w:szCs w:val="32"/>
        </w:rPr>
        <w:t>厉行节约，严控三公经费支出</w:t>
      </w:r>
      <w:r>
        <w:rPr>
          <w:rFonts w:hint="eastAsia" w:ascii="仿宋" w:hAnsi="仿宋" w:eastAsia="仿宋" w:cs="Wingdings"/>
          <w:sz w:val="32"/>
          <w:szCs w:val="32"/>
        </w:rPr>
        <w:t>。</w:t>
      </w:r>
    </w:p>
    <w:p>
      <w:pPr>
        <w:adjustRightInd w:val="0"/>
        <w:snapToGrid w:val="0"/>
        <w:spacing w:line="600" w:lineRule="exact"/>
        <w:ind w:firstLine="643" w:firstLineChars="200"/>
        <w:rPr>
          <w:rFonts w:ascii="楷体_GB2312" w:eastAsia="楷体_GB2312" w:cs="Mongolian Baiti"/>
          <w:b/>
          <w:bCs/>
          <w:sz w:val="32"/>
          <w:szCs w:val="32"/>
        </w:rPr>
      </w:pPr>
      <w:r>
        <w:rPr>
          <w:rFonts w:hint="eastAsia" w:ascii="楷体_GB2312"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eastAsia="仿宋_GB2312" w:cs="Wingdings"/>
          <w:sz w:val="32"/>
          <w:szCs w:val="32"/>
        </w:rPr>
      </w:pPr>
      <w:r>
        <w:rPr>
          <w:rFonts w:hint="eastAsia" w:ascii="楷体_GB2312"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本部门2020年因公出国（境）费支出0，完成预算的0%。</w:t>
      </w:r>
      <w:r>
        <w:rPr>
          <w:rFonts w:hint="eastAsia" w:ascii="仿宋_GB2312" w:eastAsia="仿宋_GB2312" w:cs="Wingdings"/>
          <w:sz w:val="32"/>
          <w:szCs w:val="32"/>
        </w:rPr>
        <w:t>因公出国（境）团组0个、共0人、参加其他单位组织的因公出国（境）团组0个、共0人/无本单位组织的出国（境）团组。因公出国（境）费支出较预算增加（减少）0万元，主要是未发生因公出国（境）经费。</w:t>
      </w:r>
    </w:p>
    <w:p>
      <w:pPr>
        <w:adjustRightInd w:val="0"/>
        <w:snapToGrid w:val="0"/>
        <w:spacing w:line="600" w:lineRule="exact"/>
        <w:ind w:firstLine="643" w:firstLineChars="200"/>
        <w:rPr>
          <w:rFonts w:ascii="仿宋_GB2312" w:eastAsia="仿宋_GB2312" w:cs="Wingdings"/>
          <w:sz w:val="32"/>
          <w:szCs w:val="32"/>
        </w:rPr>
      </w:pPr>
      <w:r>
        <w:rPr>
          <w:rFonts w:hint="eastAsia" w:ascii="楷体_GB2312"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本部门2020年公务用车购置及运行维护费支出4.99万元，完成预算的97.27%，</w:t>
      </w:r>
      <w:r>
        <w:rPr>
          <w:rFonts w:hint="eastAsia" w:ascii="仿宋_GB2312" w:eastAsia="仿宋_GB2312" w:cs="Wingdings"/>
          <w:sz w:val="32"/>
          <w:szCs w:val="32"/>
        </w:rPr>
        <w:t>较预算减少0.14万元，降低2.73%,主要是</w:t>
      </w:r>
      <w:r>
        <w:rPr>
          <w:rFonts w:hint="eastAsia" w:ascii="Yu Gothic UI Semilight" w:hAnsi="Yu Gothic UI Semilight" w:eastAsia="Yu Gothic UI Semilight" w:cs="DengXian-Regular"/>
          <w:sz w:val="32"/>
          <w:szCs w:val="32"/>
        </w:rPr>
        <w:t>厉行</w:t>
      </w:r>
      <w:r>
        <w:rPr>
          <w:rFonts w:hint="eastAsia" w:ascii="Yu Gothic UI Semilight" w:hAnsi="Yu Gothic UI Semilight" w:eastAsia="仿宋_GB2312" w:cs="DengXian-Regular"/>
          <w:sz w:val="32"/>
          <w:szCs w:val="32"/>
        </w:rPr>
        <w:t>节约</w:t>
      </w:r>
      <w:r>
        <w:rPr>
          <w:rFonts w:hint="eastAsia" w:ascii="Yu Gothic UI Semilight" w:hAnsi="Yu Gothic UI Semilight" w:eastAsia="Yu Gothic UI Semilight" w:cs="DengXian-Regular"/>
          <w:sz w:val="32"/>
          <w:szCs w:val="32"/>
        </w:rPr>
        <w:t>，</w:t>
      </w:r>
      <w:r>
        <w:rPr>
          <w:rFonts w:hint="eastAsia" w:ascii="Yu Gothic UI Semilight" w:hAnsi="Yu Gothic UI Semilight" w:eastAsia="仿宋_GB2312" w:cs="DengXian-Regular"/>
          <w:sz w:val="32"/>
          <w:szCs w:val="32"/>
        </w:rPr>
        <w:t>严</w:t>
      </w:r>
      <w:r>
        <w:rPr>
          <w:rFonts w:hint="eastAsia" w:ascii="Yu Gothic UI Semilight" w:hAnsi="Yu Gothic UI Semilight" w:eastAsia="Yu Gothic UI Semilight" w:cs="DengXian-Regular"/>
          <w:sz w:val="32"/>
          <w:szCs w:val="32"/>
        </w:rPr>
        <w:t>控三公</w:t>
      </w:r>
      <w:r>
        <w:rPr>
          <w:rFonts w:hint="eastAsia" w:ascii="Yu Gothic UI Semilight" w:hAnsi="Yu Gothic UI Semilight" w:eastAsia="仿宋_GB2312" w:cs="DengXian-Regular"/>
          <w:sz w:val="32"/>
          <w:szCs w:val="32"/>
        </w:rPr>
        <w:t>经费</w:t>
      </w:r>
      <w:r>
        <w:rPr>
          <w:rFonts w:hint="eastAsia" w:ascii="Yu Gothic UI Semilight" w:hAnsi="Yu Gothic UI Semilight" w:eastAsia="Yu Gothic UI Semilight" w:cs="DengXian-Regular"/>
          <w:sz w:val="32"/>
          <w:szCs w:val="32"/>
        </w:rPr>
        <w:t>支出</w:t>
      </w:r>
      <w:r>
        <w:rPr>
          <w:rFonts w:hint="eastAsia" w:ascii="仿宋_GB2312" w:eastAsia="仿宋_GB2312" w:cs="Wingdings"/>
          <w:sz w:val="32"/>
          <w:szCs w:val="32"/>
        </w:rPr>
        <w:t>；较2019年度减少2.43万元，降低32.75%，主要是</w:t>
      </w:r>
      <w:r>
        <w:rPr>
          <w:rFonts w:hint="eastAsia" w:ascii="Yu Gothic UI Semilight" w:hAnsi="Yu Gothic UI Semilight" w:eastAsia="Yu Gothic UI Semilight" w:cs="DengXian-Regular"/>
          <w:sz w:val="32"/>
          <w:szCs w:val="32"/>
        </w:rPr>
        <w:t>厉行</w:t>
      </w:r>
      <w:r>
        <w:rPr>
          <w:rFonts w:hint="eastAsia" w:ascii="Yu Gothic UI Semilight" w:hAnsi="Yu Gothic UI Semilight" w:eastAsia="仿宋_GB2312" w:cs="DengXian-Regular"/>
          <w:sz w:val="32"/>
          <w:szCs w:val="32"/>
        </w:rPr>
        <w:t>节约</w:t>
      </w:r>
      <w:r>
        <w:rPr>
          <w:rFonts w:hint="eastAsia" w:ascii="Yu Gothic UI Semilight" w:hAnsi="Yu Gothic UI Semilight" w:eastAsia="Yu Gothic UI Semilight" w:cs="DengXian-Regular"/>
          <w:sz w:val="32"/>
          <w:szCs w:val="32"/>
        </w:rPr>
        <w:t>，</w:t>
      </w:r>
      <w:r>
        <w:rPr>
          <w:rFonts w:hint="eastAsia" w:ascii="Yu Gothic UI Semilight" w:hAnsi="Yu Gothic UI Semilight" w:eastAsia="仿宋_GB2312" w:cs="DengXian-Regular"/>
          <w:sz w:val="32"/>
          <w:szCs w:val="32"/>
        </w:rPr>
        <w:t>严</w:t>
      </w:r>
      <w:r>
        <w:rPr>
          <w:rFonts w:hint="eastAsia" w:ascii="Yu Gothic UI Semilight" w:hAnsi="Yu Gothic UI Semilight" w:eastAsia="Yu Gothic UI Semilight" w:cs="DengXian-Regular"/>
          <w:sz w:val="32"/>
          <w:szCs w:val="32"/>
        </w:rPr>
        <w:t>控三公</w:t>
      </w:r>
      <w:r>
        <w:rPr>
          <w:rFonts w:hint="eastAsia" w:ascii="Yu Gothic UI Semilight" w:hAnsi="Yu Gothic UI Semilight" w:eastAsia="仿宋_GB2312" w:cs="DengXian-Regular"/>
          <w:sz w:val="32"/>
          <w:szCs w:val="32"/>
        </w:rPr>
        <w:t>经费</w:t>
      </w:r>
      <w:r>
        <w:rPr>
          <w:rFonts w:hint="eastAsia" w:ascii="Yu Gothic UI Semilight" w:hAnsi="Yu Gothic UI Semilight" w:eastAsia="Yu Gothic UI Semilight" w:cs="DengXian-Regular"/>
          <w:sz w:val="32"/>
          <w:szCs w:val="32"/>
        </w:rPr>
        <w:t>支出</w:t>
      </w:r>
      <w:r>
        <w:rPr>
          <w:rFonts w:hint="eastAsia" w:ascii="仿宋_GB2312" w:eastAsia="仿宋_GB2312" w:cs="Wingdings"/>
          <w:sz w:val="32"/>
          <w:szCs w:val="32"/>
        </w:rPr>
        <w:t>。</w:t>
      </w:r>
      <w:r>
        <w:rPr>
          <w:rFonts w:hint="eastAsia" w:ascii="仿宋_GB2312" w:eastAsia="仿宋_GB2312" w:cs="Mongolian Baiti"/>
          <w:b/>
          <w:bCs/>
          <w:sz w:val="32"/>
          <w:szCs w:val="32"/>
        </w:rPr>
        <w:t>其中：</w:t>
      </w:r>
    </w:p>
    <w:p>
      <w:pPr>
        <w:adjustRightInd w:val="0"/>
        <w:snapToGrid w:val="0"/>
        <w:spacing w:line="600" w:lineRule="exact"/>
        <w:ind w:firstLine="643" w:firstLineChars="200"/>
        <w:rPr>
          <w:rFonts w:ascii="仿宋_GB2312" w:eastAsia="仿宋_GB2312" w:cs="Wingdings"/>
          <w:sz w:val="32"/>
          <w:szCs w:val="32"/>
        </w:rPr>
      </w:pPr>
      <w:r>
        <w:rPr>
          <w:rFonts w:hint="eastAsia" w:ascii="仿宋_GB2312" w:eastAsia="仿宋_GB2312" w:cs="Wingdings"/>
          <w:b/>
          <w:sz w:val="32"/>
          <w:szCs w:val="32"/>
        </w:rPr>
        <w:t>公务用车购置费支出：</w:t>
      </w:r>
      <w:r>
        <w:rPr>
          <w:rFonts w:hint="eastAsia" w:ascii="仿宋_GB2312" w:eastAsia="仿宋_GB2312" w:cs="Wingdings"/>
          <w:sz w:val="32"/>
          <w:szCs w:val="32"/>
        </w:rPr>
        <w:t>本部门2020年度公务用车购置量0辆，发生“公务用车购置”经费支出0万元。未发生公务用车购置经费支出。与年初预算持平与上年持平。</w:t>
      </w:r>
    </w:p>
    <w:p>
      <w:pPr>
        <w:adjustRightInd w:val="0"/>
        <w:snapToGrid w:val="0"/>
        <w:spacing w:line="600" w:lineRule="exact"/>
        <w:ind w:firstLine="643" w:firstLineChars="200"/>
        <w:rPr>
          <w:rFonts w:ascii="仿宋_GB2312" w:eastAsia="仿宋_GB2312" w:cs="Wingdings"/>
          <w:sz w:val="32"/>
          <w:szCs w:val="32"/>
        </w:rPr>
      </w:pPr>
      <w:r>
        <w:rPr>
          <w:rFonts w:hint="eastAsia" w:ascii="仿宋_GB2312" w:eastAsia="仿宋_GB2312" w:cs="Wingdings"/>
          <w:b/>
          <w:sz w:val="32"/>
          <w:szCs w:val="32"/>
        </w:rPr>
        <w:t>公务用车运行维护费支出：</w:t>
      </w:r>
      <w:r>
        <w:rPr>
          <w:rFonts w:hint="eastAsia" w:ascii="仿宋_GB2312" w:eastAsia="仿宋_GB2312" w:cs="Wingdings"/>
          <w:sz w:val="32"/>
          <w:szCs w:val="32"/>
        </w:rPr>
        <w:t>本部门2020年度单位公务用车保有量4辆,发生运行维护费支出4.99万元，公车运行维护费</w:t>
      </w:r>
      <w:r>
        <w:rPr>
          <w:rFonts w:hint="eastAsia" w:ascii="仿宋" w:hAnsi="仿宋" w:eastAsia="仿宋" w:cs="Wingdings"/>
          <w:sz w:val="32"/>
          <w:szCs w:val="32"/>
        </w:rPr>
        <w:t>支出较预算减少0.01万元，降低0.2%,主要是主要是</w:t>
      </w:r>
      <w:r>
        <w:rPr>
          <w:rFonts w:hint="eastAsia" w:ascii="仿宋" w:hAnsi="仿宋" w:eastAsia="仿宋" w:cs="DengXian-Regular"/>
          <w:sz w:val="32"/>
          <w:szCs w:val="32"/>
        </w:rPr>
        <w:t>厉行节约，严控三公经费支出</w:t>
      </w:r>
      <w:r>
        <w:rPr>
          <w:rFonts w:hint="eastAsia" w:ascii="仿宋" w:hAnsi="仿宋" w:eastAsia="仿宋" w:cs="Wingdings"/>
          <w:sz w:val="32"/>
          <w:szCs w:val="32"/>
        </w:rPr>
        <w:t>。较上年减少2.43万元，降低32.75%，主要是主要是</w:t>
      </w:r>
      <w:r>
        <w:rPr>
          <w:rFonts w:hint="eastAsia" w:ascii="仿宋" w:hAnsi="仿宋" w:eastAsia="仿宋" w:cs="DengXian-Regular"/>
          <w:sz w:val="32"/>
          <w:szCs w:val="32"/>
        </w:rPr>
        <w:t>厉行节约，严控三公经费支出</w:t>
      </w:r>
      <w:r>
        <w:rPr>
          <w:rFonts w:hint="eastAsia" w:ascii="仿宋" w:hAnsi="仿宋" w:eastAsia="仿宋" w:cs="Wingdings"/>
          <w:sz w:val="32"/>
          <w:szCs w:val="32"/>
        </w:rPr>
        <w:t>。</w:t>
      </w:r>
    </w:p>
    <w:p>
      <w:pPr>
        <w:adjustRightInd w:val="0"/>
        <w:snapToGrid w:val="0"/>
        <w:spacing w:line="600" w:lineRule="exact"/>
        <w:ind w:firstLine="643" w:firstLineChars="200"/>
        <w:rPr>
          <w:rFonts w:ascii="仿宋_GB2312" w:eastAsia="仿宋_GB2312" w:cs="Wingdings"/>
          <w:sz w:val="32"/>
          <w:szCs w:val="32"/>
        </w:rPr>
      </w:pPr>
      <w:r>
        <w:rPr>
          <w:rFonts w:hint="eastAsia" w:ascii="楷体_GB2312" w:eastAsia="楷体_GB2312" w:cs="Mongolian Baiti"/>
          <w:b/>
          <w:bCs/>
          <w:sz w:val="32"/>
          <w:szCs w:val="32"/>
        </w:rPr>
        <w:t>3.公务接待费。</w:t>
      </w:r>
      <w:r>
        <w:rPr>
          <w:rFonts w:hint="eastAsia" w:ascii="仿宋_GB2312" w:hAnsi="仿宋_GB2312" w:eastAsia="仿宋_GB2312" w:cs="仿宋_GB2312"/>
          <w:sz w:val="32"/>
          <w:szCs w:val="32"/>
        </w:rPr>
        <w:t>本部门2020年发生</w:t>
      </w:r>
      <w:r>
        <w:rPr>
          <w:rFonts w:hint="eastAsia" w:ascii="仿宋_GB2312" w:eastAsia="仿宋_GB2312" w:cs="Wingdings"/>
          <w:sz w:val="32"/>
          <w:szCs w:val="32"/>
        </w:rPr>
        <w:t>公务接待共0批次、0人次。公务接待费支出较预算持平。与上年决算数持平。</w:t>
      </w:r>
    </w:p>
    <w:p>
      <w:pPr>
        <w:adjustRightInd w:val="0"/>
        <w:snapToGrid w:val="0"/>
        <w:spacing w:line="580" w:lineRule="exact"/>
        <w:ind w:firstLine="643" w:firstLineChars="200"/>
        <w:rPr>
          <w:rFonts w:ascii="仿宋" w:hAnsi="仿宋" w:eastAsia="仿宋"/>
          <w:b/>
          <w:bCs/>
          <w:sz w:val="32"/>
          <w:szCs w:val="40"/>
        </w:rPr>
      </w:pPr>
      <w:r>
        <w:rPr>
          <w:rFonts w:hint="eastAsia" w:ascii="仿宋" w:hAnsi="仿宋" w:eastAsia="仿宋"/>
          <w:b/>
          <w:bCs/>
          <w:sz w:val="32"/>
          <w:szCs w:val="40"/>
        </w:rPr>
        <w:t>六、预算绩效情况说明</w:t>
      </w:r>
    </w:p>
    <w:p>
      <w:pPr>
        <w:adjustRightInd w:val="0"/>
        <w:snapToGrid w:val="0"/>
        <w:spacing w:line="5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lang w:eastAsia="zh-CN"/>
        </w:rPr>
        <w:t>（</w:t>
      </w:r>
      <w:r>
        <w:rPr>
          <w:rFonts w:hint="eastAsia" w:ascii="仿宋" w:hAnsi="仿宋" w:eastAsia="仿宋" w:cs="仿宋_GB2312"/>
          <w:b/>
          <w:bCs/>
          <w:sz w:val="32"/>
          <w:szCs w:val="32"/>
          <w:lang w:val="en-US" w:eastAsia="zh-CN"/>
        </w:rPr>
        <w:t>一</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预算绩效管理工作开展情况。</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预算绩效管理要求，本部门组织对2020年度项目支出全面开展绩效自评，其中，一般公共预算一级项目6个，共涉及资金177.82万元，占一般公共预算项目支出总额的39.12%；政府性基金预算一级项目0个，二级项目0个,共涉及资金0万元，占政府性基金预算项目支出总额的0。</w:t>
      </w:r>
    </w:p>
    <w:p>
      <w:pPr>
        <w:ind w:firstLine="600" w:firstLineChars="200"/>
        <w:rPr>
          <w:rFonts w:ascii="仿宋" w:hAnsi="仿宋" w:eastAsia="仿宋" w:cs="仿宋"/>
          <w:kern w:val="0"/>
          <w:sz w:val="32"/>
          <w:szCs w:val="32"/>
          <w:lang w:val="zh-CN"/>
        </w:rPr>
      </w:pPr>
      <w:r>
        <w:rPr>
          <w:rFonts w:hint="eastAsia" w:ascii="仿宋" w:hAnsi="仿宋" w:eastAsia="仿宋" w:cs="仿宋_GB2312"/>
          <w:sz w:val="30"/>
          <w:szCs w:val="30"/>
        </w:rPr>
        <w:t>组织对“</w:t>
      </w:r>
      <w:r>
        <w:rPr>
          <w:rFonts w:hint="eastAsia" w:ascii="仿宋" w:hAnsi="仿宋" w:eastAsia="仿宋" w:cs="宋体"/>
          <w:color w:val="000000"/>
          <w:kern w:val="0"/>
          <w:sz w:val="30"/>
          <w:szCs w:val="30"/>
        </w:rPr>
        <w:t>2019年第三批省外贸发展专项资金(贸易救济法律援助项目和稳外贸项目)</w:t>
      </w:r>
      <w:r>
        <w:rPr>
          <w:rFonts w:hint="eastAsia" w:ascii="仿宋" w:hAnsi="仿宋" w:eastAsia="仿宋" w:cs="仿宋_GB2312"/>
          <w:sz w:val="30"/>
          <w:szCs w:val="30"/>
        </w:rPr>
        <w:t>”</w:t>
      </w:r>
      <w:r>
        <w:rPr>
          <w:rFonts w:hint="eastAsia" w:ascii="仿宋" w:hAnsi="仿宋" w:eastAsia="仿宋" w:cs="仿宋"/>
          <w:kern w:val="0"/>
          <w:sz w:val="30"/>
          <w:szCs w:val="30"/>
          <w:lang w:val="zh-CN"/>
        </w:rPr>
        <w:t xml:space="preserve"> </w:t>
      </w:r>
      <w:r>
        <w:rPr>
          <w:rFonts w:hint="eastAsia" w:ascii="仿宋" w:hAnsi="仿宋" w:eastAsia="仿宋" w:cs="仿宋"/>
          <w:kern w:val="0"/>
          <w:sz w:val="32"/>
          <w:szCs w:val="32"/>
          <w:lang w:val="zh-CN"/>
        </w:rPr>
        <w:t>等</w:t>
      </w:r>
      <w:r>
        <w:rPr>
          <w:rFonts w:hint="eastAsia" w:ascii="仿宋" w:hAnsi="仿宋" w:eastAsia="仿宋" w:cs="仿宋_GB2312"/>
          <w:sz w:val="32"/>
          <w:szCs w:val="32"/>
        </w:rPr>
        <w:t>一级项目开展了部门评价，涉及一般公共预算支出177.82万元，其中，对“2020年外经贸发展资金”</w:t>
      </w:r>
      <w:r>
        <w:rPr>
          <w:rFonts w:hint="eastAsia" w:ascii="仿宋" w:hAnsi="仿宋" w:eastAsia="仿宋" w:cs="仿宋"/>
          <w:kern w:val="0"/>
          <w:sz w:val="32"/>
          <w:szCs w:val="32"/>
          <w:lang w:val="zh-CN"/>
        </w:rPr>
        <w:t xml:space="preserve"> 单位</w:t>
      </w:r>
      <w:r>
        <w:rPr>
          <w:rFonts w:hint="eastAsia" w:ascii="仿宋" w:hAnsi="仿宋" w:eastAsia="仿宋" w:cs="仿宋_GB2312"/>
          <w:sz w:val="32"/>
          <w:szCs w:val="32"/>
        </w:rPr>
        <w:t>部内开展绩效评价。从评价情况来看，</w:t>
      </w:r>
      <w:r>
        <w:rPr>
          <w:rFonts w:hint="eastAsia" w:ascii="仿宋" w:hAnsi="仿宋" w:eastAsia="仿宋" w:cs="仿宋"/>
          <w:kern w:val="0"/>
          <w:sz w:val="32"/>
          <w:szCs w:val="32"/>
          <w:lang w:val="zh-CN"/>
        </w:rPr>
        <w:t>我单位按照预算管理要求和相关政策规定，专款专用，及时拨付项目单位。</w:t>
      </w:r>
    </w:p>
    <w:p>
      <w:pPr>
        <w:adjustRightInd w:val="0"/>
        <w:snapToGrid w:val="0"/>
        <w:spacing w:line="580" w:lineRule="exact"/>
        <w:ind w:firstLine="562" w:firstLineChars="200"/>
        <w:rPr>
          <w:rFonts w:ascii="仿宋" w:hAnsi="仿宋" w:eastAsia="仿宋" w:cs="仿宋_GB2312"/>
          <w:b/>
          <w:bCs/>
          <w:sz w:val="28"/>
          <w:szCs w:val="28"/>
        </w:rPr>
      </w:pPr>
      <w:r>
        <w:rPr>
          <w:rFonts w:hint="eastAsia" w:ascii="仿宋" w:hAnsi="仿宋" w:eastAsia="仿宋" w:cs="仿宋_GB2312"/>
          <w:b/>
          <w:bCs/>
          <w:sz w:val="28"/>
          <w:szCs w:val="28"/>
          <w:lang w:eastAsia="zh-CN"/>
        </w:rPr>
        <w:t>（</w:t>
      </w:r>
      <w:r>
        <w:rPr>
          <w:rFonts w:hint="eastAsia" w:ascii="仿宋" w:hAnsi="仿宋" w:eastAsia="仿宋" w:cs="仿宋_GB2312"/>
          <w:b/>
          <w:bCs/>
          <w:sz w:val="28"/>
          <w:szCs w:val="28"/>
          <w:lang w:val="en-US" w:eastAsia="zh-CN"/>
        </w:rPr>
        <w:t>二</w:t>
      </w:r>
      <w:r>
        <w:rPr>
          <w:rFonts w:hint="eastAsia" w:ascii="仿宋" w:hAnsi="仿宋" w:eastAsia="仿宋" w:cs="仿宋_GB2312"/>
          <w:b/>
          <w:bCs/>
          <w:sz w:val="28"/>
          <w:szCs w:val="28"/>
          <w:lang w:eastAsia="zh-CN"/>
        </w:rPr>
        <w:t>）</w:t>
      </w:r>
      <w:r>
        <w:rPr>
          <w:rFonts w:hint="eastAsia" w:ascii="仿宋" w:hAnsi="仿宋" w:eastAsia="仿宋" w:cs="仿宋_GB2312"/>
          <w:b/>
          <w:bCs/>
          <w:sz w:val="28"/>
          <w:szCs w:val="28"/>
        </w:rPr>
        <w:t>部门决算中项目绩效自评结果。</w:t>
      </w:r>
    </w:p>
    <w:p>
      <w:pPr>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 xml:space="preserve">本部门在今年部门决算公开中反映 </w:t>
      </w:r>
      <w:r>
        <w:rPr>
          <w:rFonts w:ascii="仿宋" w:hAnsi="仿宋" w:eastAsia="仿宋"/>
          <w:sz w:val="30"/>
          <w:szCs w:val="30"/>
        </w:rPr>
        <w:t>外贸发展专项资金（稳外贸项目）</w:t>
      </w:r>
      <w:r>
        <w:rPr>
          <w:rFonts w:ascii="仿宋" w:hAnsi="仿宋" w:eastAsia="仿宋" w:cs="仿宋_GB2312"/>
          <w:sz w:val="32"/>
          <w:szCs w:val="32"/>
        </w:rPr>
        <w:t>项目绩效自评结果。</w:t>
      </w:r>
    </w:p>
    <w:p>
      <w:pPr>
        <w:ind w:firstLine="600" w:firstLineChars="200"/>
        <w:rPr>
          <w:rFonts w:ascii="仿宋" w:hAnsi="仿宋" w:eastAsia="仿宋" w:cs="仿宋_GB2312"/>
          <w:sz w:val="32"/>
          <w:szCs w:val="32"/>
        </w:rPr>
      </w:pPr>
      <w:r>
        <w:rPr>
          <w:rFonts w:ascii="仿宋" w:hAnsi="仿宋" w:eastAsia="仿宋"/>
          <w:sz w:val="30"/>
          <w:szCs w:val="30"/>
        </w:rPr>
        <w:t>(1)外贸发展专项资金（稳外贸项目）</w:t>
      </w:r>
      <w:r>
        <w:rPr>
          <w:rFonts w:ascii="仿宋" w:hAnsi="仿宋" w:eastAsia="仿宋" w:cs="仿宋_GB2312"/>
          <w:sz w:val="32"/>
          <w:szCs w:val="32"/>
        </w:rPr>
        <w:t>项目自评综述：根据年初设定的绩效目</w:t>
      </w:r>
      <w:r>
        <w:rPr>
          <w:rFonts w:hint="eastAsia" w:ascii="仿宋" w:hAnsi="仿宋" w:eastAsia="仿宋" w:cs="仿宋_GB2312"/>
          <w:sz w:val="32"/>
          <w:szCs w:val="32"/>
        </w:rPr>
        <w:t>标，</w:t>
      </w:r>
      <w:r>
        <w:rPr>
          <w:rFonts w:hint="eastAsia" w:ascii="仿宋" w:hAnsi="仿宋" w:eastAsia="仿宋"/>
          <w:sz w:val="30"/>
          <w:szCs w:val="30"/>
        </w:rPr>
        <w:t>外贸发展专项资金（稳外贸项目）</w:t>
      </w:r>
      <w:r>
        <w:rPr>
          <w:rFonts w:hint="eastAsia" w:ascii="仿宋" w:hAnsi="仿宋" w:eastAsia="仿宋" w:cs="仿宋_GB2312"/>
          <w:sz w:val="32"/>
          <w:szCs w:val="32"/>
        </w:rPr>
        <w:t>项目绩效自评得分为100分（绩效自评表附后）。全年预算数为96.15万元，执行数为96.15万元，完成预算的100%。项目绩效目标完成情况：一是</w:t>
      </w:r>
      <w:r>
        <w:rPr>
          <w:rFonts w:hint="eastAsia" w:ascii="仿宋" w:hAnsi="仿宋" w:eastAsia="仿宋"/>
          <w:sz w:val="30"/>
          <w:szCs w:val="30"/>
        </w:rPr>
        <w:t>按规定使用资金，达到预期效果。</w:t>
      </w:r>
      <w:r>
        <w:rPr>
          <w:rFonts w:hint="eastAsia" w:ascii="仿宋" w:hAnsi="仿宋" w:eastAsia="仿宋" w:cs="仿宋_GB2312"/>
          <w:sz w:val="32"/>
          <w:szCs w:val="32"/>
        </w:rPr>
        <w:t>；二是</w:t>
      </w:r>
      <w:r>
        <w:rPr>
          <w:rFonts w:hint="eastAsia" w:ascii="仿宋" w:hAnsi="仿宋" w:eastAsia="仿宋" w:cs="宋体"/>
          <w:color w:val="000000"/>
          <w:kern w:val="0"/>
          <w:sz w:val="30"/>
          <w:szCs w:val="30"/>
        </w:rPr>
        <w:t>维护稳岗就业、稳外贸的大局，保证员工队伍稳定，促进外贸业务的稳定增长</w:t>
      </w:r>
      <w:r>
        <w:rPr>
          <w:rFonts w:hint="eastAsia" w:ascii="仿宋" w:hAnsi="仿宋" w:eastAsia="仿宋" w:cs="仿宋_GB2312"/>
          <w:sz w:val="32"/>
          <w:szCs w:val="32"/>
        </w:rPr>
        <w:t>。下一步改进措施：我</w:t>
      </w:r>
      <w:r>
        <w:rPr>
          <w:rFonts w:hint="eastAsia" w:ascii="仿宋" w:hAnsi="仿宋" w:eastAsia="仿宋" w:cs="仿宋"/>
          <w:sz w:val="30"/>
          <w:szCs w:val="30"/>
        </w:rPr>
        <w:t>局将进一步加强对项目的监管，确保财政资金用到实处，专款专用；同时，加强绩效评价，提升自评质量，促进外贸出口良性发展。</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sz w:val="30"/>
          <w:szCs w:val="30"/>
        </w:rPr>
        <w:t>外贸发展专项资金（稳外贸项目）</w:t>
      </w:r>
      <w:r>
        <w:rPr>
          <w:rFonts w:hint="eastAsia" w:ascii="仿宋" w:hAnsi="仿宋" w:eastAsia="仿宋" w:cs="仿宋_GB2312"/>
          <w:sz w:val="32"/>
          <w:szCs w:val="32"/>
        </w:rPr>
        <w:t>项目绩效自评综述：</w:t>
      </w:r>
    </w:p>
    <w:p>
      <w:pPr>
        <w:spacing w:line="520" w:lineRule="exact"/>
        <w:ind w:firstLine="480" w:firstLineChars="150"/>
        <w:rPr>
          <w:rFonts w:ascii="仿宋" w:hAnsi="仿宋" w:eastAsia="仿宋"/>
          <w:sz w:val="32"/>
          <w:szCs w:val="32"/>
        </w:rPr>
      </w:pPr>
      <w:r>
        <w:rPr>
          <w:rFonts w:hint="eastAsia" w:ascii="仿宋" w:hAnsi="仿宋" w:eastAsia="仿宋"/>
          <w:sz w:val="32"/>
          <w:szCs w:val="32"/>
        </w:rPr>
        <w:t>一、项目基本情况</w:t>
      </w:r>
    </w:p>
    <w:p>
      <w:pPr>
        <w:spacing w:line="520" w:lineRule="exact"/>
        <w:ind w:firstLine="320" w:firstLineChars="100"/>
        <w:outlineLvl w:val="0"/>
        <w:rPr>
          <w:rFonts w:ascii="仿宋" w:hAnsi="仿宋" w:eastAsia="仿宋"/>
          <w:sz w:val="32"/>
          <w:szCs w:val="32"/>
        </w:rPr>
      </w:pPr>
      <w:r>
        <w:rPr>
          <w:rFonts w:hint="eastAsia" w:ascii="仿宋" w:hAnsi="仿宋" w:eastAsia="仿宋"/>
          <w:sz w:val="32"/>
          <w:szCs w:val="32"/>
        </w:rPr>
        <w:t>（一）项目立项背景和依据</w:t>
      </w:r>
    </w:p>
    <w:p>
      <w:pPr>
        <w:ind w:firstLine="640" w:firstLineChars="200"/>
        <w:rPr>
          <w:rFonts w:ascii="仿宋" w:hAnsi="仿宋" w:eastAsia="仿宋" w:cs="仿宋"/>
          <w:sz w:val="32"/>
          <w:szCs w:val="32"/>
        </w:rPr>
      </w:pPr>
      <w:r>
        <w:rPr>
          <w:rFonts w:hint="eastAsia" w:ascii="仿宋" w:hAnsi="仿宋" w:eastAsia="仿宋" w:cs="仿宋"/>
          <w:sz w:val="32"/>
          <w:szCs w:val="32"/>
        </w:rPr>
        <w:t>为推动我区企业积极开拓国际市场，进一步促进外贸稳中提质，优化进出口结构，促进外经贸区域协调发展，上级拨付省外贸发展专项资金，用于稳外贸项目。</w:t>
      </w:r>
      <w:r>
        <w:rPr>
          <w:rFonts w:hint="eastAsia" w:ascii="仿宋" w:hAnsi="仿宋" w:eastAsia="仿宋" w:cs="仿宋"/>
          <w:kern w:val="0"/>
          <w:sz w:val="32"/>
          <w:szCs w:val="32"/>
        </w:rPr>
        <w:t>依据河北省财政厅保</w:t>
      </w:r>
      <w:r>
        <w:rPr>
          <w:rFonts w:hint="eastAsia" w:ascii="仿宋" w:hAnsi="仿宋" w:eastAsia="仿宋" w:cs="仿宋"/>
          <w:kern w:val="0"/>
          <w:sz w:val="32"/>
          <w:szCs w:val="32"/>
          <w:lang w:val="zh-CN"/>
        </w:rPr>
        <w:t>定市财政局《关于下达20</w:t>
      </w:r>
      <w:r>
        <w:rPr>
          <w:rFonts w:hint="eastAsia" w:ascii="仿宋" w:hAnsi="仿宋" w:eastAsia="仿宋" w:cs="仿宋"/>
          <w:kern w:val="0"/>
          <w:sz w:val="32"/>
          <w:szCs w:val="32"/>
        </w:rPr>
        <w:t>19</w:t>
      </w:r>
      <w:r>
        <w:rPr>
          <w:rFonts w:hint="eastAsia" w:ascii="仿宋" w:hAnsi="仿宋" w:eastAsia="仿宋" w:cs="仿宋"/>
          <w:kern w:val="0"/>
          <w:sz w:val="32"/>
          <w:szCs w:val="32"/>
          <w:lang w:val="zh-CN"/>
        </w:rPr>
        <w:t>年第三批省外贸发展专项资金（贸易救济法律援助项目和稳外贸项目）的通知》（保财建[20</w:t>
      </w:r>
      <w:r>
        <w:rPr>
          <w:rFonts w:hint="eastAsia" w:ascii="仿宋" w:hAnsi="仿宋" w:eastAsia="仿宋" w:cs="仿宋"/>
          <w:kern w:val="0"/>
          <w:sz w:val="32"/>
          <w:szCs w:val="32"/>
        </w:rPr>
        <w:t>19</w:t>
      </w:r>
      <w:r>
        <w:rPr>
          <w:rFonts w:hint="eastAsia" w:ascii="仿宋" w:hAnsi="仿宋" w:eastAsia="仿宋" w:cs="仿宋"/>
          <w:kern w:val="0"/>
          <w:sz w:val="32"/>
          <w:szCs w:val="32"/>
          <w:lang w:val="zh-CN"/>
        </w:rPr>
        <w:t>]</w:t>
      </w:r>
      <w:r>
        <w:rPr>
          <w:rFonts w:hint="eastAsia" w:ascii="仿宋" w:hAnsi="仿宋" w:eastAsia="仿宋" w:cs="仿宋"/>
          <w:kern w:val="0"/>
          <w:sz w:val="32"/>
          <w:szCs w:val="32"/>
        </w:rPr>
        <w:t>84</w:t>
      </w:r>
      <w:r>
        <w:rPr>
          <w:rFonts w:hint="eastAsia" w:ascii="仿宋" w:hAnsi="仿宋" w:eastAsia="仿宋" w:cs="仿宋"/>
          <w:kern w:val="0"/>
          <w:sz w:val="32"/>
          <w:szCs w:val="32"/>
          <w:lang w:val="zh-CN"/>
        </w:rPr>
        <w:t>号）下达区20</w:t>
      </w:r>
      <w:r>
        <w:rPr>
          <w:rFonts w:hint="eastAsia" w:ascii="仿宋" w:hAnsi="仿宋" w:eastAsia="仿宋" w:cs="仿宋"/>
          <w:kern w:val="0"/>
          <w:sz w:val="32"/>
          <w:szCs w:val="32"/>
        </w:rPr>
        <w:t>19年省</w:t>
      </w:r>
      <w:r>
        <w:rPr>
          <w:rFonts w:hint="eastAsia" w:ascii="仿宋" w:hAnsi="仿宋" w:eastAsia="仿宋" w:cs="仿宋"/>
          <w:kern w:val="0"/>
          <w:sz w:val="32"/>
          <w:szCs w:val="32"/>
          <w:lang w:val="zh-CN"/>
        </w:rPr>
        <w:t>外贸发展专项资金</w:t>
      </w:r>
      <w:r>
        <w:rPr>
          <w:rFonts w:hint="eastAsia" w:ascii="仿宋" w:hAnsi="仿宋" w:eastAsia="仿宋" w:cs="仿宋"/>
          <w:kern w:val="0"/>
          <w:sz w:val="32"/>
          <w:szCs w:val="32"/>
        </w:rPr>
        <w:t>96.15</w:t>
      </w:r>
      <w:r>
        <w:rPr>
          <w:rFonts w:hint="eastAsia" w:ascii="仿宋" w:hAnsi="仿宋" w:eastAsia="仿宋" w:cs="仿宋"/>
          <w:kern w:val="0"/>
          <w:sz w:val="32"/>
          <w:szCs w:val="32"/>
          <w:lang w:val="zh-CN"/>
        </w:rPr>
        <w:t>万元</w:t>
      </w:r>
      <w:r>
        <w:rPr>
          <w:rFonts w:hint="eastAsia" w:ascii="仿宋" w:hAnsi="仿宋" w:eastAsia="仿宋" w:cs="仿宋"/>
          <w:kern w:val="0"/>
          <w:sz w:val="32"/>
          <w:szCs w:val="32"/>
        </w:rPr>
        <w:t>。</w:t>
      </w:r>
    </w:p>
    <w:p>
      <w:pPr>
        <w:spacing w:line="520" w:lineRule="exact"/>
        <w:ind w:firstLine="450" w:firstLineChars="150"/>
        <w:rPr>
          <w:rFonts w:ascii="仿宋" w:hAnsi="仿宋" w:eastAsia="仿宋"/>
          <w:sz w:val="30"/>
          <w:szCs w:val="30"/>
        </w:rPr>
      </w:pPr>
      <w:r>
        <w:rPr>
          <w:rFonts w:hint="eastAsia" w:ascii="仿宋" w:hAnsi="仿宋" w:eastAsia="仿宋"/>
          <w:sz w:val="30"/>
          <w:szCs w:val="30"/>
        </w:rPr>
        <w:t>（二）项目绩效目标</w:t>
      </w:r>
    </w:p>
    <w:p>
      <w:pPr>
        <w:spacing w:line="520" w:lineRule="exact"/>
        <w:ind w:firstLine="600" w:firstLineChars="200"/>
        <w:rPr>
          <w:rFonts w:ascii="宋体" w:hAnsi="宋体" w:cs="宋体"/>
          <w:sz w:val="30"/>
          <w:szCs w:val="30"/>
        </w:rPr>
      </w:pPr>
      <w:r>
        <w:rPr>
          <w:rFonts w:hint="eastAsia" w:ascii="仿宋" w:hAnsi="仿宋" w:eastAsia="仿宋" w:cs="宋体"/>
          <w:sz w:val="30"/>
          <w:szCs w:val="30"/>
        </w:rPr>
        <w:t>项目绩效目标主要是：按规定使用资金</w:t>
      </w:r>
      <w:r>
        <w:rPr>
          <w:rFonts w:hint="eastAsia" w:ascii="宋体" w:hAnsi="宋体" w:cs="宋体"/>
          <w:sz w:val="30"/>
          <w:szCs w:val="30"/>
        </w:rPr>
        <w:t>，</w:t>
      </w:r>
      <w:r>
        <w:rPr>
          <w:rFonts w:hint="eastAsia" w:ascii="仿宋" w:hAnsi="仿宋" w:eastAsia="仿宋" w:cs="宋体"/>
          <w:color w:val="000000"/>
          <w:kern w:val="0"/>
          <w:sz w:val="30"/>
          <w:szCs w:val="30"/>
        </w:rPr>
        <w:t>维护稳岗就业、稳外贸的大局，保证员工队伍稳定，促进外贸业务的稳定增长。</w:t>
      </w:r>
    </w:p>
    <w:p>
      <w:pPr>
        <w:spacing w:line="520" w:lineRule="exact"/>
        <w:ind w:firstLine="300" w:firstLineChars="100"/>
        <w:outlineLvl w:val="0"/>
        <w:rPr>
          <w:rFonts w:ascii="仿宋" w:hAnsi="仿宋" w:eastAsia="仿宋"/>
          <w:sz w:val="30"/>
          <w:szCs w:val="30"/>
        </w:rPr>
      </w:pPr>
      <w:r>
        <w:rPr>
          <w:rFonts w:hint="eastAsia" w:ascii="仿宋" w:hAnsi="仿宋" w:eastAsia="仿宋"/>
          <w:sz w:val="30"/>
          <w:szCs w:val="30"/>
        </w:rPr>
        <w:t>（三）经费来源和使用情况</w:t>
      </w:r>
    </w:p>
    <w:p>
      <w:pPr>
        <w:spacing w:line="520" w:lineRule="exact"/>
        <w:ind w:firstLine="600" w:firstLineChars="200"/>
        <w:outlineLvl w:val="0"/>
        <w:rPr>
          <w:rFonts w:ascii="仿宋" w:hAnsi="仿宋" w:eastAsia="仿宋"/>
          <w:sz w:val="30"/>
          <w:szCs w:val="30"/>
        </w:rPr>
      </w:pPr>
      <w:r>
        <w:rPr>
          <w:rFonts w:hint="eastAsia" w:ascii="仿宋" w:hAnsi="仿宋" w:eastAsia="仿宋"/>
          <w:sz w:val="30"/>
          <w:szCs w:val="30"/>
        </w:rPr>
        <w:t>资金来源省外贸发展专项资金。直接拨付保定市天宇石材35万元，河北义厚成日用品有限公司61.15万元</w:t>
      </w:r>
    </w:p>
    <w:p>
      <w:pPr>
        <w:spacing w:line="520" w:lineRule="exact"/>
        <w:ind w:firstLine="450" w:firstLineChars="150"/>
        <w:outlineLvl w:val="0"/>
        <w:rPr>
          <w:rFonts w:ascii="仿宋" w:hAnsi="仿宋" w:eastAsia="仿宋"/>
          <w:sz w:val="30"/>
          <w:szCs w:val="30"/>
        </w:rPr>
      </w:pPr>
      <w:r>
        <w:rPr>
          <w:rFonts w:hint="eastAsia" w:ascii="仿宋" w:hAnsi="仿宋" w:eastAsia="仿宋"/>
          <w:sz w:val="30"/>
          <w:szCs w:val="30"/>
        </w:rPr>
        <w:t>（四）项目实施情况</w:t>
      </w:r>
    </w:p>
    <w:p>
      <w:pPr>
        <w:spacing w:line="520" w:lineRule="exact"/>
        <w:ind w:firstLine="600" w:firstLineChars="200"/>
        <w:outlineLvl w:val="0"/>
        <w:rPr>
          <w:rFonts w:ascii="仿宋" w:hAnsi="仿宋" w:eastAsia="仿宋"/>
          <w:sz w:val="30"/>
          <w:szCs w:val="30"/>
        </w:rPr>
      </w:pPr>
      <w:r>
        <w:rPr>
          <w:rFonts w:hint="eastAsia" w:ascii="仿宋" w:hAnsi="仿宋" w:eastAsia="仿宋"/>
          <w:sz w:val="30"/>
          <w:szCs w:val="30"/>
        </w:rPr>
        <w:t>企业2019年全年稳外贸发展，资金已全部到位</w:t>
      </w:r>
      <w:r>
        <w:rPr>
          <w:rFonts w:hint="eastAsia" w:ascii="仿宋_GB2312"/>
          <w:sz w:val="30"/>
          <w:szCs w:val="30"/>
        </w:rPr>
        <w:t>。</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二、绩效评价工作情况</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  绩效评价目的</w:t>
      </w:r>
    </w:p>
    <w:p>
      <w:pPr>
        <w:ind w:firstLine="600" w:firstLineChars="200"/>
        <w:rPr>
          <w:rFonts w:ascii="仿宋" w:hAnsi="仿宋" w:eastAsia="仿宋"/>
          <w:sz w:val="30"/>
          <w:szCs w:val="30"/>
        </w:rPr>
      </w:pPr>
      <w:r>
        <w:rPr>
          <w:rFonts w:hint="eastAsia" w:ascii="仿宋" w:hAnsi="仿宋" w:eastAsia="仿宋"/>
          <w:sz w:val="30"/>
          <w:szCs w:val="30"/>
        </w:rPr>
        <w:t>按规定使用资金，达到预期效果。</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  绩效评价框架</w:t>
      </w:r>
    </w:p>
    <w:p>
      <w:pPr>
        <w:spacing w:line="520" w:lineRule="exact"/>
        <w:ind w:firstLine="600" w:firstLineChars="200"/>
        <w:rPr>
          <w:rFonts w:ascii="仿宋" w:hAnsi="仿宋" w:eastAsia="仿宋" w:cs="宋体"/>
          <w:sz w:val="30"/>
          <w:szCs w:val="30"/>
        </w:rPr>
      </w:pPr>
      <w:r>
        <w:rPr>
          <w:rFonts w:hint="eastAsia" w:ascii="仿宋" w:hAnsi="仿宋" w:eastAsia="仿宋" w:cs="宋体"/>
          <w:sz w:val="30"/>
          <w:szCs w:val="30"/>
        </w:rPr>
        <w:t>由于本项目在资料审核、预算编制及组织实施方面，由财政局和商务局共同审核资料，在管理绩效评定内容上，属确实不必要聘请专家即可准确衡量绩效的项目，所以本项目采取自行评价，非专家组评价。</w:t>
      </w:r>
    </w:p>
    <w:p>
      <w:pPr>
        <w:spacing w:line="520" w:lineRule="exact"/>
        <w:ind w:firstLine="450" w:firstLineChars="150"/>
        <w:rPr>
          <w:rFonts w:ascii="仿宋" w:hAnsi="仿宋" w:eastAsia="仿宋"/>
          <w:sz w:val="30"/>
          <w:szCs w:val="30"/>
        </w:rPr>
      </w:pPr>
      <w:r>
        <w:rPr>
          <w:rFonts w:hint="eastAsia" w:ascii="仿宋" w:hAnsi="仿宋" w:eastAsia="仿宋"/>
          <w:sz w:val="30"/>
          <w:szCs w:val="30"/>
        </w:rPr>
        <w:t>3  评价情况概述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（1）前期准备。</w:t>
      </w:r>
    </w:p>
    <w:p>
      <w:pPr>
        <w:spacing w:line="520" w:lineRule="exact"/>
        <w:ind w:firstLine="600" w:firstLineChars="200"/>
        <w:rPr>
          <w:rFonts w:ascii="仿宋" w:hAnsi="仿宋" w:eastAsia="仿宋" w:cs="宋体"/>
          <w:sz w:val="30"/>
          <w:szCs w:val="30"/>
        </w:rPr>
      </w:pPr>
      <w:r>
        <w:rPr>
          <w:rFonts w:hint="eastAsia" w:ascii="仿宋" w:hAnsi="仿宋" w:eastAsia="仿宋" w:cs="宋体"/>
          <w:sz w:val="30"/>
          <w:szCs w:val="30"/>
        </w:rPr>
        <w:t>由商务局牵头，项目实施单位、受托单位参加，明确责任，落实分工、全面领导绩效自评工作。</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（2）组织实施。</w:t>
      </w:r>
    </w:p>
    <w:p>
      <w:pPr>
        <w:spacing w:line="520" w:lineRule="exact"/>
        <w:ind w:firstLine="600" w:firstLineChars="200"/>
        <w:rPr>
          <w:rFonts w:ascii="仿宋" w:hAnsi="仿宋" w:eastAsia="仿宋" w:cs="宋体"/>
          <w:sz w:val="30"/>
          <w:szCs w:val="30"/>
        </w:rPr>
      </w:pPr>
      <w:r>
        <w:rPr>
          <w:rFonts w:hint="eastAsia" w:ascii="仿宋" w:hAnsi="仿宋" w:eastAsia="仿宋" w:cs="宋体"/>
          <w:sz w:val="30"/>
          <w:szCs w:val="30"/>
        </w:rPr>
        <w:t>对项目实施单位进行现场调查和走访调查，在已有的资料基础上，完成绩效自评报告。</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（3）分析评价。</w:t>
      </w:r>
    </w:p>
    <w:p>
      <w:pPr>
        <w:spacing w:line="520" w:lineRule="exact"/>
        <w:ind w:firstLine="600" w:firstLineChars="200"/>
        <w:rPr>
          <w:rFonts w:ascii="仿宋" w:hAnsi="仿宋" w:eastAsia="仿宋" w:cs="宋体"/>
          <w:sz w:val="30"/>
          <w:szCs w:val="30"/>
        </w:rPr>
      </w:pPr>
      <w:r>
        <w:rPr>
          <w:rFonts w:hint="eastAsia" w:ascii="仿宋" w:hAnsi="仿宋" w:eastAsia="仿宋" w:cs="宋体"/>
          <w:sz w:val="30"/>
          <w:szCs w:val="30"/>
        </w:rPr>
        <w:t>根据绩效目标和考评结果，及时调整和优化本单位以后年度的预算和支出的方向和结构，不断改进内部管理，合理配置资源，加强财务管理，提高资金的使用效率，和效益。将绩效的考评结果作为以后年度编制和安排预算的重要参考依据。</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三、绩效分析及评价结论</w:t>
      </w:r>
    </w:p>
    <w:p>
      <w:pPr>
        <w:spacing w:line="520" w:lineRule="exact"/>
        <w:ind w:firstLine="600" w:firstLineChars="200"/>
        <w:outlineLvl w:val="0"/>
        <w:rPr>
          <w:rFonts w:ascii="仿宋" w:hAnsi="仿宋" w:eastAsia="仿宋"/>
          <w:sz w:val="30"/>
          <w:szCs w:val="30"/>
        </w:rPr>
      </w:pPr>
      <w:r>
        <w:rPr>
          <w:rFonts w:hint="eastAsia" w:ascii="仿宋" w:hAnsi="仿宋" w:eastAsia="仿宋"/>
          <w:sz w:val="30"/>
          <w:szCs w:val="30"/>
        </w:rPr>
        <w:t>（1）项目管理绩效情况分析。</w:t>
      </w:r>
    </w:p>
    <w:p>
      <w:pPr>
        <w:spacing w:line="520" w:lineRule="exact"/>
        <w:ind w:firstLine="600" w:firstLineChars="200"/>
        <w:rPr>
          <w:rFonts w:ascii="仿宋" w:hAnsi="仿宋" w:eastAsia="仿宋" w:cs="宋体"/>
          <w:sz w:val="30"/>
          <w:szCs w:val="30"/>
        </w:rPr>
      </w:pPr>
      <w:r>
        <w:rPr>
          <w:rFonts w:hint="eastAsia" w:ascii="仿宋" w:hAnsi="仿宋" w:eastAsia="仿宋" w:cs="宋体"/>
          <w:sz w:val="30"/>
          <w:szCs w:val="30"/>
        </w:rPr>
        <w:t>通过评价，规范和加强列入专项资金项目管理，总结以往的成功经验与不足，同时了解外资企业需求和满意程度，促进外贸业务的稳定增长。</w:t>
      </w:r>
    </w:p>
    <w:p>
      <w:pPr>
        <w:spacing w:line="520" w:lineRule="exact"/>
        <w:ind w:firstLine="450" w:firstLineChars="150"/>
        <w:rPr>
          <w:rFonts w:ascii="仿宋" w:hAnsi="仿宋" w:eastAsia="仿宋"/>
          <w:sz w:val="30"/>
          <w:szCs w:val="30"/>
        </w:rPr>
      </w:pPr>
      <w:r>
        <w:rPr>
          <w:rFonts w:hint="eastAsia" w:ascii="仿宋" w:hAnsi="仿宋" w:eastAsia="仿宋"/>
          <w:sz w:val="30"/>
          <w:szCs w:val="30"/>
        </w:rPr>
        <w:t>（2）项目结果绩效情况分析。</w:t>
      </w:r>
    </w:p>
    <w:p>
      <w:pPr>
        <w:spacing w:line="520" w:lineRule="exact"/>
        <w:ind w:firstLine="600" w:firstLineChars="200"/>
        <w:rPr>
          <w:rFonts w:ascii="仿宋" w:hAnsi="仿宋" w:eastAsia="仿宋" w:cs="宋体"/>
          <w:sz w:val="30"/>
          <w:szCs w:val="30"/>
        </w:rPr>
      </w:pPr>
      <w:r>
        <w:rPr>
          <w:rFonts w:hint="eastAsia" w:ascii="仿宋" w:hAnsi="仿宋" w:eastAsia="仿宋" w:cs="宋体"/>
          <w:sz w:val="30"/>
          <w:szCs w:val="30"/>
        </w:rPr>
        <w:t>由于本项目在资料审核、预算编制及组织实施方面，由财政局和商务局共同审核资料，在管理绩效评定内容上，属确实不必要聘请专家即可准确衡量绩效的项目，所以本项目采取自行评价，非专家组评价。</w:t>
      </w:r>
    </w:p>
    <w:p>
      <w:pPr>
        <w:spacing w:line="520" w:lineRule="exact"/>
        <w:ind w:firstLine="600" w:firstLineChars="200"/>
        <w:outlineLvl w:val="0"/>
        <w:rPr>
          <w:rFonts w:ascii="仿宋" w:hAnsi="仿宋" w:eastAsia="仿宋"/>
          <w:sz w:val="30"/>
          <w:szCs w:val="30"/>
        </w:rPr>
      </w:pPr>
      <w:r>
        <w:rPr>
          <w:rFonts w:hint="eastAsia" w:ascii="仿宋" w:hAnsi="仿宋" w:eastAsia="仿宋"/>
          <w:sz w:val="30"/>
          <w:szCs w:val="30"/>
        </w:rPr>
        <w:t>（3）评价结论</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1、评分结果。</w:t>
      </w:r>
    </w:p>
    <w:p>
      <w:pPr>
        <w:spacing w:line="520" w:lineRule="exact"/>
        <w:ind w:firstLine="600" w:firstLineChars="200"/>
        <w:rPr>
          <w:rFonts w:ascii="仿宋" w:hAnsi="仿宋" w:eastAsia="仿宋" w:cs="宋体"/>
          <w:sz w:val="30"/>
          <w:szCs w:val="30"/>
        </w:rPr>
      </w:pPr>
      <w:r>
        <w:rPr>
          <w:rFonts w:hint="eastAsia" w:ascii="仿宋" w:hAnsi="仿宋" w:eastAsia="仿宋" w:cs="宋体"/>
          <w:sz w:val="30"/>
          <w:szCs w:val="30"/>
        </w:rPr>
        <w:t>项目管理绩效评价采取加权平均指标自评得分为100分，评价等级为优。</w:t>
      </w:r>
    </w:p>
    <w:p>
      <w:pPr>
        <w:spacing w:line="560" w:lineRule="exact"/>
        <w:ind w:firstLine="750" w:firstLineChars="250"/>
        <w:outlineLvl w:val="0"/>
        <w:rPr>
          <w:rFonts w:ascii="仿宋" w:hAnsi="仿宋" w:eastAsia="仿宋"/>
          <w:sz w:val="30"/>
          <w:szCs w:val="30"/>
        </w:rPr>
      </w:pPr>
      <w:r>
        <w:rPr>
          <w:rFonts w:hint="eastAsia" w:ascii="仿宋" w:hAnsi="仿宋" w:eastAsia="仿宋"/>
          <w:sz w:val="30"/>
          <w:szCs w:val="30"/>
        </w:rPr>
        <w:t>2、主要结论。</w:t>
      </w:r>
    </w:p>
    <w:p>
      <w:pPr>
        <w:spacing w:line="520" w:lineRule="exact"/>
        <w:ind w:firstLine="600" w:firstLineChars="200"/>
        <w:rPr>
          <w:rFonts w:ascii="仿宋" w:hAnsi="仿宋" w:eastAsia="仿宋" w:cs="宋体"/>
          <w:sz w:val="30"/>
          <w:szCs w:val="30"/>
        </w:rPr>
      </w:pPr>
      <w:r>
        <w:rPr>
          <w:rFonts w:hint="eastAsia" w:ascii="仿宋" w:hAnsi="仿宋" w:eastAsia="仿宋" w:cs="宋体"/>
          <w:sz w:val="30"/>
          <w:szCs w:val="30"/>
        </w:rPr>
        <w:t>管理绩效自评。项目管理绩效评价采取加权平均指标自评得分为100分，评价等级为优。</w:t>
      </w:r>
    </w:p>
    <w:p>
      <w:pPr>
        <w:ind w:firstLine="600" w:firstLineChars="200"/>
        <w:rPr>
          <w:rFonts w:ascii="仿宋" w:hAnsi="仿宋" w:eastAsia="仿宋" w:cs="宋体"/>
          <w:sz w:val="30"/>
          <w:szCs w:val="30"/>
        </w:rPr>
      </w:pPr>
      <w:r>
        <w:rPr>
          <w:rFonts w:hint="eastAsia" w:ascii="仿宋" w:hAnsi="仿宋" w:eastAsia="仿宋" w:cs="宋体"/>
          <w:sz w:val="30"/>
          <w:szCs w:val="30"/>
        </w:rPr>
        <w:t>项目结果绩效自评。项目结果绩效自评得分100分，评价等级为优。</w:t>
      </w:r>
    </w:p>
    <w:p>
      <w:pPr>
        <w:ind w:firstLine="600" w:firstLineChars="200"/>
        <w:rPr>
          <w:rFonts w:hint="eastAsia" w:ascii="仿宋" w:hAnsi="仿宋" w:eastAsia="仿宋" w:cs="宋体"/>
          <w:sz w:val="30"/>
          <w:szCs w:val="30"/>
        </w:rPr>
      </w:pPr>
      <w:r>
        <w:rPr>
          <w:rFonts w:hint="eastAsia" w:ascii="仿宋" w:hAnsi="仿宋" w:eastAsia="仿宋" w:cs="宋体"/>
          <w:sz w:val="30"/>
          <w:szCs w:val="30"/>
        </w:rPr>
        <w:t>综合绩效评级：结合综合管理评价与结果评价，该项目综合评价等级为优。</w:t>
      </w:r>
    </w:p>
    <w:p>
      <w:pPr>
        <w:ind w:firstLine="600" w:firstLineChars="200"/>
        <w:rPr>
          <w:rFonts w:ascii="仿宋" w:hAnsi="仿宋" w:eastAsia="仿宋" w:cs="宋体"/>
          <w:sz w:val="30"/>
          <w:szCs w:val="30"/>
        </w:rPr>
      </w:pPr>
    </w:p>
    <w:p>
      <w:pPr>
        <w:spacing w:line="400" w:lineRule="exact"/>
        <w:ind w:firstLine="1760" w:firstLineChars="400"/>
        <w:rPr>
          <w:rFonts w:ascii="华文中宋" w:hAnsi="华文中宋" w:eastAsia="华文中宋"/>
          <w:sz w:val="44"/>
          <w:szCs w:val="44"/>
        </w:rPr>
      </w:pPr>
      <w:r>
        <w:rPr>
          <w:rFonts w:hint="eastAsia" w:ascii="华文中宋" w:hAnsi="华文中宋" w:eastAsia="华文中宋"/>
          <w:sz w:val="44"/>
          <w:szCs w:val="44"/>
        </w:rPr>
        <w:t>项目支出绩效自评表</w:t>
      </w:r>
    </w:p>
    <w:p>
      <w:pPr>
        <w:spacing w:line="200" w:lineRule="exact"/>
        <w:rPr>
          <w:rFonts w:ascii="黑体" w:hAnsi="黑体" w:eastAsia="黑体"/>
        </w:rPr>
      </w:pPr>
    </w:p>
    <w:tbl>
      <w:tblPr>
        <w:tblStyle w:val="6"/>
        <w:tblpPr w:leftFromText="180" w:rightFromText="180" w:vertAnchor="page" w:horzAnchor="margin" w:tblpY="3102"/>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985"/>
        <w:gridCol w:w="984"/>
        <w:gridCol w:w="983"/>
        <w:gridCol w:w="1125"/>
        <w:gridCol w:w="184"/>
        <w:gridCol w:w="1134"/>
        <w:gridCol w:w="933"/>
        <w:gridCol w:w="343"/>
        <w:gridCol w:w="359"/>
        <w:gridCol w:w="208"/>
        <w:gridCol w:w="425"/>
        <w:gridCol w:w="291"/>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trPr>
        <w:tc>
          <w:tcPr>
            <w:tcW w:w="1652" w:type="dxa"/>
            <w:gridSpan w:val="2"/>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项目名称</w:t>
            </w:r>
          </w:p>
        </w:tc>
        <w:tc>
          <w:tcPr>
            <w:tcW w:w="8053" w:type="dxa"/>
            <w:gridSpan w:val="12"/>
            <w:tcBorders>
              <w:top w:val="single" w:color="auto" w:sz="4" w:space="0"/>
              <w:left w:val="single" w:color="auto" w:sz="4" w:space="0"/>
              <w:bottom w:val="single" w:color="auto" w:sz="4" w:space="0"/>
              <w:right w:val="single" w:color="auto" w:sz="4" w:space="0"/>
            </w:tcBorders>
          </w:tcPr>
          <w:p>
            <w:pPr>
              <w:spacing w:line="240" w:lineRule="exact"/>
              <w:rPr>
                <w:sz w:val="18"/>
                <w:szCs w:val="18"/>
              </w:rPr>
            </w:pPr>
            <w:r>
              <w:rPr>
                <w:rFonts w:hint="eastAsia"/>
                <w:sz w:val="18"/>
                <w:szCs w:val="18"/>
              </w:rPr>
              <w:t>外贸发展专项资金（稳外贸项目）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652" w:type="dxa"/>
            <w:gridSpan w:val="2"/>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主管部门</w:t>
            </w:r>
          </w:p>
        </w:tc>
        <w:tc>
          <w:tcPr>
            <w:tcW w:w="4410" w:type="dxa"/>
            <w:gridSpan w:val="5"/>
            <w:tcBorders>
              <w:top w:val="single" w:color="auto" w:sz="4" w:space="0"/>
              <w:left w:val="single" w:color="auto" w:sz="4" w:space="0"/>
              <w:bottom w:val="single" w:color="auto" w:sz="4" w:space="0"/>
              <w:right w:val="single" w:color="auto" w:sz="4" w:space="0"/>
            </w:tcBorders>
          </w:tcPr>
          <w:p>
            <w:pPr>
              <w:spacing w:line="240" w:lineRule="exact"/>
              <w:rPr>
                <w:sz w:val="18"/>
                <w:szCs w:val="18"/>
              </w:rPr>
            </w:pPr>
            <w:r>
              <w:rPr>
                <w:rFonts w:hint="eastAsia"/>
                <w:sz w:val="18"/>
                <w:szCs w:val="18"/>
              </w:rPr>
              <w:t>保定市满城区商务局</w:t>
            </w:r>
          </w:p>
        </w:tc>
        <w:tc>
          <w:tcPr>
            <w:tcW w:w="933" w:type="dxa"/>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实施单位</w:t>
            </w:r>
          </w:p>
        </w:tc>
        <w:tc>
          <w:tcPr>
            <w:tcW w:w="2710" w:type="dxa"/>
            <w:gridSpan w:val="6"/>
            <w:tcBorders>
              <w:top w:val="single" w:color="auto" w:sz="4" w:space="0"/>
              <w:left w:val="single" w:color="auto" w:sz="4" w:space="0"/>
              <w:bottom w:val="single" w:color="auto" w:sz="4" w:space="0"/>
              <w:right w:val="single" w:color="auto" w:sz="4" w:space="0"/>
            </w:tcBorders>
          </w:tcPr>
          <w:p>
            <w:pPr>
              <w:spacing w:line="240" w:lineRule="exact"/>
              <w:jc w:val="center"/>
              <w:rPr>
                <w:sz w:val="15"/>
                <w:szCs w:val="15"/>
              </w:rPr>
            </w:pPr>
            <w:r>
              <w:rPr>
                <w:rFonts w:hint="eastAsia" w:ascii="宋体" w:hAnsi="宋体" w:cs="宋体"/>
                <w:color w:val="000000"/>
                <w:kern w:val="0"/>
                <w:sz w:val="15"/>
                <w:szCs w:val="15"/>
              </w:rPr>
              <w:t>保定天宇石材加工厂和河北义厚日用品有限公司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exact"/>
        </w:trPr>
        <w:tc>
          <w:tcPr>
            <w:tcW w:w="1652" w:type="dxa"/>
            <w:gridSpan w:val="2"/>
            <w:vMerge w:val="restar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项目资金</w:t>
            </w:r>
          </w:p>
          <w:p>
            <w:pPr>
              <w:jc w:val="center"/>
              <w:rPr>
                <w:sz w:val="18"/>
                <w:szCs w:val="18"/>
              </w:rPr>
            </w:pPr>
            <w:r>
              <w:rPr>
                <w:rFonts w:hint="eastAsia"/>
                <w:sz w:val="18"/>
                <w:szCs w:val="18"/>
              </w:rPr>
              <w:t>（万元）</w:t>
            </w:r>
          </w:p>
        </w:tc>
        <w:tc>
          <w:tcPr>
            <w:tcW w:w="1967" w:type="dxa"/>
            <w:gridSpan w:val="2"/>
            <w:tcBorders>
              <w:top w:val="single" w:color="auto" w:sz="4" w:space="0"/>
              <w:left w:val="single" w:color="auto" w:sz="4" w:space="0"/>
              <w:bottom w:val="single" w:color="auto" w:sz="4" w:space="0"/>
              <w:right w:val="single" w:color="auto" w:sz="4" w:space="0"/>
            </w:tcBorders>
          </w:tcPr>
          <w:p>
            <w:pPr>
              <w:spacing w:line="280" w:lineRule="exact"/>
              <w:jc w:val="left"/>
              <w:rPr>
                <w:sz w:val="18"/>
                <w:szCs w:val="18"/>
              </w:rPr>
            </w:pPr>
          </w:p>
          <w:p>
            <w:pPr>
              <w:spacing w:line="280" w:lineRule="exact"/>
              <w:rPr>
                <w:sz w:val="18"/>
                <w:szCs w:val="18"/>
              </w:rPr>
            </w:pPr>
          </w:p>
        </w:tc>
        <w:tc>
          <w:tcPr>
            <w:tcW w:w="1125" w:type="dxa"/>
            <w:tcBorders>
              <w:top w:val="single" w:color="auto" w:sz="4" w:space="0"/>
              <w:left w:val="single" w:color="auto" w:sz="4" w:space="0"/>
              <w:bottom w:val="single" w:color="auto" w:sz="4" w:space="0"/>
              <w:right w:val="single" w:color="auto" w:sz="4" w:space="0"/>
            </w:tcBorders>
          </w:tcPr>
          <w:p>
            <w:pPr>
              <w:spacing w:line="280" w:lineRule="exact"/>
              <w:rPr>
                <w:sz w:val="18"/>
                <w:szCs w:val="18"/>
              </w:rPr>
            </w:pPr>
            <w:r>
              <w:rPr>
                <w:rFonts w:hint="eastAsia"/>
                <w:sz w:val="18"/>
                <w:szCs w:val="18"/>
              </w:rPr>
              <w:t>年初预算数</w:t>
            </w:r>
          </w:p>
        </w:tc>
        <w:tc>
          <w:tcPr>
            <w:tcW w:w="1318" w:type="dxa"/>
            <w:gridSpan w:val="2"/>
            <w:tcBorders>
              <w:top w:val="single" w:color="auto" w:sz="4" w:space="0"/>
              <w:left w:val="single" w:color="auto" w:sz="4" w:space="0"/>
              <w:bottom w:val="single" w:color="auto" w:sz="4" w:space="0"/>
              <w:right w:val="single" w:color="auto" w:sz="4" w:space="0"/>
            </w:tcBorders>
          </w:tcPr>
          <w:p>
            <w:pPr>
              <w:spacing w:line="280" w:lineRule="exact"/>
              <w:rPr>
                <w:sz w:val="18"/>
                <w:szCs w:val="18"/>
              </w:rPr>
            </w:pPr>
            <w:r>
              <w:rPr>
                <w:rFonts w:hint="eastAsia"/>
                <w:sz w:val="18"/>
                <w:szCs w:val="18"/>
              </w:rPr>
              <w:t>全年预算数</w:t>
            </w:r>
          </w:p>
        </w:tc>
        <w:tc>
          <w:tcPr>
            <w:tcW w:w="933" w:type="dxa"/>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sz w:val="18"/>
                <w:szCs w:val="18"/>
              </w:rPr>
              <w:t>全年执行数</w:t>
            </w:r>
          </w:p>
        </w:tc>
        <w:tc>
          <w:tcPr>
            <w:tcW w:w="70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sz w:val="18"/>
                <w:szCs w:val="18"/>
              </w:rPr>
              <w:t>分值</w:t>
            </w:r>
          </w:p>
        </w:tc>
        <w:tc>
          <w:tcPr>
            <w:tcW w:w="924" w:type="dxa"/>
            <w:gridSpan w:val="3"/>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sz w:val="18"/>
                <w:szCs w:val="18"/>
              </w:rPr>
              <w:t>执行率</w:t>
            </w:r>
          </w:p>
        </w:tc>
        <w:tc>
          <w:tcPr>
            <w:tcW w:w="1084" w:type="dxa"/>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exact"/>
        </w:trPr>
        <w:tc>
          <w:tcPr>
            <w:tcW w:w="16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67" w:type="dxa"/>
            <w:gridSpan w:val="2"/>
            <w:tcBorders>
              <w:top w:val="single" w:color="auto" w:sz="4" w:space="0"/>
              <w:left w:val="single" w:color="auto" w:sz="4" w:space="0"/>
              <w:bottom w:val="single" w:color="auto" w:sz="4" w:space="0"/>
              <w:right w:val="single" w:color="auto" w:sz="4" w:space="0"/>
            </w:tcBorders>
          </w:tcPr>
          <w:p>
            <w:pPr>
              <w:spacing w:line="280" w:lineRule="exact"/>
              <w:ind w:firstLine="90" w:firstLineChars="50"/>
              <w:rPr>
                <w:sz w:val="18"/>
                <w:szCs w:val="18"/>
              </w:rPr>
            </w:pPr>
            <w:r>
              <w:rPr>
                <w:rFonts w:hint="eastAsia"/>
                <w:sz w:val="18"/>
                <w:szCs w:val="18"/>
              </w:rPr>
              <w:t>年度资金总额</w:t>
            </w:r>
          </w:p>
        </w:tc>
        <w:tc>
          <w:tcPr>
            <w:tcW w:w="1125" w:type="dxa"/>
            <w:tcBorders>
              <w:top w:val="single" w:color="auto" w:sz="4" w:space="0"/>
              <w:left w:val="single" w:color="auto" w:sz="4" w:space="0"/>
              <w:bottom w:val="single" w:color="auto" w:sz="4" w:space="0"/>
              <w:right w:val="single" w:color="auto" w:sz="4" w:space="0"/>
            </w:tcBorders>
          </w:tcPr>
          <w:p>
            <w:pPr>
              <w:spacing w:line="280" w:lineRule="exact"/>
              <w:rPr>
                <w:sz w:val="18"/>
                <w:szCs w:val="18"/>
              </w:rPr>
            </w:pPr>
            <w:r>
              <w:rPr>
                <w:rFonts w:hint="eastAsia"/>
                <w:sz w:val="18"/>
                <w:szCs w:val="18"/>
              </w:rPr>
              <w:t>96.15万元</w:t>
            </w:r>
          </w:p>
        </w:tc>
        <w:tc>
          <w:tcPr>
            <w:tcW w:w="1318" w:type="dxa"/>
            <w:gridSpan w:val="2"/>
            <w:tcBorders>
              <w:top w:val="single" w:color="auto" w:sz="4" w:space="0"/>
              <w:left w:val="single" w:color="auto" w:sz="4" w:space="0"/>
              <w:bottom w:val="single" w:color="auto" w:sz="4" w:space="0"/>
              <w:right w:val="single" w:color="auto" w:sz="4" w:space="0"/>
            </w:tcBorders>
          </w:tcPr>
          <w:p>
            <w:pPr>
              <w:spacing w:line="280" w:lineRule="exact"/>
              <w:rPr>
                <w:sz w:val="18"/>
                <w:szCs w:val="18"/>
              </w:rPr>
            </w:pPr>
            <w:r>
              <w:rPr>
                <w:rFonts w:hint="eastAsia"/>
                <w:sz w:val="18"/>
                <w:szCs w:val="18"/>
              </w:rPr>
              <w:t>96.15万元</w:t>
            </w:r>
          </w:p>
        </w:tc>
        <w:tc>
          <w:tcPr>
            <w:tcW w:w="933" w:type="dxa"/>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sz w:val="18"/>
                <w:szCs w:val="18"/>
              </w:rPr>
              <w:t>96.15万元</w:t>
            </w:r>
          </w:p>
        </w:tc>
        <w:tc>
          <w:tcPr>
            <w:tcW w:w="70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sz w:val="18"/>
                <w:szCs w:val="18"/>
              </w:rPr>
              <w:t>10</w:t>
            </w:r>
          </w:p>
        </w:tc>
        <w:tc>
          <w:tcPr>
            <w:tcW w:w="924" w:type="dxa"/>
            <w:gridSpan w:val="3"/>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sz w:val="18"/>
                <w:szCs w:val="18"/>
              </w:rPr>
              <w:t>100</w:t>
            </w:r>
          </w:p>
        </w:tc>
        <w:tc>
          <w:tcPr>
            <w:tcW w:w="1084" w:type="dxa"/>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exact"/>
        </w:trPr>
        <w:tc>
          <w:tcPr>
            <w:tcW w:w="16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67"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sz w:val="18"/>
                <w:szCs w:val="18"/>
              </w:rPr>
              <w:t>其中：当年财政拨款</w:t>
            </w:r>
          </w:p>
        </w:tc>
        <w:tc>
          <w:tcPr>
            <w:tcW w:w="1125" w:type="dxa"/>
            <w:tcBorders>
              <w:top w:val="single" w:color="auto" w:sz="4" w:space="0"/>
              <w:left w:val="single" w:color="auto" w:sz="4" w:space="0"/>
              <w:bottom w:val="single" w:color="auto" w:sz="4" w:space="0"/>
              <w:right w:val="single" w:color="auto" w:sz="4" w:space="0"/>
            </w:tcBorders>
          </w:tcPr>
          <w:p>
            <w:pPr>
              <w:spacing w:line="280" w:lineRule="exact"/>
              <w:rPr>
                <w:sz w:val="18"/>
                <w:szCs w:val="18"/>
              </w:rPr>
            </w:pPr>
          </w:p>
        </w:tc>
        <w:tc>
          <w:tcPr>
            <w:tcW w:w="1318" w:type="dxa"/>
            <w:gridSpan w:val="2"/>
            <w:tcBorders>
              <w:top w:val="single" w:color="auto" w:sz="4" w:space="0"/>
              <w:left w:val="single" w:color="auto" w:sz="4" w:space="0"/>
              <w:bottom w:val="single" w:color="auto" w:sz="4" w:space="0"/>
              <w:right w:val="single" w:color="auto" w:sz="4" w:space="0"/>
            </w:tcBorders>
          </w:tcPr>
          <w:p>
            <w:pPr>
              <w:spacing w:line="280" w:lineRule="exact"/>
              <w:rPr>
                <w:sz w:val="18"/>
                <w:szCs w:val="18"/>
              </w:rPr>
            </w:pPr>
          </w:p>
        </w:tc>
        <w:tc>
          <w:tcPr>
            <w:tcW w:w="933" w:type="dxa"/>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p>
        </w:tc>
        <w:tc>
          <w:tcPr>
            <w:tcW w:w="70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ascii="宋体"/>
                <w:sz w:val="18"/>
                <w:szCs w:val="18"/>
              </w:rPr>
              <w:t>-</w:t>
            </w:r>
          </w:p>
        </w:tc>
        <w:tc>
          <w:tcPr>
            <w:tcW w:w="924" w:type="dxa"/>
            <w:gridSpan w:val="3"/>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p>
        </w:tc>
        <w:tc>
          <w:tcPr>
            <w:tcW w:w="1084" w:type="dxa"/>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exact"/>
        </w:trPr>
        <w:tc>
          <w:tcPr>
            <w:tcW w:w="16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67" w:type="dxa"/>
            <w:gridSpan w:val="2"/>
            <w:tcBorders>
              <w:top w:val="single" w:color="auto" w:sz="4" w:space="0"/>
              <w:left w:val="single" w:color="auto" w:sz="4" w:space="0"/>
              <w:bottom w:val="single" w:color="auto" w:sz="4" w:space="0"/>
              <w:right w:val="single" w:color="auto" w:sz="4" w:space="0"/>
            </w:tcBorders>
          </w:tcPr>
          <w:p>
            <w:pPr>
              <w:spacing w:line="280" w:lineRule="exact"/>
              <w:ind w:firstLine="180" w:firstLineChars="100"/>
              <w:jc w:val="center"/>
              <w:rPr>
                <w:sz w:val="18"/>
                <w:szCs w:val="18"/>
              </w:rPr>
            </w:pPr>
            <w:r>
              <w:rPr>
                <w:sz w:val="18"/>
                <w:szCs w:val="18"/>
              </w:rPr>
              <w:t xml:space="preserve">    </w:t>
            </w:r>
            <w:r>
              <w:rPr>
                <w:rFonts w:hint="eastAsia"/>
                <w:sz w:val="18"/>
                <w:szCs w:val="18"/>
              </w:rPr>
              <w:t>上年结转资金</w:t>
            </w:r>
          </w:p>
        </w:tc>
        <w:tc>
          <w:tcPr>
            <w:tcW w:w="1125" w:type="dxa"/>
            <w:tcBorders>
              <w:top w:val="single" w:color="auto" w:sz="4" w:space="0"/>
              <w:left w:val="single" w:color="auto" w:sz="4" w:space="0"/>
              <w:bottom w:val="single" w:color="auto" w:sz="4" w:space="0"/>
              <w:right w:val="single" w:color="auto" w:sz="4" w:space="0"/>
            </w:tcBorders>
          </w:tcPr>
          <w:p>
            <w:pPr>
              <w:spacing w:line="280" w:lineRule="exact"/>
              <w:rPr>
                <w:sz w:val="18"/>
                <w:szCs w:val="18"/>
              </w:rPr>
            </w:pPr>
          </w:p>
        </w:tc>
        <w:tc>
          <w:tcPr>
            <w:tcW w:w="1318" w:type="dxa"/>
            <w:gridSpan w:val="2"/>
            <w:tcBorders>
              <w:top w:val="single" w:color="auto" w:sz="4" w:space="0"/>
              <w:left w:val="single" w:color="auto" w:sz="4" w:space="0"/>
              <w:bottom w:val="single" w:color="auto" w:sz="4" w:space="0"/>
              <w:right w:val="single" w:color="auto" w:sz="4" w:space="0"/>
            </w:tcBorders>
          </w:tcPr>
          <w:p>
            <w:pPr>
              <w:spacing w:line="280" w:lineRule="exact"/>
              <w:rPr>
                <w:sz w:val="18"/>
                <w:szCs w:val="18"/>
              </w:rPr>
            </w:pPr>
          </w:p>
        </w:tc>
        <w:tc>
          <w:tcPr>
            <w:tcW w:w="933" w:type="dxa"/>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p>
        </w:tc>
        <w:tc>
          <w:tcPr>
            <w:tcW w:w="70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ascii="宋体"/>
                <w:sz w:val="18"/>
                <w:szCs w:val="18"/>
              </w:rPr>
              <w:t>-</w:t>
            </w:r>
          </w:p>
        </w:tc>
        <w:tc>
          <w:tcPr>
            <w:tcW w:w="924" w:type="dxa"/>
            <w:gridSpan w:val="3"/>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p>
        </w:tc>
        <w:tc>
          <w:tcPr>
            <w:tcW w:w="1084" w:type="dxa"/>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exact"/>
        </w:trPr>
        <w:tc>
          <w:tcPr>
            <w:tcW w:w="16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67" w:type="dxa"/>
            <w:gridSpan w:val="2"/>
            <w:tcBorders>
              <w:top w:val="single" w:color="auto" w:sz="4" w:space="0"/>
              <w:left w:val="single" w:color="auto" w:sz="4" w:space="0"/>
              <w:bottom w:val="single" w:color="auto" w:sz="4" w:space="0"/>
              <w:right w:val="single" w:color="auto" w:sz="4" w:space="0"/>
            </w:tcBorders>
          </w:tcPr>
          <w:p>
            <w:pPr>
              <w:widowControl/>
              <w:spacing w:line="280" w:lineRule="exact"/>
              <w:jc w:val="center"/>
              <w:rPr>
                <w:sz w:val="18"/>
                <w:szCs w:val="18"/>
              </w:rPr>
            </w:pPr>
            <w:r>
              <w:rPr>
                <w:sz w:val="18"/>
                <w:szCs w:val="18"/>
              </w:rPr>
              <w:t xml:space="preserve">  </w:t>
            </w:r>
            <w:r>
              <w:rPr>
                <w:rFonts w:hint="eastAsia"/>
                <w:sz w:val="18"/>
                <w:szCs w:val="18"/>
              </w:rPr>
              <w:t>其他资金</w:t>
            </w:r>
          </w:p>
          <w:p>
            <w:pPr>
              <w:spacing w:line="280" w:lineRule="exact"/>
              <w:jc w:val="center"/>
              <w:rPr>
                <w:sz w:val="18"/>
                <w:szCs w:val="18"/>
              </w:rPr>
            </w:pPr>
          </w:p>
        </w:tc>
        <w:tc>
          <w:tcPr>
            <w:tcW w:w="1125" w:type="dxa"/>
            <w:tcBorders>
              <w:top w:val="single" w:color="auto" w:sz="4" w:space="0"/>
              <w:left w:val="single" w:color="auto" w:sz="4" w:space="0"/>
              <w:bottom w:val="single" w:color="auto" w:sz="4" w:space="0"/>
              <w:right w:val="single" w:color="auto" w:sz="4" w:space="0"/>
            </w:tcBorders>
          </w:tcPr>
          <w:p>
            <w:pPr>
              <w:spacing w:line="280" w:lineRule="exact"/>
              <w:rPr>
                <w:sz w:val="18"/>
                <w:szCs w:val="18"/>
              </w:rPr>
            </w:pPr>
          </w:p>
        </w:tc>
        <w:tc>
          <w:tcPr>
            <w:tcW w:w="1318" w:type="dxa"/>
            <w:gridSpan w:val="2"/>
            <w:tcBorders>
              <w:top w:val="single" w:color="auto" w:sz="4" w:space="0"/>
              <w:left w:val="single" w:color="auto" w:sz="4" w:space="0"/>
              <w:bottom w:val="single" w:color="auto" w:sz="4" w:space="0"/>
              <w:right w:val="single" w:color="auto" w:sz="4" w:space="0"/>
            </w:tcBorders>
          </w:tcPr>
          <w:p>
            <w:pPr>
              <w:spacing w:line="280" w:lineRule="exact"/>
              <w:rPr>
                <w:sz w:val="18"/>
                <w:szCs w:val="18"/>
              </w:rPr>
            </w:pPr>
          </w:p>
        </w:tc>
        <w:tc>
          <w:tcPr>
            <w:tcW w:w="933" w:type="dxa"/>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p>
        </w:tc>
        <w:tc>
          <w:tcPr>
            <w:tcW w:w="70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ascii="宋体"/>
                <w:sz w:val="18"/>
                <w:szCs w:val="18"/>
              </w:rPr>
              <w:t>-</w:t>
            </w:r>
          </w:p>
        </w:tc>
        <w:tc>
          <w:tcPr>
            <w:tcW w:w="924" w:type="dxa"/>
            <w:gridSpan w:val="3"/>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p>
        </w:tc>
        <w:tc>
          <w:tcPr>
            <w:tcW w:w="1084" w:type="dxa"/>
            <w:tcBorders>
              <w:top w:val="single" w:color="auto" w:sz="4" w:space="0"/>
              <w:left w:val="single" w:color="auto" w:sz="4" w:space="0"/>
              <w:bottom w:val="single" w:color="auto" w:sz="4" w:space="0"/>
              <w:right w:val="single" w:color="auto" w:sz="4" w:space="0"/>
            </w:tcBorders>
          </w:tcPr>
          <w:p>
            <w:pPr>
              <w:spacing w:line="280" w:lineRule="exact"/>
              <w:jc w:val="center"/>
              <w:rPr>
                <w:sz w:val="18"/>
                <w:szCs w:val="18"/>
              </w:rPr>
            </w:pPr>
            <w:r>
              <w:rPr>
                <w:rFonts w:hint="eastAsia"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67" w:type="dxa"/>
            <w:vMerge w:val="restart"/>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年度</w:t>
            </w:r>
          </w:p>
          <w:p>
            <w:pPr>
              <w:spacing w:line="240" w:lineRule="exact"/>
              <w:jc w:val="center"/>
              <w:rPr>
                <w:sz w:val="18"/>
                <w:szCs w:val="18"/>
              </w:rPr>
            </w:pPr>
            <w:r>
              <w:rPr>
                <w:rFonts w:hint="eastAsia"/>
                <w:sz w:val="18"/>
                <w:szCs w:val="18"/>
              </w:rPr>
              <w:t>总体</w:t>
            </w:r>
          </w:p>
          <w:p>
            <w:pPr>
              <w:spacing w:line="240" w:lineRule="exact"/>
              <w:jc w:val="center"/>
              <w:rPr>
                <w:sz w:val="18"/>
                <w:szCs w:val="18"/>
              </w:rPr>
            </w:pPr>
            <w:r>
              <w:rPr>
                <w:rFonts w:hint="eastAsia"/>
                <w:sz w:val="18"/>
                <w:szCs w:val="18"/>
              </w:rPr>
              <w:t>目标</w:t>
            </w:r>
          </w:p>
        </w:tc>
        <w:tc>
          <w:tcPr>
            <w:tcW w:w="5395" w:type="dxa"/>
            <w:gridSpan w:val="6"/>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预期目标</w:t>
            </w:r>
          </w:p>
        </w:tc>
        <w:tc>
          <w:tcPr>
            <w:tcW w:w="3643" w:type="dxa"/>
            <w:gridSpan w:val="7"/>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5395" w:type="dxa"/>
            <w:gridSpan w:val="6"/>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sz w:val="18"/>
                <w:szCs w:val="18"/>
              </w:rPr>
              <w:t>支持外贸稳中提质</w:t>
            </w:r>
            <w:r>
              <w:rPr>
                <w:rFonts w:hint="eastAsia"/>
                <w:sz w:val="18"/>
                <w:szCs w:val="18"/>
              </w:rPr>
              <w:t>，</w:t>
            </w:r>
            <w:r>
              <w:rPr>
                <w:sz w:val="18"/>
                <w:szCs w:val="18"/>
              </w:rPr>
              <w:t>优化进出口结构</w:t>
            </w:r>
            <w:r>
              <w:rPr>
                <w:rFonts w:hint="eastAsia"/>
                <w:sz w:val="18"/>
                <w:szCs w:val="18"/>
              </w:rPr>
              <w:t>，</w:t>
            </w:r>
            <w:r>
              <w:rPr>
                <w:sz w:val="18"/>
                <w:szCs w:val="18"/>
              </w:rPr>
              <w:t>培训外贸竞争优势</w:t>
            </w:r>
            <w:r>
              <w:rPr>
                <w:rFonts w:hint="eastAsia"/>
                <w:sz w:val="18"/>
                <w:szCs w:val="18"/>
              </w:rPr>
              <w:t>，</w:t>
            </w:r>
            <w:r>
              <w:rPr>
                <w:sz w:val="18"/>
                <w:szCs w:val="18"/>
              </w:rPr>
              <w:t>促进外经贸区域协调发展</w:t>
            </w:r>
            <w:r>
              <w:rPr>
                <w:rFonts w:hint="eastAsia"/>
                <w:sz w:val="18"/>
                <w:szCs w:val="18"/>
              </w:rPr>
              <w:t>。</w:t>
            </w:r>
            <w:r>
              <w:rPr>
                <w:sz w:val="18"/>
                <w:szCs w:val="18"/>
              </w:rPr>
              <w:t>确保资金拨付到位</w:t>
            </w:r>
            <w:r>
              <w:rPr>
                <w:rFonts w:hint="eastAsia"/>
                <w:sz w:val="18"/>
                <w:szCs w:val="18"/>
              </w:rPr>
              <w:t>，</w:t>
            </w:r>
            <w:r>
              <w:rPr>
                <w:sz w:val="18"/>
                <w:szCs w:val="18"/>
              </w:rPr>
              <w:t>合理规范使用资金</w:t>
            </w:r>
            <w:r>
              <w:rPr>
                <w:rFonts w:hint="eastAsia"/>
                <w:sz w:val="18"/>
                <w:szCs w:val="18"/>
              </w:rPr>
              <w:t>。</w:t>
            </w:r>
          </w:p>
        </w:tc>
        <w:tc>
          <w:tcPr>
            <w:tcW w:w="3643" w:type="dxa"/>
            <w:gridSpan w:val="7"/>
            <w:tcBorders>
              <w:top w:val="single" w:color="auto" w:sz="4" w:space="0"/>
              <w:left w:val="single" w:color="auto" w:sz="4" w:space="0"/>
              <w:bottom w:val="single" w:color="auto" w:sz="4" w:space="0"/>
              <w:right w:val="single" w:color="auto" w:sz="4" w:space="0"/>
            </w:tcBorders>
          </w:tcPr>
          <w:p>
            <w:pPr>
              <w:spacing w:line="240" w:lineRule="exact"/>
              <w:rPr>
                <w:sz w:val="18"/>
                <w:szCs w:val="18"/>
              </w:rPr>
            </w:pPr>
            <w:r>
              <w:rPr>
                <w:sz w:val="18"/>
                <w:szCs w:val="18"/>
              </w:rPr>
              <w:t>达成了预期目标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67" w:type="dxa"/>
            <w:vMerge w:val="restart"/>
            <w:tcBorders>
              <w:top w:val="single" w:color="auto" w:sz="4" w:space="0"/>
              <w:left w:val="single" w:color="auto" w:sz="4" w:space="0"/>
              <w:bottom w:val="single" w:color="auto" w:sz="4" w:space="0"/>
              <w:right w:val="single" w:color="auto" w:sz="4" w:space="0"/>
            </w:tcBorders>
          </w:tcPr>
          <w:p>
            <w:pPr>
              <w:rPr>
                <w:sz w:val="18"/>
                <w:szCs w:val="18"/>
              </w:rPr>
            </w:pPr>
          </w:p>
          <w:p>
            <w:pPr>
              <w:rPr>
                <w:sz w:val="18"/>
                <w:szCs w:val="18"/>
              </w:rPr>
            </w:pPr>
          </w:p>
          <w:p>
            <w:pPr>
              <w:rPr>
                <w:sz w:val="18"/>
                <w:szCs w:val="18"/>
              </w:rPr>
            </w:pPr>
          </w:p>
          <w:p>
            <w:pPr>
              <w:jc w:val="center"/>
              <w:rPr>
                <w:sz w:val="18"/>
                <w:szCs w:val="18"/>
              </w:rPr>
            </w:pPr>
          </w:p>
          <w:p>
            <w:pPr>
              <w:jc w:val="center"/>
              <w:rPr>
                <w:sz w:val="18"/>
                <w:szCs w:val="18"/>
              </w:rPr>
            </w:pPr>
            <w:r>
              <w:rPr>
                <w:rFonts w:hint="eastAsia"/>
                <w:sz w:val="18"/>
                <w:szCs w:val="18"/>
              </w:rPr>
              <w:t>绩</w:t>
            </w:r>
          </w:p>
          <w:p>
            <w:pPr>
              <w:jc w:val="center"/>
              <w:rPr>
                <w:sz w:val="18"/>
                <w:szCs w:val="18"/>
              </w:rPr>
            </w:pPr>
            <w:r>
              <w:rPr>
                <w:rFonts w:hint="eastAsia"/>
                <w:sz w:val="18"/>
                <w:szCs w:val="18"/>
              </w:rPr>
              <w:t>效</w:t>
            </w:r>
          </w:p>
          <w:p>
            <w:pPr>
              <w:jc w:val="center"/>
              <w:rPr>
                <w:sz w:val="18"/>
                <w:szCs w:val="18"/>
              </w:rPr>
            </w:pPr>
            <w:r>
              <w:rPr>
                <w:rFonts w:hint="eastAsia"/>
                <w:sz w:val="18"/>
                <w:szCs w:val="18"/>
              </w:rPr>
              <w:t>指</w:t>
            </w:r>
          </w:p>
          <w:p>
            <w:pPr>
              <w:jc w:val="center"/>
              <w:rPr>
                <w:sz w:val="18"/>
                <w:szCs w:val="18"/>
              </w:rPr>
            </w:pPr>
            <w:r>
              <w:rPr>
                <w:rFonts w:hint="eastAsia"/>
                <w:sz w:val="18"/>
                <w:szCs w:val="18"/>
              </w:rPr>
              <w:t>标</w:t>
            </w:r>
          </w:p>
        </w:tc>
        <w:tc>
          <w:tcPr>
            <w:tcW w:w="9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一级指标</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二级指标</w:t>
            </w:r>
          </w:p>
        </w:tc>
        <w:tc>
          <w:tcPr>
            <w:tcW w:w="22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三级指标</w:t>
            </w:r>
          </w:p>
        </w:tc>
        <w:tc>
          <w:tcPr>
            <w:tcW w:w="1134" w:type="dxa"/>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年度</w:t>
            </w:r>
          </w:p>
          <w:p>
            <w:pPr>
              <w:spacing w:line="240" w:lineRule="exact"/>
              <w:jc w:val="center"/>
              <w:rPr>
                <w:sz w:val="18"/>
                <w:szCs w:val="18"/>
              </w:rPr>
            </w:pPr>
            <w:r>
              <w:rPr>
                <w:rFonts w:hint="eastAsia"/>
                <w:sz w:val="18"/>
                <w:szCs w:val="18"/>
              </w:rPr>
              <w:t>指标值</w:t>
            </w:r>
          </w:p>
        </w:tc>
        <w:tc>
          <w:tcPr>
            <w:tcW w:w="1276" w:type="dxa"/>
            <w:gridSpan w:val="2"/>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实际</w:t>
            </w:r>
          </w:p>
          <w:p>
            <w:pPr>
              <w:spacing w:line="240" w:lineRule="exact"/>
              <w:jc w:val="center"/>
              <w:rPr>
                <w:sz w:val="18"/>
                <w:szCs w:val="18"/>
              </w:rPr>
            </w:pPr>
            <w:r>
              <w:rPr>
                <w:rFonts w:hint="eastAsia"/>
                <w:sz w:val="18"/>
                <w:szCs w:val="18"/>
              </w:rPr>
              <w:t>完成值</w:t>
            </w:r>
          </w:p>
        </w:tc>
        <w:tc>
          <w:tcPr>
            <w:tcW w:w="567" w:type="dxa"/>
            <w:gridSpan w:val="2"/>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分</w:t>
            </w:r>
          </w:p>
          <w:p>
            <w:pPr>
              <w:spacing w:line="240" w:lineRule="exact"/>
              <w:jc w:val="center"/>
              <w:rPr>
                <w:sz w:val="18"/>
                <w:szCs w:val="18"/>
              </w:rPr>
            </w:pPr>
            <w:r>
              <w:rPr>
                <w:rFonts w:hint="eastAsia"/>
                <w:sz w:val="18"/>
                <w:szCs w:val="18"/>
              </w:rPr>
              <w:t>值</w:t>
            </w:r>
          </w:p>
        </w:tc>
        <w:tc>
          <w:tcPr>
            <w:tcW w:w="425" w:type="dxa"/>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得</w:t>
            </w:r>
          </w:p>
          <w:p>
            <w:pPr>
              <w:spacing w:line="240" w:lineRule="exact"/>
              <w:jc w:val="center"/>
              <w:rPr>
                <w:sz w:val="18"/>
                <w:szCs w:val="18"/>
              </w:rPr>
            </w:pPr>
            <w:r>
              <w:rPr>
                <w:rFonts w:hint="eastAsia"/>
                <w:sz w:val="18"/>
                <w:szCs w:val="18"/>
              </w:rPr>
              <w:t>分</w:t>
            </w:r>
          </w:p>
        </w:tc>
        <w:tc>
          <w:tcPr>
            <w:tcW w:w="1375" w:type="dxa"/>
            <w:gridSpan w:val="2"/>
            <w:tcBorders>
              <w:top w:val="single" w:color="auto" w:sz="4" w:space="0"/>
              <w:left w:val="single" w:color="auto" w:sz="4" w:space="0"/>
              <w:bottom w:val="single" w:color="auto" w:sz="4" w:space="0"/>
              <w:right w:val="single" w:color="auto" w:sz="4" w:space="0"/>
            </w:tcBorders>
          </w:tcPr>
          <w:p>
            <w:pPr>
              <w:spacing w:line="240" w:lineRule="exact"/>
              <w:jc w:val="center"/>
              <w:rPr>
                <w:sz w:val="18"/>
                <w:szCs w:val="18"/>
              </w:rPr>
            </w:pPr>
            <w:r>
              <w:rPr>
                <w:rFonts w:hint="eastAsia"/>
                <w:sz w:val="18"/>
                <w:szCs w:val="18"/>
              </w:rPr>
              <w:t>偏差原因分析</w:t>
            </w:r>
          </w:p>
          <w:p>
            <w:pPr>
              <w:spacing w:line="240" w:lineRule="exact"/>
              <w:jc w:val="center"/>
              <w:rPr>
                <w:sz w:val="18"/>
                <w:szCs w:val="18"/>
              </w:rPr>
            </w:pPr>
            <w:r>
              <w:rPr>
                <w:rFonts w:hint="eastAsia"/>
                <w:sz w:val="18"/>
                <w:szCs w:val="18"/>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r>
              <w:rPr>
                <w:rFonts w:hint="eastAsia"/>
                <w:sz w:val="18"/>
                <w:szCs w:val="18"/>
              </w:rPr>
              <w:t>产出指标</w:t>
            </w:r>
            <w:r>
              <w:rPr>
                <w:sz w:val="18"/>
                <w:szCs w:val="18"/>
              </w:rPr>
              <w:t>(50</w:t>
            </w:r>
            <w:r>
              <w:rPr>
                <w:rFonts w:hint="eastAsia"/>
                <w:sz w:val="18"/>
                <w:szCs w:val="18"/>
              </w:rPr>
              <w:t>分</w:t>
            </w:r>
            <w:r>
              <w:rPr>
                <w:sz w:val="18"/>
                <w:szCs w:val="18"/>
              </w:rPr>
              <w:t>)</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p>
            <w:pPr>
              <w:spacing w:line="240" w:lineRule="exact"/>
              <w:jc w:val="center"/>
              <w:rPr>
                <w:sz w:val="18"/>
                <w:szCs w:val="18"/>
              </w:rPr>
            </w:pPr>
            <w:r>
              <w:rPr>
                <w:rFonts w:hint="eastAsia"/>
                <w:sz w:val="18"/>
                <w:szCs w:val="18"/>
              </w:rPr>
              <w:t>数量指标</w:t>
            </w:r>
          </w:p>
          <w:p>
            <w:pPr>
              <w:spacing w:line="240" w:lineRule="exact"/>
              <w:jc w:val="center"/>
              <w:rPr>
                <w:sz w:val="18"/>
                <w:szCs w:val="18"/>
              </w:rPr>
            </w:pPr>
          </w:p>
        </w:tc>
        <w:tc>
          <w:tcPr>
            <w:tcW w:w="22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sz w:val="18"/>
                <w:szCs w:val="18"/>
              </w:rPr>
              <w:t>支持中小外贸企业提升国际化经营能力项目企业数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≥2</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20</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20</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p>
            <w:pPr>
              <w:spacing w:line="240" w:lineRule="exact"/>
              <w:jc w:val="center"/>
              <w:rPr>
                <w:sz w:val="18"/>
                <w:szCs w:val="18"/>
              </w:rPr>
            </w:pPr>
            <w:r>
              <w:rPr>
                <w:rFonts w:hint="eastAsia"/>
                <w:sz w:val="18"/>
                <w:szCs w:val="18"/>
              </w:rPr>
              <w:t>质量指标</w:t>
            </w:r>
          </w:p>
          <w:p>
            <w:pPr>
              <w:spacing w:line="240" w:lineRule="exact"/>
              <w:jc w:val="center"/>
              <w:rPr>
                <w:sz w:val="18"/>
                <w:szCs w:val="18"/>
              </w:rPr>
            </w:pPr>
          </w:p>
        </w:tc>
        <w:tc>
          <w:tcPr>
            <w:tcW w:w="22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rPr>
            </w:pPr>
            <w:r>
              <w:rPr>
                <w:sz w:val="18"/>
                <w:szCs w:val="18"/>
              </w:rPr>
              <w:t>资金使用合规性</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100%</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p>
            <w:pPr>
              <w:spacing w:line="240" w:lineRule="exact"/>
              <w:jc w:val="center"/>
              <w:rPr>
                <w:sz w:val="18"/>
                <w:szCs w:val="18"/>
              </w:rPr>
            </w:pPr>
            <w:r>
              <w:rPr>
                <w:rFonts w:hint="eastAsia"/>
                <w:sz w:val="18"/>
                <w:szCs w:val="18"/>
              </w:rPr>
              <w:t>时效指标</w:t>
            </w:r>
          </w:p>
          <w:p>
            <w:pPr>
              <w:spacing w:line="240" w:lineRule="exact"/>
              <w:jc w:val="center"/>
              <w:rPr>
                <w:sz w:val="18"/>
                <w:szCs w:val="18"/>
              </w:rPr>
            </w:pPr>
          </w:p>
        </w:tc>
        <w:tc>
          <w:tcPr>
            <w:tcW w:w="22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预算资金执行率</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ascii="宋体" w:hAnsi="宋体" w:cs="宋体"/>
                <w:sz w:val="18"/>
                <w:szCs w:val="18"/>
              </w:rPr>
              <w:t>100%</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rFonts w:hint="eastAsia"/>
                <w:sz w:val="18"/>
                <w:szCs w:val="18"/>
              </w:rPr>
              <w:t xml:space="preserve">  </w:t>
            </w:r>
            <w:r>
              <w:rPr>
                <w:rFonts w:hint="eastAsia" w:ascii="宋体" w:hAnsi="宋体" w:cs="宋体"/>
                <w:sz w:val="18"/>
                <w:szCs w:val="18"/>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p>
            <w:pPr>
              <w:spacing w:line="240" w:lineRule="exact"/>
              <w:jc w:val="center"/>
              <w:rPr>
                <w:sz w:val="18"/>
                <w:szCs w:val="18"/>
              </w:rPr>
            </w:pPr>
            <w:r>
              <w:rPr>
                <w:rFonts w:hint="eastAsia"/>
                <w:sz w:val="18"/>
                <w:szCs w:val="18"/>
              </w:rPr>
              <w:t>成本指标</w:t>
            </w:r>
          </w:p>
          <w:p>
            <w:pPr>
              <w:spacing w:line="240" w:lineRule="exact"/>
              <w:jc w:val="center"/>
              <w:rPr>
                <w:sz w:val="18"/>
                <w:szCs w:val="18"/>
              </w:rPr>
            </w:pPr>
          </w:p>
        </w:tc>
        <w:tc>
          <w:tcPr>
            <w:tcW w:w="229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5"/>
                <w:szCs w:val="15"/>
              </w:rPr>
            </w:pPr>
            <w:r>
              <w:rPr>
                <w:rFonts w:ascii="宋体" w:hAnsi="宋体" w:cs="宋体"/>
                <w:sz w:val="15"/>
                <w:szCs w:val="15"/>
              </w:rPr>
              <w:t>扶持企业发生金额</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96.15万元</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96.15万元</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p>
            <w:pPr>
              <w:jc w:val="center"/>
              <w:rPr>
                <w:sz w:val="18"/>
                <w:szCs w:val="18"/>
              </w:rPr>
            </w:pPr>
          </w:p>
          <w:p>
            <w:pPr>
              <w:jc w:val="center"/>
              <w:rPr>
                <w:sz w:val="18"/>
                <w:szCs w:val="18"/>
              </w:rPr>
            </w:pPr>
            <w:r>
              <w:rPr>
                <w:rFonts w:hint="eastAsia"/>
                <w:sz w:val="18"/>
                <w:szCs w:val="18"/>
              </w:rPr>
              <w:t>效益指标（4</w:t>
            </w:r>
            <w:r>
              <w:rPr>
                <w:sz w:val="18"/>
                <w:szCs w:val="18"/>
              </w:rPr>
              <w:t>0</w:t>
            </w:r>
            <w:r>
              <w:rPr>
                <w:rFonts w:hint="eastAsia"/>
                <w:sz w:val="18"/>
                <w:szCs w:val="18"/>
              </w:rPr>
              <w:t>分）</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经济效益</w:t>
            </w:r>
          </w:p>
          <w:p>
            <w:pPr>
              <w:spacing w:line="240" w:lineRule="exact"/>
              <w:jc w:val="center"/>
              <w:rPr>
                <w:sz w:val="18"/>
                <w:szCs w:val="18"/>
              </w:rPr>
            </w:pPr>
            <w:r>
              <w:rPr>
                <w:rFonts w:hint="eastAsia"/>
                <w:sz w:val="18"/>
                <w:szCs w:val="18"/>
              </w:rPr>
              <w:t>指标</w:t>
            </w:r>
          </w:p>
          <w:p>
            <w:pPr>
              <w:spacing w:line="240" w:lineRule="exact"/>
              <w:jc w:val="center"/>
              <w:rPr>
                <w:sz w:val="18"/>
                <w:szCs w:val="18"/>
              </w:rPr>
            </w:pPr>
          </w:p>
        </w:tc>
        <w:tc>
          <w:tcPr>
            <w:tcW w:w="22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rPr>
            </w:pPr>
            <w:r>
              <w:rPr>
                <w:sz w:val="18"/>
                <w:szCs w:val="18"/>
              </w:rPr>
              <w:t>企业经济效益改善</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5"/>
                <w:szCs w:val="15"/>
              </w:rPr>
            </w:pPr>
            <w:r>
              <w:rPr>
                <w:rFonts w:hint="eastAsia" w:ascii="宋体" w:hAnsi="宋体" w:cs="宋体"/>
                <w:sz w:val="15"/>
                <w:szCs w:val="15"/>
              </w:rPr>
              <w:t>逐步提高</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5"/>
                <w:szCs w:val="15"/>
              </w:rPr>
            </w:pPr>
            <w:r>
              <w:rPr>
                <w:rFonts w:hint="eastAsia" w:ascii="宋体" w:hAnsi="宋体" w:cs="宋体"/>
                <w:sz w:val="15"/>
                <w:szCs w:val="15"/>
              </w:rPr>
              <w:t>逐步提高</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社会效益</w:t>
            </w:r>
          </w:p>
          <w:p>
            <w:pPr>
              <w:spacing w:line="240" w:lineRule="exact"/>
              <w:jc w:val="center"/>
              <w:rPr>
                <w:sz w:val="18"/>
                <w:szCs w:val="18"/>
              </w:rPr>
            </w:pPr>
            <w:r>
              <w:rPr>
                <w:rFonts w:hint="eastAsia"/>
                <w:sz w:val="18"/>
                <w:szCs w:val="18"/>
              </w:rPr>
              <w:t>指标</w:t>
            </w:r>
          </w:p>
          <w:p>
            <w:pPr>
              <w:spacing w:line="240" w:lineRule="exact"/>
              <w:jc w:val="center"/>
              <w:rPr>
                <w:sz w:val="18"/>
                <w:szCs w:val="18"/>
              </w:rPr>
            </w:pPr>
          </w:p>
        </w:tc>
        <w:tc>
          <w:tcPr>
            <w:tcW w:w="22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社会稳定情况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5"/>
                <w:szCs w:val="15"/>
              </w:rPr>
            </w:pPr>
            <w:r>
              <w:rPr>
                <w:rFonts w:hint="eastAsia" w:ascii="宋体" w:hAnsi="宋体" w:cs="宋体"/>
                <w:sz w:val="15"/>
                <w:szCs w:val="15"/>
              </w:rPr>
              <w:t>稳定提升</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5"/>
                <w:szCs w:val="15"/>
              </w:rPr>
            </w:pPr>
            <w:r>
              <w:rPr>
                <w:rFonts w:hint="eastAsia" w:ascii="宋体" w:hAnsi="宋体" w:cs="宋体"/>
                <w:sz w:val="15"/>
                <w:szCs w:val="15"/>
              </w:rPr>
              <w:t>稳定提升</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生态效益</w:t>
            </w:r>
          </w:p>
          <w:p>
            <w:pPr>
              <w:spacing w:line="240" w:lineRule="exact"/>
              <w:jc w:val="center"/>
              <w:rPr>
                <w:sz w:val="18"/>
                <w:szCs w:val="18"/>
              </w:rPr>
            </w:pPr>
            <w:r>
              <w:rPr>
                <w:rFonts w:hint="eastAsia"/>
                <w:sz w:val="18"/>
                <w:szCs w:val="18"/>
              </w:rPr>
              <w:t>指标</w:t>
            </w:r>
          </w:p>
          <w:p>
            <w:pPr>
              <w:spacing w:line="240" w:lineRule="exact"/>
              <w:jc w:val="center"/>
              <w:rPr>
                <w:sz w:val="18"/>
                <w:szCs w:val="18"/>
              </w:rPr>
            </w:pPr>
          </w:p>
        </w:tc>
        <w:tc>
          <w:tcPr>
            <w:tcW w:w="22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环境保护的贡献</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提高环保意识</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提高环保意识</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可持续影响指标</w:t>
            </w:r>
          </w:p>
        </w:tc>
        <w:tc>
          <w:tcPr>
            <w:tcW w:w="22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加强出口企业发展</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促进经济发展</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促进经济发展</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9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满意度</w:t>
            </w:r>
          </w:p>
          <w:p>
            <w:pPr>
              <w:spacing w:line="240" w:lineRule="exact"/>
              <w:jc w:val="center"/>
              <w:rPr>
                <w:sz w:val="18"/>
                <w:szCs w:val="18"/>
              </w:rPr>
            </w:pPr>
            <w:r>
              <w:rPr>
                <w:rFonts w:hint="eastAsia"/>
                <w:sz w:val="18"/>
                <w:szCs w:val="18"/>
              </w:rPr>
              <w:t>指标（</w:t>
            </w:r>
            <w:r>
              <w:rPr>
                <w:sz w:val="18"/>
                <w:szCs w:val="18"/>
              </w:rPr>
              <w:t>10</w:t>
            </w:r>
            <w:r>
              <w:rPr>
                <w:rFonts w:hint="eastAsia"/>
                <w:sz w:val="18"/>
                <w:szCs w:val="18"/>
              </w:rPr>
              <w:t>分）</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服务对象</w:t>
            </w:r>
          </w:p>
          <w:p>
            <w:pPr>
              <w:spacing w:line="240" w:lineRule="exact"/>
              <w:jc w:val="center"/>
              <w:rPr>
                <w:sz w:val="18"/>
                <w:szCs w:val="18"/>
              </w:rPr>
            </w:pPr>
            <w:r>
              <w:rPr>
                <w:rFonts w:hint="eastAsia"/>
                <w:sz w:val="18"/>
                <w:szCs w:val="18"/>
              </w:rPr>
              <w:t>满意度指</w:t>
            </w:r>
          </w:p>
          <w:p>
            <w:pPr>
              <w:spacing w:line="240" w:lineRule="exact"/>
              <w:jc w:val="center"/>
              <w:rPr>
                <w:sz w:val="18"/>
                <w:szCs w:val="18"/>
              </w:rPr>
            </w:pPr>
            <w:r>
              <w:rPr>
                <w:rFonts w:hint="eastAsia"/>
                <w:sz w:val="18"/>
                <w:szCs w:val="18"/>
              </w:rPr>
              <w:t>标</w:t>
            </w:r>
          </w:p>
          <w:p>
            <w:pPr>
              <w:spacing w:line="240" w:lineRule="exact"/>
              <w:jc w:val="center"/>
              <w:rPr>
                <w:sz w:val="18"/>
                <w:szCs w:val="18"/>
              </w:rPr>
            </w:pPr>
          </w:p>
        </w:tc>
        <w:tc>
          <w:tcPr>
            <w:tcW w:w="22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18"/>
                <w:szCs w:val="18"/>
              </w:rPr>
            </w:pPr>
            <w:r>
              <w:rPr>
                <w:rFonts w:hint="eastAsia"/>
                <w:sz w:val="18"/>
                <w:szCs w:val="18"/>
              </w:rPr>
              <w:t>支持提升国际化经营能力的中小企业满意度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ascii="宋体" w:hAnsi="宋体" w:cs="宋体"/>
                <w:sz w:val="18"/>
                <w:szCs w:val="18"/>
              </w:rPr>
              <w:t>100%</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ascii="宋体" w:hAnsi="宋体" w:cs="宋体"/>
                <w:sz w:val="18"/>
                <w:szCs w:val="18"/>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338"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ind w:firstLine="1800" w:firstLineChars="1000"/>
              <w:rPr>
                <w:sz w:val="18"/>
                <w:szCs w:val="18"/>
              </w:rPr>
            </w:pPr>
            <w:r>
              <w:rPr>
                <w:rFonts w:hint="eastAsia"/>
                <w:sz w:val="18"/>
                <w:szCs w:val="18"/>
              </w:rPr>
              <w:t>总分</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p>
            <w:pPr>
              <w:spacing w:line="240" w:lineRule="exact"/>
              <w:jc w:val="center"/>
              <w:rPr>
                <w:sz w:val="18"/>
                <w:szCs w:val="18"/>
              </w:rPr>
            </w:pPr>
            <w:r>
              <w:rPr>
                <w:sz w:val="18"/>
                <w:szCs w:val="18"/>
              </w:rPr>
              <w:t>100</w:t>
            </w:r>
          </w:p>
          <w:p>
            <w:pPr>
              <w:spacing w:line="240" w:lineRule="exact"/>
              <w:jc w:val="center"/>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100</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p>
            <w:pPr>
              <w:spacing w:line="240" w:lineRule="exact"/>
              <w:jc w:val="center"/>
              <w:rPr>
                <w:sz w:val="18"/>
                <w:szCs w:val="18"/>
              </w:rPr>
            </w:pPr>
          </w:p>
        </w:tc>
      </w:tr>
    </w:tbl>
    <w:p>
      <w:pPr>
        <w:adjustRightInd w:val="0"/>
        <w:snapToGrid w:val="0"/>
        <w:spacing w:line="600" w:lineRule="exact"/>
        <w:rPr>
          <w:rFonts w:ascii="仿宋_GB2312" w:hAnsi="仿宋_GB2312" w:eastAsia="仿宋_GB2312" w:cs="仿宋_GB2312"/>
          <w:sz w:val="32"/>
          <w:szCs w:val="32"/>
        </w:rPr>
      </w:pP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（三）财政评价项目绩效评价结果</w:t>
      </w:r>
    </w:p>
    <w:p>
      <w:pPr>
        <w:ind w:firstLine="643" w:firstLineChars="200"/>
        <w:rPr>
          <w:rFonts w:ascii="仿宋" w:hAnsi="仿宋" w:eastAsia="仿宋" w:cs="宋体"/>
          <w:sz w:val="30"/>
          <w:szCs w:val="30"/>
        </w:rPr>
      </w:pPr>
      <w:r>
        <w:rPr>
          <w:rFonts w:hint="eastAsia" w:ascii="仿宋" w:hAnsi="仿宋" w:eastAsia="仿宋" w:cs="楷体_GB2312"/>
          <w:b/>
          <w:bCs/>
          <w:sz w:val="32"/>
          <w:szCs w:val="32"/>
        </w:rPr>
        <w:t>无</w:t>
      </w:r>
    </w:p>
    <w:p>
      <w:pPr>
        <w:keepNext/>
        <w:keepLines/>
        <w:snapToGrid w:val="0"/>
        <w:spacing w:line="580" w:lineRule="exact"/>
        <w:ind w:firstLine="600" w:firstLineChars="200"/>
        <w:outlineLvl w:val="1"/>
        <w:rPr>
          <w:rFonts w:ascii="仿宋" w:hAnsi="仿宋" w:eastAsia="仿宋"/>
          <w:sz w:val="30"/>
          <w:szCs w:val="30"/>
        </w:rPr>
      </w:pPr>
      <w:r>
        <w:rPr>
          <w:rFonts w:hint="eastAsia" w:ascii="仿宋" w:hAnsi="仿宋" w:eastAsia="仿宋"/>
          <w:sz w:val="30"/>
          <w:szCs w:val="30"/>
        </w:rPr>
        <w:t>七、</w:t>
      </w:r>
      <w:r>
        <w:rPr>
          <w:rFonts w:hint="eastAsia" w:ascii="仿宋" w:hAnsi="仿宋" w:eastAsia="仿宋" w:cs="DengXian-Bold"/>
          <w:b/>
          <w:bCs/>
          <w:sz w:val="30"/>
          <w:szCs w:val="30"/>
        </w:rPr>
        <w:t>机关运行经费情况</w:t>
      </w:r>
    </w:p>
    <w:p>
      <w:pPr>
        <w:adjustRightInd w:val="0"/>
        <w:snapToGrid w:val="0"/>
        <w:spacing w:line="580" w:lineRule="exact"/>
        <w:ind w:firstLine="600" w:firstLineChars="200"/>
        <w:rPr>
          <w:rFonts w:ascii="仿宋" w:hAnsi="仿宋" w:eastAsia="仿宋" w:cs="DengXian-Regular"/>
          <w:sz w:val="30"/>
          <w:szCs w:val="30"/>
        </w:rPr>
      </w:pPr>
      <w:r>
        <w:rPr>
          <w:rFonts w:hint="eastAsia" w:ascii="仿宋" w:hAnsi="仿宋" w:eastAsia="仿宋" w:cs="仿宋_GB2312"/>
          <w:sz w:val="30"/>
          <w:szCs w:val="30"/>
        </w:rPr>
        <w:t>2020年度公用经费总支出41.53万元，比2019年增加了4.2万元，增长10.11%，主要原因是增加了劳务派遣人员补贴。</w:t>
      </w:r>
    </w:p>
    <w:p>
      <w:pPr>
        <w:adjustRightInd w:val="0"/>
        <w:snapToGrid w:val="0"/>
        <w:spacing w:line="580" w:lineRule="exact"/>
        <w:ind w:firstLine="602" w:firstLineChars="200"/>
        <w:rPr>
          <w:rFonts w:ascii="仿宋" w:hAnsi="仿宋" w:eastAsia="仿宋" w:cs="DengXian-Bold"/>
          <w:b/>
          <w:bCs/>
          <w:sz w:val="30"/>
          <w:szCs w:val="30"/>
        </w:rPr>
      </w:pPr>
      <w:r>
        <w:rPr>
          <w:rFonts w:hint="eastAsia" w:ascii="仿宋" w:hAnsi="仿宋" w:eastAsia="仿宋" w:cs="DengXian-Bold"/>
          <w:b/>
          <w:bCs/>
          <w:sz w:val="30"/>
          <w:szCs w:val="30"/>
        </w:rPr>
        <w:t>八、政府采购情况</w:t>
      </w:r>
    </w:p>
    <w:p>
      <w:pPr>
        <w:snapToGrid w:val="0"/>
        <w:spacing w:line="580" w:lineRule="exact"/>
        <w:ind w:firstLine="640" w:firstLineChars="200"/>
        <w:jc w:val="left"/>
        <w:rPr>
          <w:rFonts w:ascii="仿宋" w:hAnsi="仿宋" w:eastAsia="仿宋" w:cs="DengXian-Regular"/>
          <w:sz w:val="30"/>
          <w:szCs w:val="30"/>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 万元、政府采购工程支出0万元、政府采购服务支出 0万元。授予中小企业合同金0万元，占政府采购支出总额的0%，其中授予小微企业合同金额0万元，占政府采购支出总额的 0%。</w:t>
      </w:r>
    </w:p>
    <w:p>
      <w:pPr>
        <w:keepNext/>
        <w:keepLines/>
        <w:snapToGrid w:val="0"/>
        <w:spacing w:line="580" w:lineRule="exact"/>
        <w:ind w:firstLine="602" w:firstLineChars="200"/>
        <w:outlineLvl w:val="2"/>
        <w:rPr>
          <w:rFonts w:ascii="仿宋" w:hAnsi="仿宋" w:eastAsia="仿宋" w:cs="DengXian-Bold"/>
          <w:b/>
          <w:bCs/>
          <w:sz w:val="30"/>
          <w:szCs w:val="30"/>
        </w:rPr>
      </w:pPr>
      <w:r>
        <w:rPr>
          <w:rFonts w:hint="eastAsia" w:ascii="仿宋" w:hAnsi="仿宋" w:eastAsia="仿宋" w:cs="DengXian-Bold"/>
          <w:b/>
          <w:bCs/>
          <w:sz w:val="30"/>
          <w:szCs w:val="30"/>
        </w:rPr>
        <w:t>九、国有资产占用情况</w:t>
      </w:r>
    </w:p>
    <w:p>
      <w:pPr>
        <w:adjustRightInd w:val="0"/>
        <w:snapToGrid w:val="0"/>
        <w:spacing w:line="6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截至2020年12月31日，本部门共有车辆4辆，比上年减少1辆，主要原因是粮食局一辆车划入发展和改革局.其中，副部（省）级及以上领导用车0辆，主要领导干部用车0辆，机要通信用车0辆，应急保障用车0辆，执法执勤用车3辆，特种专业技术用车0辆，离退休干部用车0辆，其他用车1辆，是公务用车。</w:t>
      </w:r>
    </w:p>
    <w:p>
      <w:pPr>
        <w:adjustRightInd w:val="0"/>
        <w:snapToGrid w:val="0"/>
        <w:spacing w:line="580" w:lineRule="exact"/>
        <w:rPr>
          <w:rFonts w:ascii="仿宋" w:hAnsi="仿宋" w:eastAsia="仿宋" w:cs="DengXian-Bold"/>
          <w:b/>
          <w:bCs/>
          <w:sz w:val="30"/>
          <w:szCs w:val="30"/>
        </w:rPr>
      </w:pPr>
      <w:r>
        <w:rPr>
          <w:rFonts w:hint="eastAsia" w:ascii="仿宋" w:hAnsi="仿宋" w:eastAsia="仿宋" w:cs="DengXian-Regular"/>
          <w:sz w:val="30"/>
          <w:szCs w:val="30"/>
        </w:rPr>
        <w:t>单位价值</w:t>
      </w:r>
      <w:r>
        <w:rPr>
          <w:rFonts w:ascii="仿宋" w:hAnsi="仿宋" w:eastAsia="仿宋" w:cs="TimesNewRomanPSMT"/>
          <w:sz w:val="30"/>
          <w:szCs w:val="30"/>
        </w:rPr>
        <w:t>50</w:t>
      </w:r>
      <w:r>
        <w:rPr>
          <w:rFonts w:hint="eastAsia" w:ascii="仿宋" w:hAnsi="仿宋" w:eastAsia="仿宋" w:cs="DengXian-Regular"/>
          <w:sz w:val="30"/>
          <w:szCs w:val="30"/>
        </w:rPr>
        <w:t>万元以上通用设备0台（套）。</w:t>
      </w:r>
      <w:r>
        <w:rPr>
          <w:rFonts w:hint="eastAsia" w:ascii="仿宋_GB2312" w:hAnsi="仿宋_GB2312" w:eastAsia="仿宋_GB2312" w:cs="仿宋_GB2312"/>
          <w:sz w:val="32"/>
          <w:szCs w:val="32"/>
        </w:rPr>
        <w:t>单位价值100万元以上专用设备0台（套）.</w:t>
      </w:r>
    </w:p>
    <w:p>
      <w:pPr>
        <w:keepNext/>
        <w:keepLines/>
        <w:snapToGrid w:val="0"/>
        <w:spacing w:line="580" w:lineRule="exact"/>
        <w:ind w:firstLine="602" w:firstLineChars="200"/>
        <w:outlineLvl w:val="2"/>
        <w:rPr>
          <w:rFonts w:ascii="仿宋" w:hAnsi="仿宋" w:eastAsia="仿宋" w:cs="DengXian-Bold"/>
          <w:b/>
          <w:bCs/>
          <w:sz w:val="30"/>
          <w:szCs w:val="30"/>
        </w:rPr>
      </w:pPr>
      <w:r>
        <w:rPr>
          <w:rFonts w:hint="eastAsia" w:ascii="仿宋" w:hAnsi="仿宋" w:eastAsia="仿宋" w:cs="DengXian-Bold"/>
          <w:b/>
          <w:bCs/>
          <w:sz w:val="30"/>
          <w:szCs w:val="30"/>
        </w:rPr>
        <w:t>十、其他需要说明的情况</w:t>
      </w:r>
    </w:p>
    <w:p>
      <w:pPr>
        <w:adjustRightInd w:val="0"/>
        <w:snapToGrid w:val="0"/>
        <w:spacing w:line="580" w:lineRule="exact"/>
        <w:ind w:firstLine="600" w:firstLineChars="200"/>
        <w:rPr>
          <w:rFonts w:ascii="仿宋" w:hAnsi="仿宋" w:eastAsia="仿宋" w:cs="DengXian-Regular"/>
          <w:sz w:val="30"/>
          <w:szCs w:val="30"/>
        </w:rPr>
      </w:pPr>
      <w:r>
        <w:rPr>
          <w:rFonts w:ascii="仿宋" w:hAnsi="仿宋" w:eastAsia="仿宋" w:cs="DengXian-Regular"/>
          <w:sz w:val="30"/>
          <w:szCs w:val="30"/>
        </w:rPr>
        <w:t xml:space="preserve">1. </w:t>
      </w:r>
      <w:r>
        <w:rPr>
          <w:rFonts w:hint="eastAsia" w:ascii="仿宋" w:hAnsi="仿宋" w:eastAsia="仿宋" w:cs="DengXian-Regular"/>
          <w:sz w:val="30"/>
          <w:szCs w:val="30"/>
        </w:rPr>
        <w:t>本部门</w:t>
      </w:r>
      <w:r>
        <w:rPr>
          <w:rFonts w:ascii="仿宋" w:hAnsi="仿宋" w:eastAsia="仿宋" w:cs="DengXian-Regular"/>
          <w:sz w:val="30"/>
          <w:szCs w:val="30"/>
        </w:rPr>
        <w:t>20</w:t>
      </w:r>
      <w:r>
        <w:rPr>
          <w:rFonts w:hint="eastAsia" w:ascii="仿宋" w:hAnsi="仿宋" w:eastAsia="仿宋" w:cs="DengXian-Regular"/>
          <w:sz w:val="30"/>
          <w:szCs w:val="30"/>
        </w:rPr>
        <w:t>20年度政府性基金、国有资本经营预算无收支及结转结余情况，故8.9表以空表列示。</w:t>
      </w:r>
    </w:p>
    <w:p>
      <w:pPr>
        <w:adjustRightInd w:val="0"/>
        <w:snapToGrid w:val="0"/>
        <w:spacing w:line="580" w:lineRule="exact"/>
        <w:ind w:firstLine="600" w:firstLineChars="200"/>
        <w:rPr>
          <w:rFonts w:ascii="仿宋" w:hAnsi="仿宋" w:eastAsia="仿宋" w:cs="DengXian-Regular"/>
          <w:sz w:val="30"/>
          <w:szCs w:val="30"/>
        </w:rPr>
      </w:pPr>
      <w:r>
        <w:rPr>
          <w:rFonts w:ascii="仿宋" w:hAnsi="仿宋" w:eastAsia="仿宋" w:cs="DengXian-Regular"/>
          <w:sz w:val="30"/>
          <w:szCs w:val="30"/>
        </w:rPr>
        <w:t xml:space="preserve">2. </w:t>
      </w:r>
      <w:r>
        <w:rPr>
          <w:rFonts w:hint="eastAsia" w:ascii="仿宋" w:hAnsi="仿宋" w:eastAsia="仿宋" w:cs="DengXian-Regular"/>
          <w:sz w:val="30"/>
          <w:szCs w:val="30"/>
        </w:rPr>
        <w:t>由于决算公开表格中金额数值应当保留两位小数，公开数据为四舍五入计算结果，个别数据合计项与分项之和存在小数点后差额，特此说明。</w:t>
      </w:r>
    </w:p>
    <w:p>
      <w:pPr>
        <w:jc w:val="center"/>
        <w:rPr>
          <w:b/>
          <w:sz w:val="32"/>
          <w:szCs w:val="32"/>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 xml:space="preserve">                                                    </w:t>
      </w:r>
    </w:p>
    <w:p>
      <w:pPr>
        <w:widowControl/>
        <w:jc w:val="left"/>
        <w:rPr>
          <w:rFonts w:ascii="黑体" w:hAnsi="黑体" w:eastAsia="黑体" w:cs="黑体"/>
          <w:color w:val="000000"/>
          <w:sz w:val="90"/>
          <w:szCs w:val="90"/>
        </w:rPr>
      </w:pPr>
      <w:r>
        <w:rPr>
          <w:rFonts w:ascii="黑体" w:hAnsi="黑体" w:eastAsia="黑体" w:cs="黑体"/>
          <w:color w:val="000000"/>
          <w:sz w:val="90"/>
          <w:szCs w:val="90"/>
        </w:rPr>
        <w:br w:type="page"/>
      </w:r>
    </w:p>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 xml:space="preserve">          相关名词解释</w:t>
      </w:r>
    </w:p>
    <w:p>
      <w:pPr>
        <w:jc w:val="center"/>
        <w:rPr>
          <w:b/>
          <w:sz w:val="32"/>
          <w:szCs w:val="32"/>
        </w:rPr>
      </w:pPr>
    </w:p>
    <w:p>
      <w:pPr>
        <w:rPr>
          <w:rFonts w:ascii="仿宋_GB2312" w:hAnsi="宋体" w:eastAsia="仿宋_GB2312" w:cs="ArialUnicodeMS"/>
          <w:sz w:val="32"/>
          <w:szCs w:val="32"/>
          <w:highlight w:val="yellow"/>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hint="eastAsia" w:ascii="仿宋" w:hAnsi="仿宋" w:eastAsia="仿宋"/>
          <w:b/>
          <w:bCs/>
          <w:color w:val="000000"/>
          <w:kern w:val="0"/>
          <w:sz w:val="30"/>
          <w:szCs w:val="30"/>
        </w:rPr>
      </w:pP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（一）财政拨款收入：</w:t>
      </w:r>
      <w:r>
        <w:rPr>
          <w:rFonts w:hint="eastAsia" w:ascii="仿宋" w:hAnsi="仿宋" w:eastAsia="仿宋"/>
          <w:color w:val="000000"/>
          <w:kern w:val="0"/>
          <w:sz w:val="30"/>
          <w:szCs w:val="30"/>
        </w:rPr>
        <w:t>本年度从本级财政部门取得的财政拨款，包括一般公共预算财政拨款和政府性基金预算财政拨款。</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（二）事业收入：</w:t>
      </w:r>
      <w:r>
        <w:rPr>
          <w:rFonts w:hint="eastAsia" w:ascii="仿宋" w:hAnsi="仿宋" w:eastAsia="仿宋"/>
          <w:color w:val="000000"/>
          <w:kern w:val="0"/>
          <w:sz w:val="30"/>
          <w:szCs w:val="30"/>
        </w:rPr>
        <w:t>指事业单位开展专业业务活动及辅助活动所取得的收入。</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（三）其他收入：</w:t>
      </w:r>
      <w:r>
        <w:rPr>
          <w:rFonts w:hint="eastAsia" w:ascii="仿宋" w:hAnsi="仿宋" w:eastAsia="仿宋"/>
          <w:color w:val="000000"/>
          <w:kern w:val="0"/>
          <w:sz w:val="30"/>
          <w:szCs w:val="30"/>
        </w:rPr>
        <w:t>指除上述“财政拨款收入”“事业收入”“经营收入”等以外的收入。</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w:t>
      </w:r>
      <w:r>
        <w:rPr>
          <w:rFonts w:hint="eastAsia" w:ascii="仿宋" w:hAnsi="仿宋" w:eastAsia="仿宋"/>
          <w:b/>
          <w:bCs/>
          <w:color w:val="000000"/>
          <w:kern w:val="0"/>
          <w:sz w:val="30"/>
          <w:szCs w:val="30"/>
          <w:lang w:eastAsia="zh-CN"/>
        </w:rPr>
        <w:t>四</w:t>
      </w:r>
      <w:r>
        <w:rPr>
          <w:rFonts w:hint="eastAsia" w:ascii="仿宋" w:hAnsi="仿宋" w:eastAsia="仿宋"/>
          <w:b/>
          <w:bCs/>
          <w:color w:val="000000"/>
          <w:kern w:val="0"/>
          <w:sz w:val="30"/>
          <w:szCs w:val="30"/>
        </w:rPr>
        <w:t>）年初结转和结余：</w:t>
      </w:r>
      <w:r>
        <w:rPr>
          <w:rFonts w:hint="eastAsia" w:ascii="仿宋" w:hAnsi="仿宋" w:eastAsia="仿宋"/>
          <w:color w:val="000000"/>
          <w:kern w:val="0"/>
          <w:sz w:val="30"/>
          <w:szCs w:val="30"/>
        </w:rPr>
        <w:t>指以前年度尚未完成、结转到本年仍按原规定用途继续使用的资金，或项目已完成等产生的结余资金。</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w:t>
      </w:r>
      <w:r>
        <w:rPr>
          <w:rFonts w:hint="eastAsia" w:ascii="仿宋" w:hAnsi="仿宋" w:eastAsia="仿宋"/>
          <w:b/>
          <w:bCs/>
          <w:color w:val="000000"/>
          <w:kern w:val="0"/>
          <w:sz w:val="30"/>
          <w:szCs w:val="30"/>
          <w:lang w:eastAsia="zh-CN"/>
        </w:rPr>
        <w:t>五</w:t>
      </w:r>
      <w:r>
        <w:rPr>
          <w:rFonts w:hint="eastAsia" w:ascii="仿宋" w:hAnsi="仿宋" w:eastAsia="仿宋"/>
          <w:b/>
          <w:bCs/>
          <w:color w:val="000000"/>
          <w:kern w:val="0"/>
          <w:sz w:val="30"/>
          <w:szCs w:val="30"/>
        </w:rPr>
        <w:t>）结余分配：</w:t>
      </w:r>
      <w:r>
        <w:rPr>
          <w:rFonts w:hint="eastAsia" w:ascii="仿宋" w:hAnsi="仿宋" w:eastAsia="仿宋"/>
          <w:color w:val="000000"/>
          <w:kern w:val="0"/>
          <w:sz w:val="30"/>
          <w:szCs w:val="30"/>
        </w:rPr>
        <w:t>指事业单位按照事业单位会计制度的规定从非财政补助结余中分配的事业基金和职工福利基金等。</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w:t>
      </w:r>
      <w:r>
        <w:rPr>
          <w:rFonts w:hint="eastAsia" w:ascii="仿宋" w:hAnsi="仿宋" w:eastAsia="仿宋"/>
          <w:b/>
          <w:bCs/>
          <w:color w:val="000000"/>
          <w:kern w:val="0"/>
          <w:sz w:val="30"/>
          <w:szCs w:val="30"/>
          <w:lang w:eastAsia="zh-CN"/>
        </w:rPr>
        <w:t>六</w:t>
      </w:r>
      <w:r>
        <w:rPr>
          <w:rFonts w:hint="eastAsia" w:ascii="仿宋" w:hAnsi="仿宋" w:eastAsia="仿宋"/>
          <w:b/>
          <w:bCs/>
          <w:color w:val="000000"/>
          <w:kern w:val="0"/>
          <w:sz w:val="30"/>
          <w:szCs w:val="30"/>
        </w:rPr>
        <w:t>）年末结转和结余：</w:t>
      </w:r>
      <w:r>
        <w:rPr>
          <w:rFonts w:hint="eastAsia" w:ascii="仿宋" w:hAnsi="仿宋" w:eastAsia="仿宋"/>
          <w:color w:val="000000"/>
          <w:kern w:val="0"/>
          <w:sz w:val="30"/>
          <w:szCs w:val="30"/>
        </w:rPr>
        <w:t>指单位按有关规定结转到下年或以后年度继续使用的资金，或项目已完成等产生的结余资金。</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w:t>
      </w:r>
      <w:r>
        <w:rPr>
          <w:rFonts w:hint="eastAsia" w:ascii="仿宋" w:hAnsi="仿宋" w:eastAsia="仿宋"/>
          <w:b/>
          <w:bCs/>
          <w:color w:val="000000"/>
          <w:kern w:val="0"/>
          <w:sz w:val="30"/>
          <w:szCs w:val="30"/>
          <w:lang w:eastAsia="zh-CN"/>
        </w:rPr>
        <w:t>七</w:t>
      </w:r>
      <w:r>
        <w:rPr>
          <w:rFonts w:hint="eastAsia" w:ascii="仿宋" w:hAnsi="仿宋" w:eastAsia="仿宋"/>
          <w:b/>
          <w:bCs/>
          <w:color w:val="000000"/>
          <w:kern w:val="0"/>
          <w:sz w:val="30"/>
          <w:szCs w:val="30"/>
        </w:rPr>
        <w:t>）基本支出：</w:t>
      </w:r>
      <w:r>
        <w:rPr>
          <w:rFonts w:hint="eastAsia" w:ascii="仿宋" w:hAnsi="仿宋" w:eastAsia="仿宋"/>
          <w:color w:val="000000"/>
          <w:kern w:val="0"/>
          <w:sz w:val="30"/>
          <w:szCs w:val="30"/>
        </w:rPr>
        <w:t>填列单位为保障机构正常运转、完成日常工作任务而发生的各项支出。</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w:t>
      </w:r>
      <w:r>
        <w:rPr>
          <w:rFonts w:hint="eastAsia" w:ascii="仿宋" w:hAnsi="仿宋" w:eastAsia="仿宋"/>
          <w:b/>
          <w:bCs/>
          <w:color w:val="000000"/>
          <w:kern w:val="0"/>
          <w:sz w:val="30"/>
          <w:szCs w:val="30"/>
          <w:lang w:eastAsia="zh-CN"/>
        </w:rPr>
        <w:t>八</w:t>
      </w:r>
      <w:r>
        <w:rPr>
          <w:rFonts w:hint="eastAsia" w:ascii="仿宋" w:hAnsi="仿宋" w:eastAsia="仿宋"/>
          <w:b/>
          <w:bCs/>
          <w:color w:val="000000"/>
          <w:kern w:val="0"/>
          <w:sz w:val="30"/>
          <w:szCs w:val="30"/>
        </w:rPr>
        <w:t>）项目支出：</w:t>
      </w:r>
      <w:r>
        <w:rPr>
          <w:rFonts w:hint="eastAsia" w:ascii="仿宋" w:hAnsi="仿宋" w:eastAsia="仿宋"/>
          <w:color w:val="000000"/>
          <w:kern w:val="0"/>
          <w:sz w:val="30"/>
          <w:szCs w:val="30"/>
        </w:rPr>
        <w:t>填列单位为完成特定的行政工作任务或事业发展目标，在基本支出之外发生的各项支出</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w:t>
      </w:r>
      <w:r>
        <w:rPr>
          <w:rFonts w:hint="eastAsia" w:ascii="仿宋" w:hAnsi="仿宋" w:eastAsia="仿宋"/>
          <w:b/>
          <w:bCs/>
          <w:color w:val="000000"/>
          <w:kern w:val="0"/>
          <w:sz w:val="30"/>
          <w:szCs w:val="30"/>
          <w:lang w:eastAsia="zh-CN"/>
        </w:rPr>
        <w:t>九</w:t>
      </w:r>
      <w:r>
        <w:rPr>
          <w:rFonts w:hint="eastAsia" w:ascii="仿宋" w:hAnsi="仿宋" w:eastAsia="仿宋"/>
          <w:b/>
          <w:bCs/>
          <w:color w:val="000000"/>
          <w:kern w:val="0"/>
          <w:sz w:val="30"/>
          <w:szCs w:val="30"/>
        </w:rPr>
        <w:t>）基本建设支出：</w:t>
      </w:r>
      <w:r>
        <w:rPr>
          <w:rFonts w:hint="eastAsia" w:ascii="仿宋" w:hAnsi="仿宋" w:eastAsia="仿宋"/>
          <w:color w:val="000000"/>
          <w:kern w:val="0"/>
          <w:sz w:val="30"/>
          <w:szCs w:val="30"/>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（十）其他资本性支出：</w:t>
      </w:r>
      <w:r>
        <w:rPr>
          <w:rFonts w:hint="eastAsia" w:ascii="仿宋" w:hAnsi="仿宋" w:eastAsia="仿宋"/>
          <w:color w:val="000000"/>
          <w:kern w:val="0"/>
          <w:sz w:val="30"/>
          <w:szCs w:val="30"/>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（十</w:t>
      </w:r>
      <w:r>
        <w:rPr>
          <w:rFonts w:hint="eastAsia" w:ascii="仿宋" w:hAnsi="仿宋" w:eastAsia="仿宋"/>
          <w:b/>
          <w:bCs/>
          <w:color w:val="000000"/>
          <w:kern w:val="0"/>
          <w:sz w:val="30"/>
          <w:szCs w:val="30"/>
          <w:lang w:eastAsia="zh-CN"/>
        </w:rPr>
        <w:t>一</w:t>
      </w:r>
      <w:r>
        <w:rPr>
          <w:rFonts w:hint="eastAsia" w:ascii="仿宋" w:hAnsi="仿宋" w:eastAsia="仿宋"/>
          <w:b/>
          <w:bCs/>
          <w:color w:val="000000"/>
          <w:kern w:val="0"/>
          <w:sz w:val="30"/>
          <w:szCs w:val="30"/>
        </w:rPr>
        <w:t>）“三公”经费：</w:t>
      </w:r>
      <w:r>
        <w:rPr>
          <w:rFonts w:hint="eastAsia" w:ascii="仿宋" w:hAnsi="仿宋" w:eastAsia="仿宋"/>
          <w:color w:val="000000"/>
          <w:kern w:val="0"/>
          <w:sz w:val="30"/>
          <w:szCs w:val="30"/>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（十</w:t>
      </w:r>
      <w:r>
        <w:rPr>
          <w:rFonts w:hint="eastAsia" w:ascii="仿宋" w:hAnsi="仿宋" w:eastAsia="仿宋"/>
          <w:b/>
          <w:bCs/>
          <w:color w:val="000000"/>
          <w:kern w:val="0"/>
          <w:sz w:val="30"/>
          <w:szCs w:val="30"/>
          <w:lang w:eastAsia="zh-CN"/>
        </w:rPr>
        <w:t>二</w:t>
      </w:r>
      <w:r>
        <w:rPr>
          <w:rFonts w:hint="eastAsia" w:ascii="仿宋" w:hAnsi="仿宋" w:eastAsia="仿宋"/>
          <w:b/>
          <w:bCs/>
          <w:color w:val="000000"/>
          <w:kern w:val="0"/>
          <w:sz w:val="30"/>
          <w:szCs w:val="30"/>
        </w:rPr>
        <w:t>）其他交通费用：</w:t>
      </w:r>
      <w:r>
        <w:rPr>
          <w:rFonts w:hint="eastAsia" w:ascii="仿宋" w:hAnsi="仿宋" w:eastAsia="仿宋"/>
          <w:color w:val="000000"/>
          <w:kern w:val="0"/>
          <w:sz w:val="30"/>
          <w:szCs w:val="30"/>
        </w:rPr>
        <w:t>填列单位除公务用车运行维护费以外的其他交通费用。如公务交通补贴、租车费用、出租车费用，飞机、船舶等燃料费、维修费、保险费等。</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（十</w:t>
      </w:r>
      <w:r>
        <w:rPr>
          <w:rFonts w:hint="eastAsia" w:ascii="仿宋" w:hAnsi="仿宋" w:eastAsia="仿宋"/>
          <w:b/>
          <w:bCs/>
          <w:color w:val="000000"/>
          <w:kern w:val="0"/>
          <w:sz w:val="30"/>
          <w:szCs w:val="30"/>
          <w:lang w:eastAsia="zh-CN"/>
        </w:rPr>
        <w:t>三</w:t>
      </w:r>
      <w:r>
        <w:rPr>
          <w:rFonts w:hint="eastAsia" w:ascii="仿宋" w:hAnsi="仿宋" w:eastAsia="仿宋"/>
          <w:b/>
          <w:bCs/>
          <w:color w:val="000000"/>
          <w:kern w:val="0"/>
          <w:sz w:val="30"/>
          <w:szCs w:val="30"/>
        </w:rPr>
        <w:t>）公务用车购置：</w:t>
      </w:r>
      <w:r>
        <w:rPr>
          <w:rFonts w:hint="eastAsia" w:ascii="仿宋" w:hAnsi="仿宋" w:eastAsia="仿宋"/>
          <w:color w:val="000000"/>
          <w:kern w:val="0"/>
          <w:sz w:val="30"/>
          <w:szCs w:val="30"/>
        </w:rPr>
        <w:t>填列单位公务用车车辆购置支出（含车辆购置税、牌照费）。</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（十</w:t>
      </w:r>
      <w:r>
        <w:rPr>
          <w:rFonts w:hint="eastAsia" w:ascii="仿宋" w:hAnsi="仿宋" w:eastAsia="仿宋"/>
          <w:b/>
          <w:bCs/>
          <w:color w:val="000000"/>
          <w:kern w:val="0"/>
          <w:sz w:val="30"/>
          <w:szCs w:val="30"/>
          <w:lang w:eastAsia="zh-CN"/>
        </w:rPr>
        <w:t>四</w:t>
      </w:r>
      <w:r>
        <w:rPr>
          <w:rFonts w:hint="eastAsia" w:ascii="仿宋" w:hAnsi="仿宋" w:eastAsia="仿宋"/>
          <w:b/>
          <w:bCs/>
          <w:color w:val="000000"/>
          <w:kern w:val="0"/>
          <w:sz w:val="30"/>
          <w:szCs w:val="30"/>
        </w:rPr>
        <w:t>）其他交通工具购置：</w:t>
      </w:r>
      <w:r>
        <w:rPr>
          <w:rFonts w:hint="eastAsia" w:ascii="仿宋" w:hAnsi="仿宋" w:eastAsia="仿宋"/>
          <w:color w:val="000000"/>
          <w:kern w:val="0"/>
          <w:sz w:val="30"/>
          <w:szCs w:val="30"/>
        </w:rPr>
        <w:t>填列单位除公务用车外的其他各类交通工具（如船舶、飞机等）购置支出（含车辆购置税、牌照费）。</w:t>
      </w:r>
    </w:p>
    <w:p>
      <w:pPr>
        <w:widowControl/>
        <w:spacing w:line="560" w:lineRule="exact"/>
        <w:ind w:firstLine="602" w:firstLineChars="200"/>
        <w:rPr>
          <w:rFonts w:ascii="仿宋" w:hAnsi="仿宋" w:eastAsia="仿宋"/>
          <w:color w:val="000000"/>
          <w:kern w:val="0"/>
          <w:sz w:val="30"/>
          <w:szCs w:val="30"/>
        </w:rPr>
      </w:pPr>
      <w:r>
        <w:rPr>
          <w:rFonts w:hint="eastAsia" w:ascii="仿宋" w:hAnsi="仿宋" w:eastAsia="仿宋"/>
          <w:b/>
          <w:bCs/>
          <w:color w:val="000000"/>
          <w:kern w:val="0"/>
          <w:sz w:val="30"/>
          <w:szCs w:val="30"/>
        </w:rPr>
        <w:t>（十</w:t>
      </w:r>
      <w:r>
        <w:rPr>
          <w:rFonts w:hint="eastAsia" w:ascii="仿宋" w:hAnsi="仿宋" w:eastAsia="仿宋"/>
          <w:b/>
          <w:bCs/>
          <w:color w:val="000000"/>
          <w:kern w:val="0"/>
          <w:sz w:val="30"/>
          <w:szCs w:val="30"/>
          <w:lang w:eastAsia="zh-CN"/>
        </w:rPr>
        <w:t>五</w:t>
      </w:r>
      <w:r>
        <w:rPr>
          <w:rFonts w:hint="eastAsia" w:ascii="仿宋" w:hAnsi="仿宋" w:eastAsia="仿宋"/>
          <w:b/>
          <w:bCs/>
          <w:color w:val="000000"/>
          <w:kern w:val="0"/>
          <w:sz w:val="30"/>
          <w:szCs w:val="30"/>
        </w:rPr>
        <w:t>）机关运行经费：</w:t>
      </w:r>
      <w:r>
        <w:rPr>
          <w:rFonts w:hint="eastAsia" w:ascii="仿宋" w:hAnsi="仿宋" w:eastAsia="仿宋"/>
          <w:color w:val="000000"/>
          <w:kern w:val="0"/>
          <w:sz w:val="30"/>
          <w:szCs w:val="30"/>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 w:hAnsi="仿宋" w:eastAsia="仿宋" w:cs="ArialUnicodeMS"/>
          <w:kern w:val="0"/>
          <w:sz w:val="32"/>
          <w:szCs w:val="32"/>
        </w:rPr>
      </w:pPr>
      <w:r>
        <w:rPr>
          <w:rFonts w:hint="eastAsia" w:ascii="仿宋" w:hAnsi="仿宋" w:eastAsia="仿宋"/>
          <w:b/>
          <w:bCs/>
          <w:color w:val="000000"/>
          <w:kern w:val="0"/>
          <w:sz w:val="30"/>
          <w:szCs w:val="30"/>
        </w:rPr>
        <w:t>（十</w:t>
      </w:r>
      <w:r>
        <w:rPr>
          <w:rFonts w:hint="eastAsia" w:ascii="仿宋" w:hAnsi="仿宋" w:eastAsia="仿宋"/>
          <w:b/>
          <w:bCs/>
          <w:color w:val="000000"/>
          <w:kern w:val="0"/>
          <w:sz w:val="30"/>
          <w:szCs w:val="30"/>
          <w:lang w:eastAsia="zh-CN"/>
        </w:rPr>
        <w:t>六</w:t>
      </w:r>
      <w:bookmarkStart w:id="0" w:name="_GoBack"/>
      <w:bookmarkEnd w:id="0"/>
      <w:r>
        <w:rPr>
          <w:rFonts w:hint="eastAsia" w:ascii="仿宋" w:hAnsi="仿宋" w:eastAsia="仿宋"/>
          <w:b/>
          <w:bCs/>
          <w:color w:val="000000"/>
          <w:kern w:val="0"/>
          <w:sz w:val="30"/>
          <w:szCs w:val="30"/>
        </w:rPr>
        <w:t>）经费形式</w:t>
      </w:r>
      <w:r>
        <w:rPr>
          <w:rFonts w:ascii="仿宋" w:hAnsi="仿宋" w:eastAsia="仿宋"/>
          <w:b/>
          <w:bCs/>
          <w:color w:val="000000"/>
          <w:kern w:val="0"/>
          <w:sz w:val="30"/>
          <w:szCs w:val="30"/>
        </w:rPr>
        <w:t>:</w:t>
      </w:r>
      <w:r>
        <w:rPr>
          <w:rFonts w:hint="eastAsia" w:ascii="仿宋" w:hAnsi="仿宋" w:eastAsia="仿宋"/>
          <w:color w:val="000000"/>
          <w:kern w:val="0"/>
          <w:sz w:val="30"/>
          <w:szCs w:val="30"/>
        </w:rPr>
        <w:t>按照经费来源，</w:t>
      </w:r>
      <w:r>
        <w:rPr>
          <w:rFonts w:hint="eastAsia" w:ascii="仿宋" w:hAnsi="仿宋" w:eastAsia="仿宋" w:cs="ArialUnicodeMS"/>
          <w:kern w:val="0"/>
          <w:sz w:val="30"/>
          <w:szCs w:val="30"/>
        </w:rPr>
        <w:t>可分为财政拨款、财政性资金基本保证、财政性资金定额或定项补助、财政性资金零补助四</w:t>
      </w:r>
      <w:r>
        <w:rPr>
          <w:rFonts w:hint="eastAsia" w:ascii="仿宋" w:hAnsi="仿宋" w:eastAsia="仿宋" w:cs="ArialUnicodeMS"/>
          <w:kern w:val="0"/>
          <w:sz w:val="32"/>
          <w:szCs w:val="32"/>
        </w:rPr>
        <w:t>类。</w:t>
      </w:r>
    </w:p>
    <w:p>
      <w:pPr>
        <w:widowControl/>
        <w:jc w:val="left"/>
        <w:rPr>
          <w:rFonts w:ascii="仿宋" w:hAnsi="仿宋" w:eastAsia="仿宋" w:cs="ArialUnicodeMS"/>
          <w:kern w:val="0"/>
          <w:sz w:val="32"/>
          <w:szCs w:val="32"/>
        </w:rPr>
      </w:pPr>
      <w:r>
        <w:rPr>
          <w:rFonts w:ascii="仿宋" w:hAnsi="仿宋" w:eastAsia="仿宋" w:cs="ArialUnicodeMS"/>
          <w:kern w:val="0"/>
          <w:sz w:val="32"/>
          <w:szCs w:val="32"/>
        </w:rPr>
        <w:br w:type="page"/>
      </w:r>
    </w:p>
    <w:p>
      <w:pPr>
        <w:tabs>
          <w:tab w:val="left" w:pos="235"/>
        </w:tabs>
        <w:jc w:val="left"/>
        <w:sectPr>
          <w:headerReference r:id="rId5" w:type="default"/>
          <w:pgSz w:w="11906" w:h="16838"/>
          <w:pgMar w:top="2098" w:right="1474" w:bottom="1985" w:left="1588" w:header="851" w:footer="992" w:gutter="0"/>
          <w:pgNumType w:fmt="numberInDash"/>
          <w:cols w:space="425" w:num="1"/>
          <w:docGrid w:type="lines" w:linePitch="312" w:charSpace="0"/>
        </w:sectPr>
      </w:pPr>
      <w:r>
        <w:rPr>
          <w:rFonts w:ascii="Microsoft JhengHei Light" w:hAnsi="Microsoft JhengHei Light" w:eastAsia="Microsoft JhengHei Light"/>
        </w:rPr>
        <mc:AlternateContent>
          <mc:Choice Requires="wps">
            <w:drawing>
              <wp:anchor distT="0" distB="0" distL="114300" distR="114300" simplePos="0" relativeHeight="251662336" behindDoc="1" locked="0" layoutInCell="1" allowOverlap="1">
                <wp:simplePos x="0" y="0"/>
                <wp:positionH relativeFrom="column">
                  <wp:posOffset>-1042035</wp:posOffset>
                </wp:positionH>
                <wp:positionV relativeFrom="paragraph">
                  <wp:posOffset>1725295</wp:posOffset>
                </wp:positionV>
                <wp:extent cx="7793355" cy="3341370"/>
                <wp:effectExtent l="4445" t="4445" r="5080" b="6985"/>
                <wp:wrapNone/>
                <wp:docPr id="4" name="文本框 1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w:t>
                            </w:r>
                            <w:r>
                              <w:rPr>
                                <w:rFonts w:hint="eastAsia" w:ascii="黑体" w:hAnsi="黑体" w:eastAsia="黑体" w:cs="黑体"/>
                                <w:color w:val="000000"/>
                                <w:sz w:val="90"/>
                                <w:szCs w:val="90"/>
                              </w:rPr>
                              <w:t>20年度部门决算报表</w:t>
                            </w:r>
                          </w:p>
                        </w:txbxContent>
                      </wps:txbx>
                      <wps:bodyPr anchor="ctr" anchorCtr="0" upright="1"/>
                    </wps:wsp>
                  </a:graphicData>
                </a:graphic>
              </wp:anchor>
            </w:drawing>
          </mc:Choice>
          <mc:Fallback>
            <w:pict>
              <v:shape id="文本框 14" o:spid="_x0000_s1026" o:spt="202" type="#_x0000_t202" style="position:absolute;left:0pt;margin-left:-82.05pt;margin-top:135.85pt;height:263.1pt;width:613.65pt;z-index:-251654144;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4w9h2AAAAA0BAAAPAAAAAAAAAAEAIAAAACIAAABkcnMv&#10;ZG93bnJldi54bWxQSwECFAAUAAAACACHTuJAYDXNsDwCAACcBAAADgAAAAAAAAABACAAAAAnAQAA&#10;ZHJzL2Uyb0RvYy54bWxQSwUGAAAAAAYABgBZAQAA1QUAAAAA&#10;">
                <v:fill type="pattern" on="t" color2="#FFFFFF" focussize="0,0" r:id="rId7"/>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w:t>
                      </w:r>
                      <w:r>
                        <w:rPr>
                          <w:rFonts w:hint="eastAsia" w:ascii="黑体" w:hAnsi="黑体" w:eastAsia="黑体" w:cs="黑体"/>
                          <w:color w:val="000000"/>
                          <w:sz w:val="90"/>
                          <w:szCs w:val="90"/>
                        </w:rPr>
                        <w:t>20年度部门决算报表</w:t>
                      </w:r>
                    </w:p>
                  </w:txbxContent>
                </v:textbox>
              </v:shape>
            </w:pict>
          </mc:Fallback>
        </mc:AlternateContent>
      </w:r>
    </w:p>
    <w:p>
      <w:pPr>
        <w:jc w:val="center"/>
        <w:rPr>
          <w:b/>
          <w:sz w:val="32"/>
          <w:szCs w:val="32"/>
        </w:rPr>
      </w:pPr>
    </w:p>
    <w:p>
      <w:pPr>
        <w:jc w:val="center"/>
        <w:rPr>
          <w:b/>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四部分  2020年度部门决算报表</w:t>
      </w:r>
    </w:p>
    <w:p>
      <w:pPr>
        <w:widowControl/>
        <w:shd w:val="clear" w:color="auto" w:fill="FFFFFF"/>
        <w:spacing w:line="560" w:lineRule="atLeast"/>
        <w:ind w:firstLine="3640" w:firstLineChars="1300"/>
        <w:rPr>
          <w:rFonts w:ascii="宋体" w:hAnsi="宋体" w:cs="宋体"/>
          <w:bCs/>
          <w:color w:val="000000"/>
          <w:kern w:val="0"/>
          <w:sz w:val="28"/>
          <w:szCs w:val="28"/>
        </w:rPr>
      </w:pPr>
      <w:r>
        <w:rPr>
          <w:rFonts w:hint="eastAsia" w:ascii="宋体" w:hAnsi="宋体" w:cs="宋体"/>
          <w:bCs/>
          <w:color w:val="000000"/>
          <w:kern w:val="0"/>
          <w:sz w:val="28"/>
          <w:szCs w:val="28"/>
        </w:rPr>
        <w:t>收入支出决算表</w:t>
      </w:r>
    </w:p>
    <w:tbl>
      <w:tblPr>
        <w:tblStyle w:val="6"/>
        <w:tblW w:w="9135" w:type="dxa"/>
        <w:tblInd w:w="93" w:type="dxa"/>
        <w:tblLayout w:type="autofit"/>
        <w:tblCellMar>
          <w:top w:w="0" w:type="dxa"/>
          <w:left w:w="108" w:type="dxa"/>
          <w:bottom w:w="0" w:type="dxa"/>
          <w:right w:w="108" w:type="dxa"/>
        </w:tblCellMar>
      </w:tblPr>
      <w:tblGrid>
        <w:gridCol w:w="2616"/>
        <w:gridCol w:w="656"/>
        <w:gridCol w:w="1350"/>
        <w:gridCol w:w="2640"/>
        <w:gridCol w:w="656"/>
        <w:gridCol w:w="1635"/>
      </w:tblGrid>
      <w:tr>
        <w:tblPrEx>
          <w:tblCellMar>
            <w:top w:w="0" w:type="dxa"/>
            <w:left w:w="108" w:type="dxa"/>
            <w:bottom w:w="0" w:type="dxa"/>
            <w:right w:w="108" w:type="dxa"/>
          </w:tblCellMar>
        </w:tblPrEx>
        <w:trPr>
          <w:trHeight w:val="255" w:hRule="atLeast"/>
        </w:trPr>
        <w:tc>
          <w:tcPr>
            <w:tcW w:w="2370" w:type="dxa"/>
            <w:tcBorders>
              <w:top w:val="nil"/>
              <w:left w:val="nil"/>
              <w:bottom w:val="nil"/>
              <w:right w:val="nil"/>
            </w:tcBorders>
            <w:noWrap/>
            <w:vAlign w:val="bottom"/>
          </w:tcPr>
          <w:p>
            <w:pPr>
              <w:rPr>
                <w:rFonts w:ascii="Arial" w:hAnsi="Arial" w:cs="Arial"/>
                <w:color w:val="000000"/>
                <w:sz w:val="20"/>
                <w:szCs w:val="20"/>
              </w:rPr>
            </w:pPr>
          </w:p>
        </w:tc>
        <w:tc>
          <w:tcPr>
            <w:tcW w:w="570" w:type="dxa"/>
            <w:tcBorders>
              <w:top w:val="nil"/>
              <w:left w:val="nil"/>
              <w:bottom w:val="nil"/>
              <w:right w:val="nil"/>
            </w:tcBorders>
            <w:noWrap/>
            <w:vAlign w:val="bottom"/>
          </w:tcPr>
          <w:p>
            <w:pPr>
              <w:rPr>
                <w:rFonts w:ascii="Arial" w:hAnsi="Arial" w:cs="Arial"/>
                <w:color w:val="000000"/>
                <w:sz w:val="20"/>
                <w:szCs w:val="20"/>
              </w:rPr>
            </w:pPr>
          </w:p>
        </w:tc>
        <w:tc>
          <w:tcPr>
            <w:tcW w:w="1350" w:type="dxa"/>
            <w:tcBorders>
              <w:top w:val="nil"/>
              <w:left w:val="nil"/>
              <w:bottom w:val="nil"/>
              <w:right w:val="nil"/>
            </w:tcBorders>
            <w:noWrap/>
            <w:vAlign w:val="bottom"/>
          </w:tcPr>
          <w:p>
            <w:pPr>
              <w:rPr>
                <w:rFonts w:ascii="Arial" w:hAnsi="Arial" w:cs="Arial"/>
                <w:color w:val="000000"/>
                <w:sz w:val="20"/>
                <w:szCs w:val="20"/>
              </w:rPr>
            </w:pPr>
          </w:p>
        </w:tc>
        <w:tc>
          <w:tcPr>
            <w:tcW w:w="2640" w:type="dxa"/>
            <w:tcBorders>
              <w:top w:val="nil"/>
              <w:left w:val="nil"/>
              <w:bottom w:val="nil"/>
              <w:right w:val="nil"/>
            </w:tcBorders>
            <w:noWrap/>
            <w:vAlign w:val="bottom"/>
          </w:tcPr>
          <w:p>
            <w:pPr>
              <w:rPr>
                <w:rFonts w:ascii="Arial" w:hAnsi="Arial" w:cs="Arial"/>
                <w:color w:val="000000"/>
                <w:sz w:val="20"/>
                <w:szCs w:val="20"/>
              </w:rPr>
            </w:pPr>
          </w:p>
        </w:tc>
        <w:tc>
          <w:tcPr>
            <w:tcW w:w="570" w:type="dxa"/>
            <w:tcBorders>
              <w:top w:val="nil"/>
              <w:left w:val="nil"/>
              <w:bottom w:val="nil"/>
              <w:right w:val="nil"/>
            </w:tcBorders>
            <w:noWrap/>
            <w:vAlign w:val="bottom"/>
          </w:tcPr>
          <w:p>
            <w:pPr>
              <w:rPr>
                <w:rFonts w:ascii="Arial" w:hAnsi="Arial" w:cs="Arial"/>
                <w:color w:val="000000"/>
                <w:sz w:val="20"/>
                <w:szCs w:val="20"/>
              </w:rPr>
            </w:pPr>
          </w:p>
        </w:tc>
        <w:tc>
          <w:tcPr>
            <w:tcW w:w="1635"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部门：保定市满城商务局</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454.52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29</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232.67</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三、上级补助收入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31</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四、事业收入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32</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五、经营收入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33</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六、附属单位上缴收入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34</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七、其他收入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35</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36</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26.68</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37</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18.18</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38</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39</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十四、资源勘探信息等支出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42</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43</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r>
              <w:rPr>
                <w:rFonts w:hint="eastAsia" w:ascii="宋体" w:hAnsi="宋体" w:cs="宋体"/>
                <w:color w:val="000000"/>
                <w:sz w:val="16"/>
                <w:szCs w:val="16"/>
              </w:rPr>
              <w:t>164.84</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44</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45</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46</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47</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12.15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48</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二十一、灾害防治及应急管理支出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49</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二十二、其他支出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50</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二十四、债务付息支出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51</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454.52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454.52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53</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54</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55</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454.52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56</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454.52</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32"/>
                <w:szCs w:val="32"/>
              </w:rPr>
              <w:t>注：本表反映部门本年度的总收支和年末结转结余情况。</w:t>
            </w:r>
          </w:p>
        </w:tc>
      </w:tr>
    </w:tbl>
    <w:p>
      <w:pPr>
        <w:widowControl/>
        <w:shd w:val="clear" w:color="auto" w:fill="FFFFFF"/>
        <w:spacing w:line="560" w:lineRule="atLeast"/>
        <w:ind w:firstLine="3640" w:firstLineChars="1300"/>
        <w:rPr>
          <w:rFonts w:ascii="宋体" w:hAnsi="宋体" w:cs="宋体"/>
          <w:b/>
          <w:color w:val="000000"/>
          <w:kern w:val="0"/>
          <w:sz w:val="28"/>
          <w:szCs w:val="28"/>
        </w:rPr>
      </w:pPr>
      <w:r>
        <w:rPr>
          <w:rFonts w:hint="eastAsia" w:ascii="仿宋_GB2312" w:hAnsi="仿宋" w:eastAsia="仿宋_GB2312"/>
          <w:sz w:val="28"/>
          <w:szCs w:val="28"/>
        </w:rPr>
        <w:br w:type="page"/>
      </w:r>
      <w:r>
        <w:rPr>
          <w:rFonts w:hint="eastAsia" w:ascii="宋体" w:hAnsi="宋体" w:cs="宋体"/>
          <w:b/>
          <w:color w:val="000000"/>
          <w:kern w:val="0"/>
          <w:sz w:val="28"/>
          <w:szCs w:val="28"/>
        </w:rPr>
        <w:t>收入决算表</w:t>
      </w:r>
    </w:p>
    <w:tbl>
      <w:tblPr>
        <w:tblStyle w:val="6"/>
        <w:tblW w:w="8466" w:type="dxa"/>
        <w:tblInd w:w="93" w:type="dxa"/>
        <w:tblLayout w:type="fixed"/>
        <w:tblCellMar>
          <w:top w:w="0" w:type="dxa"/>
          <w:left w:w="108" w:type="dxa"/>
          <w:bottom w:w="0" w:type="dxa"/>
          <w:right w:w="108" w:type="dxa"/>
        </w:tblCellMar>
      </w:tblPr>
      <w:tblGrid>
        <w:gridCol w:w="1771"/>
        <w:gridCol w:w="236"/>
        <w:gridCol w:w="236"/>
        <w:gridCol w:w="2754"/>
        <w:gridCol w:w="751"/>
        <w:gridCol w:w="802"/>
        <w:gridCol w:w="300"/>
        <w:gridCol w:w="236"/>
        <w:gridCol w:w="365"/>
        <w:gridCol w:w="365"/>
        <w:gridCol w:w="613"/>
        <w:gridCol w:w="37"/>
      </w:tblGrid>
      <w:tr>
        <w:tblPrEx>
          <w:tblCellMar>
            <w:top w:w="0" w:type="dxa"/>
            <w:left w:w="108" w:type="dxa"/>
            <w:bottom w:w="0" w:type="dxa"/>
            <w:right w:w="108" w:type="dxa"/>
          </w:tblCellMar>
        </w:tblPrEx>
        <w:trPr>
          <w:trHeight w:val="255" w:hRule="atLeast"/>
        </w:trPr>
        <w:tc>
          <w:tcPr>
            <w:tcW w:w="1771" w:type="dxa"/>
            <w:tcBorders>
              <w:top w:val="nil"/>
              <w:left w:val="nil"/>
              <w:bottom w:val="nil"/>
              <w:right w:val="nil"/>
            </w:tcBorders>
            <w:noWrap/>
            <w:vAlign w:val="bottom"/>
          </w:tcPr>
          <w:p>
            <w:pPr>
              <w:rPr>
                <w:rFonts w:ascii="Arial" w:hAnsi="Arial" w:cs="Arial"/>
                <w:color w:val="000000"/>
                <w:sz w:val="20"/>
                <w:szCs w:val="20"/>
              </w:rPr>
            </w:pPr>
          </w:p>
        </w:tc>
        <w:tc>
          <w:tcPr>
            <w:tcW w:w="236" w:type="dxa"/>
            <w:tcBorders>
              <w:top w:val="nil"/>
              <w:left w:val="nil"/>
              <w:bottom w:val="nil"/>
              <w:right w:val="nil"/>
            </w:tcBorders>
            <w:noWrap/>
            <w:vAlign w:val="bottom"/>
          </w:tcPr>
          <w:p>
            <w:pPr>
              <w:rPr>
                <w:rFonts w:ascii="Arial" w:hAnsi="Arial" w:cs="Arial"/>
                <w:color w:val="000000"/>
                <w:sz w:val="20"/>
                <w:szCs w:val="20"/>
              </w:rPr>
            </w:pPr>
          </w:p>
        </w:tc>
        <w:tc>
          <w:tcPr>
            <w:tcW w:w="236" w:type="dxa"/>
            <w:tcBorders>
              <w:top w:val="nil"/>
              <w:left w:val="nil"/>
              <w:bottom w:val="nil"/>
              <w:right w:val="nil"/>
            </w:tcBorders>
            <w:noWrap/>
            <w:vAlign w:val="bottom"/>
          </w:tcPr>
          <w:p>
            <w:pPr>
              <w:rPr>
                <w:rFonts w:ascii="Arial" w:hAnsi="Arial" w:cs="Arial"/>
                <w:color w:val="000000"/>
                <w:sz w:val="20"/>
                <w:szCs w:val="20"/>
              </w:rPr>
            </w:pPr>
          </w:p>
        </w:tc>
        <w:tc>
          <w:tcPr>
            <w:tcW w:w="2754" w:type="dxa"/>
            <w:tcBorders>
              <w:top w:val="nil"/>
              <w:left w:val="nil"/>
              <w:bottom w:val="nil"/>
              <w:right w:val="nil"/>
            </w:tcBorders>
            <w:noWrap/>
            <w:vAlign w:val="bottom"/>
          </w:tcPr>
          <w:p>
            <w:pPr>
              <w:rPr>
                <w:rFonts w:ascii="Arial" w:hAnsi="Arial" w:cs="Arial"/>
                <w:color w:val="000000"/>
                <w:sz w:val="20"/>
                <w:szCs w:val="20"/>
              </w:rPr>
            </w:pPr>
          </w:p>
        </w:tc>
        <w:tc>
          <w:tcPr>
            <w:tcW w:w="751" w:type="dxa"/>
            <w:tcBorders>
              <w:top w:val="nil"/>
              <w:left w:val="nil"/>
              <w:bottom w:val="nil"/>
              <w:right w:val="nil"/>
            </w:tcBorders>
            <w:noWrap/>
            <w:vAlign w:val="bottom"/>
          </w:tcPr>
          <w:p>
            <w:pPr>
              <w:rPr>
                <w:rFonts w:ascii="Arial" w:hAnsi="Arial" w:cs="Arial"/>
                <w:color w:val="000000"/>
                <w:sz w:val="16"/>
                <w:szCs w:val="16"/>
              </w:rPr>
            </w:pPr>
          </w:p>
        </w:tc>
        <w:tc>
          <w:tcPr>
            <w:tcW w:w="802" w:type="dxa"/>
            <w:tcBorders>
              <w:top w:val="nil"/>
              <w:left w:val="nil"/>
              <w:bottom w:val="nil"/>
              <w:right w:val="nil"/>
            </w:tcBorders>
            <w:noWrap/>
            <w:vAlign w:val="bottom"/>
          </w:tcPr>
          <w:p>
            <w:pPr>
              <w:rPr>
                <w:rFonts w:ascii="Arial" w:hAnsi="Arial" w:cs="Arial"/>
                <w:color w:val="000000"/>
                <w:sz w:val="16"/>
                <w:szCs w:val="16"/>
              </w:rPr>
            </w:pPr>
          </w:p>
        </w:tc>
        <w:tc>
          <w:tcPr>
            <w:tcW w:w="300" w:type="dxa"/>
            <w:tcBorders>
              <w:top w:val="nil"/>
              <w:left w:val="nil"/>
              <w:bottom w:val="nil"/>
              <w:right w:val="nil"/>
            </w:tcBorders>
            <w:noWrap/>
            <w:vAlign w:val="bottom"/>
          </w:tcPr>
          <w:p>
            <w:pPr>
              <w:rPr>
                <w:rFonts w:ascii="Arial" w:hAnsi="Arial" w:cs="Arial"/>
                <w:color w:val="000000"/>
                <w:sz w:val="16"/>
                <w:szCs w:val="16"/>
              </w:rPr>
            </w:pPr>
          </w:p>
        </w:tc>
        <w:tc>
          <w:tcPr>
            <w:tcW w:w="236" w:type="dxa"/>
            <w:tcBorders>
              <w:top w:val="nil"/>
              <w:left w:val="nil"/>
              <w:bottom w:val="nil"/>
              <w:right w:val="nil"/>
            </w:tcBorders>
            <w:noWrap/>
            <w:vAlign w:val="bottom"/>
          </w:tcPr>
          <w:p>
            <w:pPr>
              <w:rPr>
                <w:rFonts w:ascii="Arial" w:hAnsi="Arial" w:cs="Arial"/>
                <w:color w:val="000000"/>
                <w:sz w:val="16"/>
                <w:szCs w:val="16"/>
              </w:rPr>
            </w:pPr>
          </w:p>
        </w:tc>
        <w:tc>
          <w:tcPr>
            <w:tcW w:w="365" w:type="dxa"/>
            <w:tcBorders>
              <w:top w:val="nil"/>
              <w:left w:val="nil"/>
              <w:bottom w:val="nil"/>
              <w:right w:val="nil"/>
            </w:tcBorders>
            <w:noWrap/>
            <w:vAlign w:val="bottom"/>
          </w:tcPr>
          <w:p>
            <w:pPr>
              <w:rPr>
                <w:rFonts w:ascii="Arial" w:hAnsi="Arial" w:cs="Arial"/>
                <w:color w:val="000000"/>
                <w:sz w:val="16"/>
                <w:szCs w:val="16"/>
              </w:rPr>
            </w:pPr>
          </w:p>
        </w:tc>
        <w:tc>
          <w:tcPr>
            <w:tcW w:w="1015" w:type="dxa"/>
            <w:gridSpan w:val="3"/>
            <w:tcBorders>
              <w:top w:val="nil"/>
              <w:left w:val="nil"/>
              <w:bottom w:val="nil"/>
              <w:right w:val="nil"/>
            </w:tcBorders>
            <w:noWrap/>
            <w:vAlign w:val="bottom"/>
          </w:tcPr>
          <w:p>
            <w:pPr>
              <w:widowControl/>
              <w:jc w:val="right"/>
              <w:textAlignment w:val="bottom"/>
              <w:rPr>
                <w:rFonts w:ascii="宋体" w:hAnsi="宋体" w:cs="宋体"/>
                <w:color w:val="000000"/>
                <w:sz w:val="16"/>
                <w:szCs w:val="16"/>
              </w:rPr>
            </w:pPr>
            <w:r>
              <w:rPr>
                <w:rFonts w:hint="eastAsia" w:ascii="宋体" w:hAnsi="宋体" w:cs="宋体"/>
                <w:color w:val="000000"/>
                <w:kern w:val="0"/>
                <w:sz w:val="16"/>
                <w:szCs w:val="16"/>
              </w:rPr>
              <w:t>公开02表</w:t>
            </w:r>
          </w:p>
        </w:tc>
      </w:tr>
      <w:tr>
        <w:tblPrEx>
          <w:tblCellMar>
            <w:top w:w="0" w:type="dxa"/>
            <w:left w:w="108" w:type="dxa"/>
            <w:bottom w:w="0" w:type="dxa"/>
            <w:right w:w="108" w:type="dxa"/>
          </w:tblCellMar>
        </w:tblPrEx>
        <w:trPr>
          <w:trHeight w:val="255" w:hRule="atLeast"/>
        </w:trPr>
        <w:tc>
          <w:tcPr>
            <w:tcW w:w="4997" w:type="dxa"/>
            <w:gridSpan w:val="4"/>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rPr>
              <w:t>部门：保定市满城区商务局</w:t>
            </w:r>
          </w:p>
        </w:tc>
        <w:tc>
          <w:tcPr>
            <w:tcW w:w="751" w:type="dxa"/>
            <w:tcBorders>
              <w:top w:val="nil"/>
              <w:left w:val="nil"/>
              <w:bottom w:val="nil"/>
              <w:right w:val="nil"/>
            </w:tcBorders>
            <w:noWrap/>
            <w:vAlign w:val="bottom"/>
          </w:tcPr>
          <w:p>
            <w:pPr>
              <w:rPr>
                <w:rFonts w:ascii="Arial" w:hAnsi="Arial" w:cs="Arial"/>
                <w:color w:val="000000"/>
                <w:sz w:val="16"/>
                <w:szCs w:val="16"/>
              </w:rPr>
            </w:pPr>
          </w:p>
        </w:tc>
        <w:tc>
          <w:tcPr>
            <w:tcW w:w="802" w:type="dxa"/>
            <w:tcBorders>
              <w:top w:val="nil"/>
              <w:left w:val="nil"/>
              <w:bottom w:val="nil"/>
              <w:right w:val="nil"/>
            </w:tcBorders>
            <w:noWrap/>
            <w:vAlign w:val="bottom"/>
          </w:tcPr>
          <w:p>
            <w:pPr>
              <w:rPr>
                <w:rFonts w:ascii="Arial" w:hAnsi="Arial" w:cs="Arial"/>
                <w:color w:val="000000"/>
                <w:sz w:val="16"/>
                <w:szCs w:val="16"/>
              </w:rPr>
            </w:pPr>
          </w:p>
        </w:tc>
        <w:tc>
          <w:tcPr>
            <w:tcW w:w="300" w:type="dxa"/>
            <w:tcBorders>
              <w:top w:val="nil"/>
              <w:left w:val="nil"/>
              <w:bottom w:val="nil"/>
              <w:right w:val="nil"/>
            </w:tcBorders>
            <w:noWrap/>
            <w:vAlign w:val="bottom"/>
          </w:tcPr>
          <w:p>
            <w:pPr>
              <w:rPr>
                <w:rFonts w:ascii="Arial" w:hAnsi="Arial" w:cs="Arial"/>
                <w:color w:val="000000"/>
                <w:sz w:val="16"/>
                <w:szCs w:val="16"/>
              </w:rPr>
            </w:pPr>
          </w:p>
        </w:tc>
        <w:tc>
          <w:tcPr>
            <w:tcW w:w="236" w:type="dxa"/>
            <w:tcBorders>
              <w:top w:val="nil"/>
              <w:left w:val="nil"/>
              <w:bottom w:val="nil"/>
              <w:right w:val="nil"/>
            </w:tcBorders>
            <w:noWrap/>
            <w:vAlign w:val="bottom"/>
          </w:tcPr>
          <w:p>
            <w:pPr>
              <w:rPr>
                <w:rFonts w:ascii="Arial" w:hAnsi="Arial" w:cs="Arial"/>
                <w:color w:val="000000"/>
                <w:sz w:val="16"/>
                <w:szCs w:val="16"/>
              </w:rPr>
            </w:pPr>
          </w:p>
        </w:tc>
        <w:tc>
          <w:tcPr>
            <w:tcW w:w="1380" w:type="dxa"/>
            <w:gridSpan w:val="4"/>
            <w:tcBorders>
              <w:top w:val="nil"/>
              <w:left w:val="nil"/>
              <w:bottom w:val="nil"/>
              <w:right w:val="nil"/>
            </w:tcBorders>
            <w:noWrap/>
            <w:vAlign w:val="bottom"/>
          </w:tcPr>
          <w:p>
            <w:pPr>
              <w:widowControl/>
              <w:jc w:val="right"/>
              <w:textAlignment w:val="bottom"/>
              <w:rPr>
                <w:rFonts w:ascii="宋体" w:hAnsi="宋体" w:cs="宋体"/>
                <w:color w:val="00000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499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项目</w:t>
            </w:r>
          </w:p>
        </w:tc>
        <w:tc>
          <w:tcPr>
            <w:tcW w:w="75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本年收入合计</w:t>
            </w:r>
          </w:p>
        </w:tc>
        <w:tc>
          <w:tcPr>
            <w:tcW w:w="80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财政拨款收入</w:t>
            </w:r>
          </w:p>
        </w:tc>
        <w:tc>
          <w:tcPr>
            <w:tcW w:w="30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上级补助收入</w:t>
            </w:r>
          </w:p>
        </w:tc>
        <w:tc>
          <w:tcPr>
            <w:tcW w:w="23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事业收入</w:t>
            </w:r>
          </w:p>
        </w:tc>
        <w:tc>
          <w:tcPr>
            <w:tcW w:w="36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经营收入</w:t>
            </w:r>
          </w:p>
        </w:tc>
        <w:tc>
          <w:tcPr>
            <w:tcW w:w="36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附属单位上缴收入</w:t>
            </w:r>
          </w:p>
        </w:tc>
        <w:tc>
          <w:tcPr>
            <w:tcW w:w="650"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其他收入</w:t>
            </w:r>
          </w:p>
        </w:tc>
      </w:tr>
      <w:tr>
        <w:tblPrEx>
          <w:tblCellMar>
            <w:top w:w="0" w:type="dxa"/>
            <w:left w:w="108" w:type="dxa"/>
            <w:bottom w:w="0" w:type="dxa"/>
            <w:right w:w="108" w:type="dxa"/>
          </w:tblCellMar>
        </w:tblPrEx>
        <w:trPr>
          <w:trHeight w:val="312" w:hRule="atLeast"/>
        </w:trPr>
        <w:tc>
          <w:tcPr>
            <w:tcW w:w="2243"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功能分类科目编码</w:t>
            </w:r>
          </w:p>
        </w:tc>
        <w:tc>
          <w:tcPr>
            <w:tcW w:w="2754"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科目名称</w:t>
            </w:r>
          </w:p>
        </w:tc>
        <w:tc>
          <w:tcPr>
            <w:tcW w:w="75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80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2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650"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12" w:hRule="atLeast"/>
        </w:trPr>
        <w:tc>
          <w:tcPr>
            <w:tcW w:w="2243"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16"/>
                <w:szCs w:val="16"/>
              </w:rPr>
            </w:pPr>
          </w:p>
        </w:tc>
        <w:tc>
          <w:tcPr>
            <w:tcW w:w="2754"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c>
          <w:tcPr>
            <w:tcW w:w="75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80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2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650"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12" w:hRule="atLeast"/>
        </w:trPr>
        <w:tc>
          <w:tcPr>
            <w:tcW w:w="2243"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16"/>
                <w:szCs w:val="16"/>
              </w:rPr>
            </w:pPr>
          </w:p>
        </w:tc>
        <w:tc>
          <w:tcPr>
            <w:tcW w:w="2754"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c>
          <w:tcPr>
            <w:tcW w:w="75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80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0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23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650"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4997"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栏次</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80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30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23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36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w:t>
            </w:r>
          </w:p>
        </w:tc>
        <w:tc>
          <w:tcPr>
            <w:tcW w:w="36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650"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w:t>
            </w:r>
          </w:p>
        </w:tc>
      </w:tr>
      <w:tr>
        <w:tblPrEx>
          <w:tblCellMar>
            <w:top w:w="0" w:type="dxa"/>
            <w:left w:w="108" w:type="dxa"/>
            <w:bottom w:w="0" w:type="dxa"/>
            <w:right w:w="108" w:type="dxa"/>
          </w:tblCellMar>
        </w:tblPrEx>
        <w:trPr>
          <w:trHeight w:val="308" w:hRule="atLeast"/>
        </w:trPr>
        <w:tc>
          <w:tcPr>
            <w:tcW w:w="4997"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合计</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454.52</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454.52</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一般公共服务支出</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232.67</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232.67</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20103</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政府办公厅（室）及相关机构事务</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7.96</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7.96</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2010308</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信访事务</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7.96</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7.96</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20131</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党委办公厅（室）及相关机构事务</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2013102</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一般行政管理事务</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社会保障和就业支出</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26.68</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26.68</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行政事业单位养老支出</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26.68</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26.68</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2080501</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归口管理的行政单位离退休</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2080505</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机关事业单位基本养老保险缴费支出</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21.96</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21.96</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2080506</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机关事业单位职业年金缴费支出</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4.72</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4.72</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卫生健康支出</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18.18</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18.18</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21004</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公共卫生</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4.00</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4.00</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2100409</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重大公共卫生服务</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4.00</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4.00</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21011</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行政事业单位医疗</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14.18</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14.18</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2101101</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行政单位医疗</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5.33</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5.33</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2101102</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事业单位医疗</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8.85</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8.85</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商业服务业等支出</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164.84</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164.84</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21602</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商业流通事务</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25.00</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25.00</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2160299</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其他商业流通事务支出</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25.00</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25.00</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21606</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涉外发展服务支出</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139.84</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139.84</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住房保障支出</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12.15</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12.15</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22102</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住房改革支出</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12.15</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12.15</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243"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2210201</w:t>
            </w:r>
          </w:p>
        </w:tc>
        <w:tc>
          <w:tcPr>
            <w:tcW w:w="275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7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12.15</w:t>
            </w:r>
          </w:p>
        </w:tc>
        <w:tc>
          <w:tcPr>
            <w:tcW w:w="8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12.15</w:t>
            </w:r>
          </w:p>
        </w:tc>
        <w:tc>
          <w:tcPr>
            <w:tcW w:w="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5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After w:val="1"/>
          <w:wAfter w:w="37" w:type="dxa"/>
          <w:trHeight w:val="308" w:hRule="atLeast"/>
        </w:trPr>
        <w:tc>
          <w:tcPr>
            <w:tcW w:w="8429" w:type="dxa"/>
            <w:gridSpan w:val="11"/>
            <w:tcBorders>
              <w:top w:val="nil"/>
              <w:left w:val="nil"/>
              <w:bottom w:val="nil"/>
              <w:right w:val="nil"/>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32"/>
                <w:szCs w:val="32"/>
              </w:rPr>
              <w:t>注：本表反映部门本年度取得的各项收入情况。</w:t>
            </w:r>
          </w:p>
        </w:tc>
      </w:tr>
    </w:tbl>
    <w:p>
      <w:pPr>
        <w:widowControl/>
        <w:shd w:val="clear" w:color="auto" w:fill="FFFFFF"/>
        <w:spacing w:line="560" w:lineRule="atLeast"/>
        <w:jc w:val="center"/>
        <w:rPr>
          <w:rFonts w:ascii="宋体" w:hAnsi="宋体" w:cs="宋体"/>
          <w:b/>
          <w:color w:val="000000"/>
          <w:kern w:val="0"/>
          <w:sz w:val="28"/>
          <w:szCs w:val="28"/>
        </w:rPr>
      </w:pPr>
    </w:p>
    <w:p>
      <w:pPr>
        <w:widowControl/>
        <w:shd w:val="clear" w:color="auto" w:fill="FFFFFF"/>
        <w:spacing w:line="560" w:lineRule="atLeast"/>
        <w:jc w:val="center"/>
        <w:rPr>
          <w:rFonts w:ascii="宋体" w:hAnsi="宋体" w:cs="宋体"/>
          <w:b/>
          <w:color w:val="000000"/>
          <w:kern w:val="0"/>
          <w:sz w:val="28"/>
          <w:szCs w:val="28"/>
        </w:rPr>
      </w:pPr>
      <w:r>
        <w:rPr>
          <w:rFonts w:hint="eastAsia" w:ascii="仿宋_GB2312" w:hAnsi="仿宋" w:eastAsia="仿宋_GB2312"/>
          <w:sz w:val="28"/>
          <w:szCs w:val="28"/>
        </w:rPr>
        <w:br w:type="page"/>
      </w:r>
      <w:r>
        <w:rPr>
          <w:rFonts w:hint="eastAsia" w:ascii="宋体" w:hAnsi="宋体" w:cs="宋体"/>
          <w:b/>
          <w:color w:val="000000"/>
          <w:kern w:val="0"/>
          <w:sz w:val="28"/>
          <w:szCs w:val="28"/>
        </w:rPr>
        <w:t>支出决算表</w:t>
      </w:r>
    </w:p>
    <w:tbl>
      <w:tblPr>
        <w:tblStyle w:val="6"/>
        <w:tblW w:w="9270" w:type="dxa"/>
        <w:tblInd w:w="-531" w:type="dxa"/>
        <w:tblLayout w:type="fixed"/>
        <w:tblCellMar>
          <w:top w:w="0" w:type="dxa"/>
          <w:left w:w="108" w:type="dxa"/>
          <w:bottom w:w="0" w:type="dxa"/>
          <w:right w:w="108" w:type="dxa"/>
        </w:tblCellMar>
      </w:tblPr>
      <w:tblGrid>
        <w:gridCol w:w="1545"/>
        <w:gridCol w:w="240"/>
        <w:gridCol w:w="240"/>
        <w:gridCol w:w="2973"/>
        <w:gridCol w:w="1155"/>
        <w:gridCol w:w="1020"/>
        <w:gridCol w:w="732"/>
        <w:gridCol w:w="315"/>
        <w:gridCol w:w="360"/>
        <w:gridCol w:w="473"/>
        <w:gridCol w:w="217"/>
      </w:tblGrid>
      <w:tr>
        <w:tblPrEx>
          <w:tblCellMar>
            <w:top w:w="0" w:type="dxa"/>
            <w:left w:w="108" w:type="dxa"/>
            <w:bottom w:w="0" w:type="dxa"/>
            <w:right w:w="108" w:type="dxa"/>
          </w:tblCellMar>
        </w:tblPrEx>
        <w:trPr>
          <w:gridAfter w:val="1"/>
          <w:wAfter w:w="217" w:type="dxa"/>
          <w:trHeight w:val="255" w:hRule="atLeast"/>
        </w:trPr>
        <w:tc>
          <w:tcPr>
            <w:tcW w:w="1545" w:type="dxa"/>
            <w:tcBorders>
              <w:top w:val="nil"/>
              <w:left w:val="nil"/>
              <w:bottom w:val="nil"/>
              <w:right w:val="nil"/>
            </w:tcBorders>
            <w:noWrap/>
            <w:vAlign w:val="bottom"/>
          </w:tcPr>
          <w:p>
            <w:pPr>
              <w:rPr>
                <w:rFonts w:ascii="Arial" w:hAnsi="Arial" w:cs="Arial"/>
                <w:color w:val="000000"/>
                <w:sz w:val="20"/>
                <w:szCs w:val="20"/>
              </w:rPr>
            </w:pPr>
          </w:p>
        </w:tc>
        <w:tc>
          <w:tcPr>
            <w:tcW w:w="240" w:type="dxa"/>
            <w:tcBorders>
              <w:top w:val="nil"/>
              <w:left w:val="nil"/>
              <w:bottom w:val="nil"/>
              <w:right w:val="nil"/>
            </w:tcBorders>
            <w:noWrap/>
            <w:vAlign w:val="bottom"/>
          </w:tcPr>
          <w:p>
            <w:pPr>
              <w:rPr>
                <w:rFonts w:ascii="Arial" w:hAnsi="Arial" w:cs="Arial"/>
                <w:color w:val="000000"/>
                <w:sz w:val="20"/>
                <w:szCs w:val="20"/>
              </w:rPr>
            </w:pPr>
          </w:p>
        </w:tc>
        <w:tc>
          <w:tcPr>
            <w:tcW w:w="240" w:type="dxa"/>
            <w:tcBorders>
              <w:top w:val="nil"/>
              <w:left w:val="nil"/>
              <w:bottom w:val="nil"/>
              <w:right w:val="nil"/>
            </w:tcBorders>
            <w:noWrap/>
            <w:vAlign w:val="bottom"/>
          </w:tcPr>
          <w:p>
            <w:pPr>
              <w:rPr>
                <w:rFonts w:ascii="Arial" w:hAnsi="Arial" w:cs="Arial"/>
                <w:color w:val="000000"/>
                <w:sz w:val="20"/>
                <w:szCs w:val="20"/>
              </w:rPr>
            </w:pPr>
          </w:p>
        </w:tc>
        <w:tc>
          <w:tcPr>
            <w:tcW w:w="2973" w:type="dxa"/>
            <w:tcBorders>
              <w:top w:val="nil"/>
              <w:left w:val="nil"/>
              <w:bottom w:val="nil"/>
              <w:right w:val="nil"/>
            </w:tcBorders>
            <w:noWrap/>
            <w:vAlign w:val="bottom"/>
          </w:tcPr>
          <w:p>
            <w:pPr>
              <w:rPr>
                <w:rFonts w:ascii="Arial" w:hAnsi="Arial" w:cs="Arial"/>
                <w:color w:val="000000"/>
                <w:sz w:val="20"/>
                <w:szCs w:val="20"/>
              </w:rPr>
            </w:pPr>
          </w:p>
        </w:tc>
        <w:tc>
          <w:tcPr>
            <w:tcW w:w="1155" w:type="dxa"/>
            <w:tcBorders>
              <w:top w:val="nil"/>
              <w:left w:val="nil"/>
              <w:bottom w:val="nil"/>
              <w:right w:val="nil"/>
            </w:tcBorders>
            <w:noWrap/>
            <w:vAlign w:val="bottom"/>
          </w:tcPr>
          <w:p>
            <w:pPr>
              <w:rPr>
                <w:rFonts w:ascii="Arial" w:hAnsi="Arial" w:cs="Arial"/>
                <w:color w:val="000000"/>
                <w:sz w:val="20"/>
                <w:szCs w:val="20"/>
              </w:rPr>
            </w:pPr>
          </w:p>
        </w:tc>
        <w:tc>
          <w:tcPr>
            <w:tcW w:w="1020" w:type="dxa"/>
            <w:tcBorders>
              <w:top w:val="nil"/>
              <w:left w:val="nil"/>
              <w:bottom w:val="nil"/>
              <w:right w:val="nil"/>
            </w:tcBorders>
            <w:noWrap/>
            <w:vAlign w:val="bottom"/>
          </w:tcPr>
          <w:p>
            <w:pPr>
              <w:rPr>
                <w:rFonts w:ascii="Arial" w:hAnsi="Arial" w:cs="Arial"/>
                <w:color w:val="000000"/>
                <w:sz w:val="20"/>
                <w:szCs w:val="20"/>
              </w:rPr>
            </w:pPr>
          </w:p>
        </w:tc>
        <w:tc>
          <w:tcPr>
            <w:tcW w:w="732" w:type="dxa"/>
            <w:tcBorders>
              <w:top w:val="nil"/>
              <w:left w:val="nil"/>
              <w:bottom w:val="nil"/>
              <w:right w:val="nil"/>
            </w:tcBorders>
            <w:noWrap/>
            <w:vAlign w:val="bottom"/>
          </w:tcPr>
          <w:p>
            <w:pPr>
              <w:rPr>
                <w:rFonts w:ascii="Arial" w:hAnsi="Arial" w:cs="Arial"/>
                <w:color w:val="000000"/>
                <w:sz w:val="20"/>
                <w:szCs w:val="20"/>
              </w:rPr>
            </w:pPr>
          </w:p>
        </w:tc>
        <w:tc>
          <w:tcPr>
            <w:tcW w:w="1148" w:type="dxa"/>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gridAfter w:val="1"/>
          <w:wAfter w:w="217" w:type="dxa"/>
          <w:trHeight w:val="255" w:hRule="atLeast"/>
        </w:trPr>
        <w:tc>
          <w:tcPr>
            <w:tcW w:w="4998" w:type="dxa"/>
            <w:gridSpan w:val="4"/>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rPr>
              <w:t>部门：保定市满城区商务局</w:t>
            </w:r>
          </w:p>
        </w:tc>
        <w:tc>
          <w:tcPr>
            <w:tcW w:w="1155" w:type="dxa"/>
            <w:tcBorders>
              <w:top w:val="nil"/>
              <w:left w:val="nil"/>
              <w:bottom w:val="nil"/>
              <w:right w:val="nil"/>
            </w:tcBorders>
            <w:noWrap/>
            <w:vAlign w:val="bottom"/>
          </w:tcPr>
          <w:p>
            <w:pPr>
              <w:rPr>
                <w:rFonts w:ascii="Arial" w:hAnsi="Arial" w:cs="Arial"/>
                <w:color w:val="000000"/>
                <w:sz w:val="20"/>
                <w:szCs w:val="20"/>
              </w:rPr>
            </w:pPr>
          </w:p>
        </w:tc>
        <w:tc>
          <w:tcPr>
            <w:tcW w:w="2900" w:type="dxa"/>
            <w:gridSpan w:val="5"/>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99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项目</w:t>
            </w:r>
          </w:p>
        </w:tc>
        <w:tc>
          <w:tcPr>
            <w:tcW w:w="115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本年支出合计</w:t>
            </w:r>
          </w:p>
        </w:tc>
        <w:tc>
          <w:tcPr>
            <w:tcW w:w="102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基本支出</w:t>
            </w:r>
          </w:p>
        </w:tc>
        <w:tc>
          <w:tcPr>
            <w:tcW w:w="73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项目支出</w:t>
            </w:r>
          </w:p>
        </w:tc>
        <w:tc>
          <w:tcPr>
            <w:tcW w:w="31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上缴上级支出</w:t>
            </w:r>
          </w:p>
        </w:tc>
        <w:tc>
          <w:tcPr>
            <w:tcW w:w="36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经营支出</w:t>
            </w:r>
          </w:p>
        </w:tc>
        <w:tc>
          <w:tcPr>
            <w:tcW w:w="690" w:type="dxa"/>
            <w:gridSpan w:val="2"/>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对附属单位补助支出</w:t>
            </w:r>
          </w:p>
        </w:tc>
      </w:tr>
      <w:tr>
        <w:tblPrEx>
          <w:tblCellMar>
            <w:top w:w="0" w:type="dxa"/>
            <w:left w:w="108" w:type="dxa"/>
            <w:bottom w:w="0" w:type="dxa"/>
            <w:right w:w="108" w:type="dxa"/>
          </w:tblCellMar>
        </w:tblPrEx>
        <w:trPr>
          <w:trHeight w:val="312" w:hRule="atLeast"/>
        </w:trPr>
        <w:tc>
          <w:tcPr>
            <w:tcW w:w="2025"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功能分类科目编码</w:t>
            </w:r>
          </w:p>
        </w:tc>
        <w:tc>
          <w:tcPr>
            <w:tcW w:w="2973"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科目名称</w:t>
            </w:r>
          </w:p>
        </w:tc>
        <w:tc>
          <w:tcPr>
            <w:tcW w:w="115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102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73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1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690"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12" w:hRule="atLeast"/>
        </w:trPr>
        <w:tc>
          <w:tcPr>
            <w:tcW w:w="2025"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16"/>
                <w:szCs w:val="16"/>
              </w:rPr>
            </w:pPr>
          </w:p>
        </w:tc>
        <w:tc>
          <w:tcPr>
            <w:tcW w:w="2973"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c>
          <w:tcPr>
            <w:tcW w:w="115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102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73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1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690"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734" w:hRule="atLeast"/>
        </w:trPr>
        <w:tc>
          <w:tcPr>
            <w:tcW w:w="2025"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16"/>
                <w:szCs w:val="16"/>
              </w:rPr>
            </w:pPr>
          </w:p>
        </w:tc>
        <w:tc>
          <w:tcPr>
            <w:tcW w:w="2973"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c>
          <w:tcPr>
            <w:tcW w:w="115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102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73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1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3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690" w:type="dxa"/>
            <w:gridSpan w:val="2"/>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4998"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栏次</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102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73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31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36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w:t>
            </w:r>
          </w:p>
        </w:tc>
        <w:tc>
          <w:tcPr>
            <w:tcW w:w="690"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r>
      <w:tr>
        <w:tblPrEx>
          <w:tblCellMar>
            <w:top w:w="0" w:type="dxa"/>
            <w:left w:w="108" w:type="dxa"/>
            <w:bottom w:w="0" w:type="dxa"/>
            <w:right w:w="108" w:type="dxa"/>
          </w:tblCellMar>
        </w:tblPrEx>
        <w:trPr>
          <w:trHeight w:val="308" w:hRule="atLeast"/>
        </w:trPr>
        <w:tc>
          <w:tcPr>
            <w:tcW w:w="4998"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合计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15"/>
                <w:szCs w:val="15"/>
              </w:rPr>
            </w:pPr>
            <w:r>
              <w:rPr>
                <w:rFonts w:hint="eastAsia" w:ascii="宋体" w:hAnsi="宋体" w:cs="宋体"/>
                <w:b/>
                <w:bCs/>
                <w:color w:val="000000"/>
                <w:sz w:val="15"/>
                <w:szCs w:val="15"/>
              </w:rPr>
              <w:t>454.52</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15"/>
                <w:szCs w:val="15"/>
              </w:rPr>
            </w:pPr>
            <w:r>
              <w:rPr>
                <w:rFonts w:hint="eastAsia" w:ascii="宋体" w:hAnsi="宋体" w:cs="宋体"/>
                <w:b/>
                <w:bCs/>
                <w:color w:val="000000"/>
                <w:sz w:val="15"/>
                <w:szCs w:val="15"/>
              </w:rPr>
              <w:t>276.70</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177.82</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b/>
                <w:bCs/>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一般公共服务支出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232.67</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223.69</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8.98</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20103</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政府办公厅（室）及相关机构事务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7.96</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7.96</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2010308</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信访事务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7.96</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7.96</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20113</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商贸事务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224.71</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223.69</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1.06</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2011301</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行政运行</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121.64</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121.64</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2011308</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招商引资</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1.01</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1.01</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2011350</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事业运行</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11.94</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11.94</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2011399</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其他商贸事务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90.10</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90.10</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社会保障和就业支出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26.68</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26.68</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行政事业单位养老支出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26.68</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26.68</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2080501</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归口管理的行政单位离退休</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2080505</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21.96</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21.96</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2080506</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机关事业单位职业年金缴费支出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4.72</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4.72</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卫生健康支出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18.18</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14.18</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4.00</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21004</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公共卫生</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4.00</w:t>
            </w:r>
          </w:p>
        </w:tc>
        <w:tc>
          <w:tcPr>
            <w:tcW w:w="1020" w:type="dxa"/>
            <w:tcBorders>
              <w:top w:val="nil"/>
              <w:left w:val="nil"/>
              <w:bottom w:val="single" w:color="000000" w:sz="4" w:space="0"/>
              <w:right w:val="single" w:color="000000" w:sz="4" w:space="0"/>
            </w:tcBorders>
            <w:noWrap/>
            <w:vAlign w:val="center"/>
          </w:tcPr>
          <w:p>
            <w:pPr>
              <w:widowControl/>
              <w:textAlignment w:val="center"/>
              <w:rPr>
                <w:rFonts w:ascii="宋体" w:hAnsi="宋体" w:cs="宋体"/>
                <w:color w:val="000000"/>
                <w:sz w:val="15"/>
                <w:szCs w:val="15"/>
              </w:rPr>
            </w:pPr>
            <w:r>
              <w:rPr>
                <w:rFonts w:hint="eastAsia" w:ascii="宋体" w:hAnsi="宋体" w:cs="宋体"/>
                <w:color w:val="000000"/>
                <w:sz w:val="15"/>
                <w:szCs w:val="15"/>
              </w:rPr>
              <w:t xml:space="preserve">   </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4.00</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2100409</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重大公共卫生服务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4.00</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4.00</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21011</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行政事业单位医疗</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14.18</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14.18</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2101101</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行政单位医疗</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5.33</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5.33</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2101102</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事业单位医疗</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8.85</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8.85</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商业服务业等支出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164.84</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164.84</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21602</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商业流通事务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25.00</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25.00</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2160299</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其他商业流通事务支出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25.00</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25.00</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21606</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涉外发展服务支出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139.84</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139.84</w:t>
            </w: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住房保障支出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22102</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住房改革支出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02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2210201</w:t>
            </w:r>
          </w:p>
        </w:tc>
        <w:tc>
          <w:tcPr>
            <w:tcW w:w="297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10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732"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1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3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690"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After w:val="1"/>
          <w:wAfter w:w="217" w:type="dxa"/>
          <w:trHeight w:val="308" w:hRule="atLeast"/>
        </w:trPr>
        <w:tc>
          <w:tcPr>
            <w:tcW w:w="9053" w:type="dxa"/>
            <w:gridSpan w:val="10"/>
            <w:tcBorders>
              <w:top w:val="nil"/>
              <w:left w:val="nil"/>
              <w:bottom w:val="nil"/>
              <w:right w:val="nil"/>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注：本表反映部门本年度各项支出情况。</w:t>
            </w:r>
          </w:p>
        </w:tc>
      </w:tr>
    </w:tbl>
    <w:p>
      <w:pPr>
        <w:widowControl/>
        <w:shd w:val="clear" w:color="auto" w:fill="FFFFFF"/>
        <w:spacing w:line="560" w:lineRule="atLeast"/>
        <w:jc w:val="center"/>
        <w:rPr>
          <w:rFonts w:ascii="宋体" w:hAnsi="宋体" w:cs="宋体"/>
          <w:b/>
          <w:color w:val="000000"/>
          <w:kern w:val="0"/>
          <w:sz w:val="28"/>
          <w:szCs w:val="28"/>
        </w:rPr>
      </w:pPr>
      <w:r>
        <w:rPr>
          <w:rFonts w:hint="eastAsia" w:ascii="仿宋_GB2312" w:hAnsi="仿宋" w:eastAsia="仿宋_GB2312"/>
          <w:sz w:val="28"/>
          <w:szCs w:val="28"/>
        </w:rPr>
        <w:br w:type="page"/>
      </w:r>
      <w:r>
        <w:rPr>
          <w:rFonts w:hint="eastAsia" w:ascii="宋体" w:hAnsi="宋体" w:cs="宋体"/>
          <w:b/>
          <w:color w:val="000000"/>
          <w:kern w:val="0"/>
          <w:sz w:val="28"/>
          <w:szCs w:val="28"/>
        </w:rPr>
        <w:t xml:space="preserve">        财政拨款收入支出决算表</w:t>
      </w:r>
    </w:p>
    <w:tbl>
      <w:tblPr>
        <w:tblStyle w:val="6"/>
        <w:tblW w:w="10637" w:type="dxa"/>
        <w:tblInd w:w="-801" w:type="dxa"/>
        <w:tblLayout w:type="autofit"/>
        <w:tblCellMar>
          <w:top w:w="0" w:type="dxa"/>
          <w:left w:w="108" w:type="dxa"/>
          <w:bottom w:w="0" w:type="dxa"/>
          <w:right w:w="108" w:type="dxa"/>
        </w:tblCellMar>
      </w:tblPr>
      <w:tblGrid>
        <w:gridCol w:w="3190"/>
        <w:gridCol w:w="570"/>
        <w:gridCol w:w="780"/>
        <w:gridCol w:w="2616"/>
        <w:gridCol w:w="570"/>
        <w:gridCol w:w="765"/>
        <w:gridCol w:w="810"/>
        <w:gridCol w:w="1336"/>
      </w:tblGrid>
      <w:tr>
        <w:tblPrEx>
          <w:tblCellMar>
            <w:top w:w="0" w:type="dxa"/>
            <w:left w:w="108" w:type="dxa"/>
            <w:bottom w:w="0" w:type="dxa"/>
            <w:right w:w="108" w:type="dxa"/>
          </w:tblCellMar>
        </w:tblPrEx>
        <w:trPr>
          <w:trHeight w:val="255" w:hRule="atLeast"/>
        </w:trPr>
        <w:tc>
          <w:tcPr>
            <w:tcW w:w="3190" w:type="dxa"/>
            <w:tcBorders>
              <w:top w:val="nil"/>
              <w:left w:val="nil"/>
              <w:bottom w:val="nil"/>
              <w:right w:val="nil"/>
            </w:tcBorders>
            <w:noWrap/>
            <w:vAlign w:val="bottom"/>
          </w:tcPr>
          <w:p>
            <w:pPr>
              <w:rPr>
                <w:rFonts w:ascii="Arial" w:hAnsi="Arial" w:cs="Arial"/>
                <w:color w:val="000000"/>
                <w:sz w:val="20"/>
                <w:szCs w:val="20"/>
              </w:rPr>
            </w:pPr>
          </w:p>
        </w:tc>
        <w:tc>
          <w:tcPr>
            <w:tcW w:w="570" w:type="dxa"/>
            <w:tcBorders>
              <w:top w:val="nil"/>
              <w:left w:val="nil"/>
              <w:bottom w:val="nil"/>
              <w:right w:val="nil"/>
            </w:tcBorders>
            <w:noWrap/>
            <w:vAlign w:val="bottom"/>
          </w:tcPr>
          <w:p>
            <w:pPr>
              <w:rPr>
                <w:rFonts w:ascii="Arial" w:hAnsi="Arial" w:cs="Arial"/>
                <w:color w:val="000000"/>
                <w:sz w:val="20"/>
                <w:szCs w:val="20"/>
              </w:rPr>
            </w:pPr>
          </w:p>
        </w:tc>
        <w:tc>
          <w:tcPr>
            <w:tcW w:w="780" w:type="dxa"/>
            <w:tcBorders>
              <w:top w:val="nil"/>
              <w:left w:val="nil"/>
              <w:bottom w:val="nil"/>
              <w:right w:val="nil"/>
            </w:tcBorders>
            <w:noWrap/>
            <w:vAlign w:val="bottom"/>
          </w:tcPr>
          <w:p>
            <w:pPr>
              <w:rPr>
                <w:rFonts w:ascii="Arial" w:hAnsi="Arial" w:cs="Arial"/>
                <w:color w:val="000000"/>
                <w:sz w:val="20"/>
                <w:szCs w:val="20"/>
              </w:rPr>
            </w:pPr>
          </w:p>
        </w:tc>
        <w:tc>
          <w:tcPr>
            <w:tcW w:w="2616" w:type="dxa"/>
            <w:tcBorders>
              <w:top w:val="nil"/>
              <w:left w:val="nil"/>
              <w:bottom w:val="nil"/>
              <w:right w:val="nil"/>
            </w:tcBorders>
            <w:noWrap/>
            <w:vAlign w:val="bottom"/>
          </w:tcPr>
          <w:p>
            <w:pPr>
              <w:rPr>
                <w:rFonts w:ascii="Arial" w:hAnsi="Arial" w:cs="Arial"/>
                <w:color w:val="000000"/>
                <w:sz w:val="20"/>
                <w:szCs w:val="20"/>
              </w:rPr>
            </w:pPr>
          </w:p>
        </w:tc>
        <w:tc>
          <w:tcPr>
            <w:tcW w:w="570" w:type="dxa"/>
            <w:tcBorders>
              <w:top w:val="nil"/>
              <w:left w:val="nil"/>
              <w:bottom w:val="nil"/>
              <w:right w:val="nil"/>
            </w:tcBorders>
            <w:noWrap/>
            <w:vAlign w:val="bottom"/>
          </w:tcPr>
          <w:p>
            <w:pPr>
              <w:rPr>
                <w:rFonts w:ascii="Arial" w:hAnsi="Arial" w:cs="Arial"/>
                <w:color w:val="000000"/>
                <w:sz w:val="20"/>
                <w:szCs w:val="20"/>
              </w:rPr>
            </w:pPr>
          </w:p>
        </w:tc>
        <w:tc>
          <w:tcPr>
            <w:tcW w:w="765" w:type="dxa"/>
            <w:tcBorders>
              <w:top w:val="nil"/>
              <w:left w:val="nil"/>
              <w:bottom w:val="nil"/>
              <w:right w:val="nil"/>
            </w:tcBorders>
            <w:noWrap/>
            <w:vAlign w:val="bottom"/>
          </w:tcPr>
          <w:p>
            <w:pPr>
              <w:rPr>
                <w:rFonts w:ascii="Arial" w:hAnsi="Arial" w:cs="Arial"/>
                <w:color w:val="000000"/>
                <w:sz w:val="20"/>
                <w:szCs w:val="20"/>
              </w:rPr>
            </w:pPr>
          </w:p>
        </w:tc>
        <w:tc>
          <w:tcPr>
            <w:tcW w:w="810" w:type="dxa"/>
            <w:tcBorders>
              <w:top w:val="nil"/>
              <w:left w:val="nil"/>
              <w:bottom w:val="nil"/>
              <w:right w:val="nil"/>
            </w:tcBorders>
            <w:noWrap/>
            <w:vAlign w:val="bottom"/>
          </w:tcPr>
          <w:p>
            <w:pPr>
              <w:rPr>
                <w:rFonts w:ascii="Arial" w:hAnsi="Arial" w:cs="Arial"/>
                <w:color w:val="000000"/>
                <w:sz w:val="20"/>
                <w:szCs w:val="20"/>
              </w:rPr>
            </w:pPr>
          </w:p>
        </w:tc>
        <w:tc>
          <w:tcPr>
            <w:tcW w:w="1336"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255" w:hRule="atLeast"/>
        </w:trPr>
        <w:tc>
          <w:tcPr>
            <w:tcW w:w="3190" w:type="dxa"/>
            <w:tcBorders>
              <w:top w:val="nil"/>
              <w:left w:val="nil"/>
              <w:bottom w:val="nil"/>
              <w:right w:val="nil"/>
            </w:tcBorders>
            <w:noWrap/>
            <w:vAlign w:val="bottom"/>
          </w:tcPr>
          <w:p>
            <w:pPr>
              <w:widowControl/>
              <w:jc w:val="left"/>
              <w:textAlignment w:val="bottom"/>
              <w:rPr>
                <w:rFonts w:ascii="宋体" w:hAnsi="宋体" w:cs="宋体"/>
                <w:color w:val="000000"/>
                <w:sz w:val="16"/>
                <w:szCs w:val="16"/>
              </w:rPr>
            </w:pPr>
            <w:r>
              <w:rPr>
                <w:rFonts w:hint="eastAsia" w:ascii="宋体" w:hAnsi="宋体" w:cs="宋体"/>
                <w:color w:val="000000"/>
                <w:kern w:val="0"/>
                <w:sz w:val="16"/>
                <w:szCs w:val="16"/>
              </w:rPr>
              <w:t>部门：保定市满城区商务局</w:t>
            </w:r>
          </w:p>
        </w:tc>
        <w:tc>
          <w:tcPr>
            <w:tcW w:w="570" w:type="dxa"/>
            <w:tcBorders>
              <w:top w:val="nil"/>
              <w:left w:val="nil"/>
              <w:bottom w:val="nil"/>
              <w:right w:val="nil"/>
            </w:tcBorders>
            <w:noWrap/>
            <w:vAlign w:val="bottom"/>
          </w:tcPr>
          <w:p>
            <w:pPr>
              <w:rPr>
                <w:rFonts w:ascii="Arial" w:hAnsi="Arial" w:cs="Arial"/>
                <w:color w:val="000000"/>
                <w:sz w:val="16"/>
                <w:szCs w:val="16"/>
              </w:rPr>
            </w:pPr>
          </w:p>
        </w:tc>
        <w:tc>
          <w:tcPr>
            <w:tcW w:w="780" w:type="dxa"/>
            <w:tcBorders>
              <w:top w:val="nil"/>
              <w:left w:val="nil"/>
              <w:bottom w:val="nil"/>
              <w:right w:val="nil"/>
            </w:tcBorders>
            <w:noWrap/>
            <w:vAlign w:val="bottom"/>
          </w:tcPr>
          <w:p>
            <w:pPr>
              <w:rPr>
                <w:rFonts w:ascii="Arial" w:hAnsi="Arial" w:cs="Arial"/>
                <w:color w:val="000000"/>
                <w:sz w:val="16"/>
                <w:szCs w:val="16"/>
              </w:rPr>
            </w:pPr>
          </w:p>
        </w:tc>
        <w:tc>
          <w:tcPr>
            <w:tcW w:w="2616" w:type="dxa"/>
            <w:tcBorders>
              <w:top w:val="nil"/>
              <w:left w:val="nil"/>
              <w:bottom w:val="nil"/>
              <w:right w:val="nil"/>
            </w:tcBorders>
            <w:noWrap/>
            <w:vAlign w:val="bottom"/>
          </w:tcPr>
          <w:p>
            <w:pPr>
              <w:rPr>
                <w:rFonts w:ascii="Arial" w:hAnsi="Arial" w:cs="Arial"/>
                <w:color w:val="000000"/>
                <w:sz w:val="16"/>
                <w:szCs w:val="16"/>
              </w:rPr>
            </w:pPr>
          </w:p>
        </w:tc>
        <w:tc>
          <w:tcPr>
            <w:tcW w:w="570" w:type="dxa"/>
            <w:tcBorders>
              <w:top w:val="nil"/>
              <w:left w:val="nil"/>
              <w:bottom w:val="nil"/>
              <w:right w:val="nil"/>
            </w:tcBorders>
            <w:noWrap/>
            <w:vAlign w:val="bottom"/>
          </w:tcPr>
          <w:p>
            <w:pPr>
              <w:rPr>
                <w:rFonts w:ascii="Arial" w:hAnsi="Arial" w:cs="Arial"/>
                <w:color w:val="000000"/>
                <w:sz w:val="16"/>
                <w:szCs w:val="16"/>
              </w:rPr>
            </w:pPr>
          </w:p>
        </w:tc>
        <w:tc>
          <w:tcPr>
            <w:tcW w:w="765" w:type="dxa"/>
            <w:tcBorders>
              <w:top w:val="nil"/>
              <w:left w:val="nil"/>
              <w:bottom w:val="nil"/>
              <w:right w:val="nil"/>
            </w:tcBorders>
            <w:noWrap/>
            <w:vAlign w:val="bottom"/>
          </w:tcPr>
          <w:p>
            <w:pPr>
              <w:rPr>
                <w:rFonts w:ascii="Arial" w:hAnsi="Arial" w:cs="Arial"/>
                <w:color w:val="000000"/>
                <w:sz w:val="16"/>
                <w:szCs w:val="16"/>
              </w:rPr>
            </w:pPr>
          </w:p>
        </w:tc>
        <w:tc>
          <w:tcPr>
            <w:tcW w:w="810" w:type="dxa"/>
            <w:tcBorders>
              <w:top w:val="nil"/>
              <w:left w:val="nil"/>
              <w:bottom w:val="nil"/>
              <w:right w:val="nil"/>
            </w:tcBorders>
            <w:noWrap/>
            <w:vAlign w:val="bottom"/>
          </w:tcPr>
          <w:p>
            <w:pPr>
              <w:rPr>
                <w:rFonts w:ascii="Arial" w:hAnsi="Arial" w:cs="Arial"/>
                <w:color w:val="000000"/>
                <w:sz w:val="16"/>
                <w:szCs w:val="16"/>
              </w:rPr>
            </w:pPr>
          </w:p>
        </w:tc>
        <w:tc>
          <w:tcPr>
            <w:tcW w:w="1336" w:type="dxa"/>
            <w:tcBorders>
              <w:top w:val="nil"/>
              <w:left w:val="nil"/>
              <w:bottom w:val="nil"/>
              <w:right w:val="nil"/>
            </w:tcBorders>
            <w:noWrap/>
            <w:vAlign w:val="bottom"/>
          </w:tcPr>
          <w:p>
            <w:pPr>
              <w:widowControl/>
              <w:jc w:val="right"/>
              <w:textAlignment w:val="bottom"/>
              <w:rPr>
                <w:rFonts w:ascii="宋体" w:hAnsi="宋体" w:cs="宋体"/>
                <w:color w:val="00000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45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收     入</w:t>
            </w:r>
          </w:p>
        </w:tc>
        <w:tc>
          <w:tcPr>
            <w:tcW w:w="6097" w:type="dxa"/>
            <w:gridSpan w:val="5"/>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支     出</w:t>
            </w:r>
          </w:p>
        </w:tc>
      </w:tr>
      <w:tr>
        <w:tblPrEx>
          <w:tblCellMar>
            <w:top w:w="0" w:type="dxa"/>
            <w:left w:w="108" w:type="dxa"/>
            <w:bottom w:w="0" w:type="dxa"/>
            <w:right w:w="108" w:type="dxa"/>
          </w:tblCellMar>
        </w:tblPrEx>
        <w:trPr>
          <w:trHeight w:val="312" w:hRule="atLeast"/>
        </w:trPr>
        <w:tc>
          <w:tcPr>
            <w:tcW w:w="319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行次</w:t>
            </w:r>
          </w:p>
        </w:tc>
        <w:tc>
          <w:tcPr>
            <w:tcW w:w="78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金额</w:t>
            </w:r>
          </w:p>
        </w:tc>
        <w:tc>
          <w:tcPr>
            <w:tcW w:w="261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行次</w:t>
            </w:r>
          </w:p>
        </w:tc>
        <w:tc>
          <w:tcPr>
            <w:tcW w:w="7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合计</w:t>
            </w:r>
          </w:p>
        </w:tc>
        <w:tc>
          <w:tcPr>
            <w:tcW w:w="81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一般公共预算财政拨款</w:t>
            </w:r>
          </w:p>
        </w:tc>
        <w:tc>
          <w:tcPr>
            <w:tcW w:w="133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政府性基金预算财政拨款</w:t>
            </w:r>
          </w:p>
        </w:tc>
      </w:tr>
      <w:tr>
        <w:tblPrEx>
          <w:tblCellMar>
            <w:top w:w="0" w:type="dxa"/>
            <w:left w:w="108" w:type="dxa"/>
            <w:bottom w:w="0" w:type="dxa"/>
            <w:right w:w="108" w:type="dxa"/>
          </w:tblCellMar>
        </w:tblPrEx>
        <w:trPr>
          <w:trHeight w:val="615" w:hRule="atLeast"/>
        </w:trPr>
        <w:tc>
          <w:tcPr>
            <w:tcW w:w="319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16"/>
                <w:szCs w:val="16"/>
              </w:rPr>
            </w:pPr>
          </w:p>
        </w:tc>
        <w:tc>
          <w:tcPr>
            <w:tcW w:w="5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78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261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5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76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c>
          <w:tcPr>
            <w:tcW w:w="81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133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栏次</w:t>
            </w:r>
          </w:p>
        </w:tc>
        <w:tc>
          <w:tcPr>
            <w:tcW w:w="570" w:type="dxa"/>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c>
          <w:tcPr>
            <w:tcW w:w="7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261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栏次</w:t>
            </w:r>
          </w:p>
        </w:tc>
        <w:tc>
          <w:tcPr>
            <w:tcW w:w="570" w:type="dxa"/>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c>
          <w:tcPr>
            <w:tcW w:w="7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8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133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一、一般公共预算财政拨款</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7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454.12</w:t>
            </w: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一、一般公共服务支出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w:t>
            </w:r>
          </w:p>
        </w:tc>
        <w:tc>
          <w:tcPr>
            <w:tcW w:w="7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232.67</w:t>
            </w:r>
          </w:p>
        </w:tc>
        <w:tc>
          <w:tcPr>
            <w:tcW w:w="8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232.67</w:t>
            </w: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二、政府性基金预算财政拨款</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二、外交支出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31</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三、国防支出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32</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四、公共安全支出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33</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五、教育支出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34</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六、科学技术支出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35</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七、文化旅游体育与传媒支出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36</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八、社会保障和就业支出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37</w:t>
            </w:r>
          </w:p>
        </w:tc>
        <w:tc>
          <w:tcPr>
            <w:tcW w:w="7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26.68</w:t>
            </w:r>
          </w:p>
        </w:tc>
        <w:tc>
          <w:tcPr>
            <w:tcW w:w="8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26.68</w:t>
            </w: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九、卫生健康支出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38</w:t>
            </w:r>
          </w:p>
        </w:tc>
        <w:tc>
          <w:tcPr>
            <w:tcW w:w="7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18.18</w:t>
            </w:r>
          </w:p>
        </w:tc>
        <w:tc>
          <w:tcPr>
            <w:tcW w:w="8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18.18</w:t>
            </w: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十、节能环保支出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39</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11</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十一、城乡社区支出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12</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十二、农林水支出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13</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十三、交通运输支出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42</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十四、资源勘探信息等支出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43</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15</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十五、商业服务业等支出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44</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164.84</w:t>
            </w: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164.84</w:t>
            </w: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16</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十六、金融支出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45</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17</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十七、援助其他地区支出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46</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18</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十八、自然资源海洋气象等支出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47</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19</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十九、住房保障支出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48</w:t>
            </w:r>
          </w:p>
        </w:tc>
        <w:tc>
          <w:tcPr>
            <w:tcW w:w="7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12.15</w:t>
            </w:r>
          </w:p>
        </w:tc>
        <w:tc>
          <w:tcPr>
            <w:tcW w:w="8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12.15</w:t>
            </w: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二十、粮油物资储备支出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49</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21</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二十一、灾害防治及应急管理支出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50</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22</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二十二、其他支出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51</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23</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二十四、债务付息支出</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52</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本年收入合计</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24</w:t>
            </w:r>
          </w:p>
        </w:tc>
        <w:tc>
          <w:tcPr>
            <w:tcW w:w="78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454.52</w:t>
            </w:r>
          </w:p>
        </w:tc>
        <w:tc>
          <w:tcPr>
            <w:tcW w:w="261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本年支出合计</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53</w:t>
            </w:r>
          </w:p>
        </w:tc>
        <w:tc>
          <w:tcPr>
            <w:tcW w:w="7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454.52</w:t>
            </w:r>
          </w:p>
        </w:tc>
        <w:tc>
          <w:tcPr>
            <w:tcW w:w="8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454.52</w:t>
            </w: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年初财政拨款结转和结余</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25</w:t>
            </w:r>
          </w:p>
        </w:tc>
        <w:tc>
          <w:tcPr>
            <w:tcW w:w="7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年末财政拨款结转和结余</w:t>
            </w:r>
          </w:p>
        </w:tc>
        <w:tc>
          <w:tcPr>
            <w:tcW w:w="5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54</w:t>
            </w:r>
          </w:p>
        </w:tc>
        <w:tc>
          <w:tcPr>
            <w:tcW w:w="7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nil"/>
              <w:left w:val="single" w:color="000000" w:sz="4" w:space="0"/>
              <w:bottom w:val="single" w:color="auto"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一、一般公共预算财政拨款</w:t>
            </w:r>
          </w:p>
        </w:tc>
        <w:tc>
          <w:tcPr>
            <w:tcW w:w="570" w:type="dxa"/>
            <w:tcBorders>
              <w:top w:val="nil"/>
              <w:left w:val="nil"/>
              <w:bottom w:val="single" w:color="auto"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26</w:t>
            </w:r>
          </w:p>
        </w:tc>
        <w:tc>
          <w:tcPr>
            <w:tcW w:w="780" w:type="dxa"/>
            <w:tcBorders>
              <w:top w:val="nil"/>
              <w:left w:val="nil"/>
              <w:bottom w:val="single" w:color="auto" w:sz="4" w:space="0"/>
              <w:right w:val="single" w:color="000000" w:sz="4" w:space="0"/>
            </w:tcBorders>
            <w:noWrap/>
            <w:vAlign w:val="center"/>
          </w:tcPr>
          <w:p>
            <w:pPr>
              <w:jc w:val="right"/>
              <w:rPr>
                <w:rFonts w:ascii="宋体" w:hAnsi="宋体" w:cs="宋体"/>
                <w:color w:val="000000"/>
                <w:sz w:val="16"/>
                <w:szCs w:val="16"/>
              </w:rPr>
            </w:pPr>
          </w:p>
        </w:tc>
        <w:tc>
          <w:tcPr>
            <w:tcW w:w="2616" w:type="dxa"/>
            <w:tcBorders>
              <w:top w:val="nil"/>
              <w:left w:val="nil"/>
              <w:bottom w:val="single" w:color="auto" w:sz="4" w:space="0"/>
              <w:right w:val="single" w:color="000000" w:sz="4" w:space="0"/>
            </w:tcBorders>
            <w:noWrap/>
            <w:vAlign w:val="center"/>
          </w:tcPr>
          <w:p>
            <w:pPr>
              <w:jc w:val="left"/>
              <w:rPr>
                <w:rFonts w:ascii="宋体" w:hAnsi="宋体" w:cs="宋体"/>
                <w:color w:val="000000"/>
                <w:sz w:val="16"/>
                <w:szCs w:val="16"/>
              </w:rPr>
            </w:pPr>
          </w:p>
        </w:tc>
        <w:tc>
          <w:tcPr>
            <w:tcW w:w="570" w:type="dxa"/>
            <w:tcBorders>
              <w:top w:val="nil"/>
              <w:left w:val="nil"/>
              <w:bottom w:val="single" w:color="auto"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55</w:t>
            </w:r>
          </w:p>
        </w:tc>
        <w:tc>
          <w:tcPr>
            <w:tcW w:w="765" w:type="dxa"/>
            <w:tcBorders>
              <w:top w:val="nil"/>
              <w:left w:val="nil"/>
              <w:bottom w:val="single" w:color="auto" w:sz="4" w:space="0"/>
              <w:right w:val="single" w:color="000000" w:sz="4" w:space="0"/>
            </w:tcBorders>
            <w:noWrap/>
            <w:vAlign w:val="center"/>
          </w:tcPr>
          <w:p>
            <w:pPr>
              <w:jc w:val="right"/>
              <w:rPr>
                <w:rFonts w:ascii="宋体" w:hAnsi="宋体" w:cs="宋体"/>
                <w:color w:val="000000"/>
                <w:sz w:val="16"/>
                <w:szCs w:val="16"/>
              </w:rPr>
            </w:pPr>
          </w:p>
        </w:tc>
        <w:tc>
          <w:tcPr>
            <w:tcW w:w="810" w:type="dxa"/>
            <w:tcBorders>
              <w:top w:val="nil"/>
              <w:left w:val="nil"/>
              <w:bottom w:val="single" w:color="auto" w:sz="4" w:space="0"/>
              <w:right w:val="single" w:color="000000" w:sz="4" w:space="0"/>
            </w:tcBorders>
            <w:noWrap/>
            <w:vAlign w:val="center"/>
          </w:tcPr>
          <w:p>
            <w:pPr>
              <w:jc w:val="right"/>
              <w:rPr>
                <w:rFonts w:ascii="宋体" w:hAnsi="宋体" w:cs="宋体"/>
                <w:color w:val="000000"/>
                <w:sz w:val="16"/>
                <w:szCs w:val="16"/>
              </w:rPr>
            </w:pPr>
          </w:p>
        </w:tc>
        <w:tc>
          <w:tcPr>
            <w:tcW w:w="1336" w:type="dxa"/>
            <w:tcBorders>
              <w:top w:val="nil"/>
              <w:left w:val="nil"/>
              <w:bottom w:val="single" w:color="auto"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二、政府性基金预算财政拨款</w:t>
            </w: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27</w:t>
            </w:r>
          </w:p>
        </w:tc>
        <w:tc>
          <w:tcPr>
            <w:tcW w:w="78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16"/>
                <w:szCs w:val="16"/>
              </w:rPr>
            </w:pPr>
          </w:p>
        </w:tc>
        <w:tc>
          <w:tcPr>
            <w:tcW w:w="261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sz w:val="16"/>
                <w:szCs w:val="16"/>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56</w:t>
            </w:r>
          </w:p>
        </w:tc>
        <w:tc>
          <w:tcPr>
            <w:tcW w:w="7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16"/>
                <w:szCs w:val="16"/>
              </w:rPr>
            </w:pPr>
          </w:p>
        </w:tc>
        <w:tc>
          <w:tcPr>
            <w:tcW w:w="81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16"/>
                <w:szCs w:val="16"/>
              </w:rPr>
            </w:pPr>
          </w:p>
        </w:tc>
        <w:tc>
          <w:tcPr>
            <w:tcW w:w="133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kern w:val="0"/>
                <w:sz w:val="16"/>
                <w:szCs w:val="16"/>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28</w:t>
            </w:r>
          </w:p>
        </w:tc>
        <w:tc>
          <w:tcPr>
            <w:tcW w:w="78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16"/>
                <w:szCs w:val="16"/>
              </w:rPr>
            </w:pPr>
          </w:p>
        </w:tc>
        <w:tc>
          <w:tcPr>
            <w:tcW w:w="261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sz w:val="16"/>
                <w:szCs w:val="16"/>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57</w:t>
            </w:r>
          </w:p>
        </w:tc>
        <w:tc>
          <w:tcPr>
            <w:tcW w:w="7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16"/>
                <w:szCs w:val="16"/>
              </w:rPr>
            </w:pPr>
          </w:p>
        </w:tc>
        <w:tc>
          <w:tcPr>
            <w:tcW w:w="81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16"/>
                <w:szCs w:val="16"/>
              </w:rPr>
            </w:pPr>
          </w:p>
        </w:tc>
        <w:tc>
          <w:tcPr>
            <w:tcW w:w="133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3190" w:type="dxa"/>
            <w:tcBorders>
              <w:top w:val="single" w:color="auto"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总计</w:t>
            </w:r>
          </w:p>
        </w:tc>
        <w:tc>
          <w:tcPr>
            <w:tcW w:w="570" w:type="dxa"/>
            <w:tcBorders>
              <w:top w:val="single" w:color="auto"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29</w:t>
            </w:r>
          </w:p>
        </w:tc>
        <w:tc>
          <w:tcPr>
            <w:tcW w:w="780" w:type="dxa"/>
            <w:tcBorders>
              <w:top w:val="single" w:color="auto" w:sz="4" w:space="0"/>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454.52</w:t>
            </w:r>
          </w:p>
        </w:tc>
        <w:tc>
          <w:tcPr>
            <w:tcW w:w="2616" w:type="dxa"/>
            <w:tcBorders>
              <w:top w:val="single" w:color="auto" w:sz="4" w:space="0"/>
              <w:left w:val="nil"/>
              <w:bottom w:val="single" w:color="000000" w:sz="4" w:space="0"/>
              <w:right w:val="single" w:color="000000" w:sz="4" w:space="0"/>
            </w:tcBorders>
            <w:noWrap/>
            <w:vAlign w:val="center"/>
          </w:tcPr>
          <w:p>
            <w:pPr>
              <w:jc w:val="left"/>
              <w:rPr>
                <w:rFonts w:ascii="宋体" w:hAnsi="宋体" w:cs="宋体"/>
                <w:color w:val="000000"/>
                <w:sz w:val="16"/>
                <w:szCs w:val="16"/>
              </w:rPr>
            </w:pPr>
            <w:r>
              <w:rPr>
                <w:rFonts w:hint="eastAsia" w:ascii="宋体" w:hAnsi="宋体" w:cs="宋体"/>
                <w:color w:val="000000"/>
                <w:sz w:val="16"/>
                <w:szCs w:val="16"/>
              </w:rPr>
              <w:t xml:space="preserve">            总计</w:t>
            </w:r>
          </w:p>
        </w:tc>
        <w:tc>
          <w:tcPr>
            <w:tcW w:w="570" w:type="dxa"/>
            <w:tcBorders>
              <w:top w:val="single" w:color="auto"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58</w:t>
            </w:r>
          </w:p>
        </w:tc>
        <w:tc>
          <w:tcPr>
            <w:tcW w:w="765" w:type="dxa"/>
            <w:tcBorders>
              <w:top w:val="single" w:color="auto" w:sz="4" w:space="0"/>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454.52</w:t>
            </w:r>
          </w:p>
        </w:tc>
        <w:tc>
          <w:tcPr>
            <w:tcW w:w="810" w:type="dxa"/>
            <w:tcBorders>
              <w:top w:val="single" w:color="auto" w:sz="4" w:space="0"/>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454.52</w:t>
            </w:r>
          </w:p>
        </w:tc>
        <w:tc>
          <w:tcPr>
            <w:tcW w:w="1336" w:type="dxa"/>
            <w:tcBorders>
              <w:top w:val="single" w:color="auto" w:sz="4" w:space="0"/>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bl>
    <w:p>
      <w:pPr>
        <w:pStyle w:val="10"/>
        <w:rPr>
          <w:rFonts w:ascii="仿宋_GB2312" w:hAnsi="仿宋" w:eastAsia="仿宋_GB2312"/>
          <w:sz w:val="28"/>
          <w:szCs w:val="28"/>
          <w:lang w:eastAsia="zh-CN"/>
        </w:rPr>
      </w:pPr>
      <w:r>
        <w:rPr>
          <w:rFonts w:hint="eastAsia" w:cs="宋体"/>
          <w:color w:val="000000"/>
          <w:lang w:eastAsia="zh-CN"/>
        </w:rPr>
        <w:t>注：本表反映部门本年度一般公共预算财政拨款和政府性基金预算财政拨款的总收支和年末结转结余情况。</w:t>
      </w:r>
      <w:r>
        <w:rPr>
          <w:rFonts w:hint="eastAsia" w:ascii="仿宋_GB2312" w:hAnsi="仿宋" w:eastAsia="仿宋_GB2312"/>
          <w:sz w:val="28"/>
          <w:szCs w:val="28"/>
          <w:lang w:eastAsia="zh-CN"/>
        </w:rPr>
        <w:br w:type="page"/>
      </w:r>
    </w:p>
    <w:p>
      <w:pPr>
        <w:widowControl/>
        <w:shd w:val="clear" w:color="auto" w:fill="FFFFFF"/>
        <w:spacing w:line="560" w:lineRule="atLeast"/>
        <w:rPr>
          <w:rFonts w:ascii="宋体" w:hAnsi="宋体" w:cs="宋体"/>
          <w:b/>
          <w:color w:val="000000"/>
          <w:kern w:val="0"/>
          <w:sz w:val="28"/>
          <w:szCs w:val="28"/>
        </w:rPr>
      </w:pPr>
    </w:p>
    <w:p>
      <w:pPr>
        <w:widowControl/>
        <w:shd w:val="clear" w:color="auto" w:fill="FFFFFF"/>
        <w:spacing w:line="560" w:lineRule="atLeast"/>
        <w:ind w:firstLine="2249" w:firstLineChars="800"/>
        <w:rPr>
          <w:rFonts w:ascii="宋体" w:hAnsi="宋体" w:cs="宋体"/>
          <w:b/>
          <w:color w:val="000000"/>
          <w:kern w:val="0"/>
          <w:sz w:val="28"/>
          <w:szCs w:val="28"/>
        </w:rPr>
      </w:pPr>
      <w:r>
        <w:rPr>
          <w:rFonts w:hint="eastAsia" w:ascii="宋体" w:hAnsi="宋体" w:cs="宋体"/>
          <w:b/>
          <w:color w:val="000000"/>
          <w:kern w:val="0"/>
          <w:sz w:val="28"/>
          <w:szCs w:val="28"/>
        </w:rPr>
        <w:t>一般公共预算财政拨款支出决算表</w:t>
      </w:r>
    </w:p>
    <w:tbl>
      <w:tblPr>
        <w:tblStyle w:val="6"/>
        <w:tblW w:w="9051" w:type="dxa"/>
        <w:tblInd w:w="93" w:type="dxa"/>
        <w:tblLayout w:type="fixed"/>
        <w:tblCellMar>
          <w:top w:w="0" w:type="dxa"/>
          <w:left w:w="108" w:type="dxa"/>
          <w:bottom w:w="0" w:type="dxa"/>
          <w:right w:w="108" w:type="dxa"/>
        </w:tblCellMar>
      </w:tblPr>
      <w:tblGrid>
        <w:gridCol w:w="1914"/>
        <w:gridCol w:w="236"/>
        <w:gridCol w:w="249"/>
        <w:gridCol w:w="2621"/>
        <w:gridCol w:w="1130"/>
        <w:gridCol w:w="1164"/>
        <w:gridCol w:w="1737"/>
      </w:tblGrid>
      <w:tr>
        <w:tblPrEx>
          <w:tblCellMar>
            <w:top w:w="0" w:type="dxa"/>
            <w:left w:w="108" w:type="dxa"/>
            <w:bottom w:w="0" w:type="dxa"/>
            <w:right w:w="108" w:type="dxa"/>
          </w:tblCellMar>
        </w:tblPrEx>
        <w:trPr>
          <w:trHeight w:val="255" w:hRule="atLeast"/>
        </w:trPr>
        <w:tc>
          <w:tcPr>
            <w:tcW w:w="1914" w:type="dxa"/>
            <w:tcBorders>
              <w:top w:val="nil"/>
              <w:left w:val="nil"/>
              <w:bottom w:val="nil"/>
              <w:right w:val="nil"/>
            </w:tcBorders>
            <w:noWrap/>
            <w:vAlign w:val="bottom"/>
          </w:tcPr>
          <w:p>
            <w:pPr>
              <w:rPr>
                <w:rFonts w:ascii="Arial" w:hAnsi="Arial" w:cs="Arial"/>
                <w:color w:val="000000"/>
                <w:sz w:val="20"/>
                <w:szCs w:val="20"/>
              </w:rPr>
            </w:pPr>
          </w:p>
        </w:tc>
        <w:tc>
          <w:tcPr>
            <w:tcW w:w="236" w:type="dxa"/>
            <w:tcBorders>
              <w:top w:val="nil"/>
              <w:left w:val="nil"/>
              <w:bottom w:val="nil"/>
              <w:right w:val="nil"/>
            </w:tcBorders>
            <w:noWrap/>
            <w:vAlign w:val="bottom"/>
          </w:tcPr>
          <w:p>
            <w:pPr>
              <w:rPr>
                <w:rFonts w:ascii="Arial" w:hAnsi="Arial" w:cs="Arial"/>
                <w:color w:val="000000"/>
                <w:sz w:val="20"/>
                <w:szCs w:val="20"/>
              </w:rPr>
            </w:pPr>
          </w:p>
        </w:tc>
        <w:tc>
          <w:tcPr>
            <w:tcW w:w="249" w:type="dxa"/>
            <w:tcBorders>
              <w:top w:val="nil"/>
              <w:left w:val="nil"/>
              <w:bottom w:val="nil"/>
              <w:right w:val="nil"/>
            </w:tcBorders>
            <w:noWrap/>
            <w:vAlign w:val="bottom"/>
          </w:tcPr>
          <w:p>
            <w:pPr>
              <w:rPr>
                <w:rFonts w:ascii="Arial" w:hAnsi="Arial" w:cs="Arial"/>
                <w:color w:val="000000"/>
                <w:sz w:val="20"/>
                <w:szCs w:val="20"/>
              </w:rPr>
            </w:pPr>
          </w:p>
        </w:tc>
        <w:tc>
          <w:tcPr>
            <w:tcW w:w="2621" w:type="dxa"/>
            <w:tcBorders>
              <w:top w:val="nil"/>
              <w:left w:val="nil"/>
              <w:bottom w:val="nil"/>
              <w:right w:val="nil"/>
            </w:tcBorders>
            <w:noWrap/>
            <w:vAlign w:val="bottom"/>
          </w:tcPr>
          <w:p>
            <w:pPr>
              <w:rPr>
                <w:rFonts w:ascii="Arial" w:hAnsi="Arial" w:cs="Arial"/>
                <w:color w:val="000000"/>
                <w:sz w:val="20"/>
                <w:szCs w:val="20"/>
              </w:rPr>
            </w:pPr>
          </w:p>
        </w:tc>
        <w:tc>
          <w:tcPr>
            <w:tcW w:w="1130" w:type="dxa"/>
            <w:tcBorders>
              <w:top w:val="nil"/>
              <w:left w:val="nil"/>
              <w:bottom w:val="nil"/>
              <w:right w:val="nil"/>
            </w:tcBorders>
            <w:noWrap/>
            <w:vAlign w:val="bottom"/>
          </w:tcPr>
          <w:p>
            <w:pPr>
              <w:rPr>
                <w:rFonts w:ascii="Arial" w:hAnsi="Arial" w:cs="Arial"/>
                <w:color w:val="000000"/>
                <w:sz w:val="20"/>
                <w:szCs w:val="20"/>
              </w:rPr>
            </w:pPr>
          </w:p>
        </w:tc>
        <w:tc>
          <w:tcPr>
            <w:tcW w:w="1164" w:type="dxa"/>
            <w:tcBorders>
              <w:top w:val="nil"/>
              <w:left w:val="nil"/>
              <w:bottom w:val="nil"/>
              <w:right w:val="nil"/>
            </w:tcBorders>
            <w:noWrap/>
            <w:vAlign w:val="bottom"/>
          </w:tcPr>
          <w:p>
            <w:pPr>
              <w:rPr>
                <w:rFonts w:ascii="Arial" w:hAnsi="Arial" w:cs="Arial"/>
                <w:color w:val="000000"/>
                <w:sz w:val="20"/>
                <w:szCs w:val="20"/>
              </w:rPr>
            </w:pPr>
          </w:p>
        </w:tc>
        <w:tc>
          <w:tcPr>
            <w:tcW w:w="1737"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255" w:hRule="atLeast"/>
        </w:trPr>
        <w:tc>
          <w:tcPr>
            <w:tcW w:w="2399" w:type="dxa"/>
            <w:gridSpan w:val="3"/>
            <w:tcBorders>
              <w:top w:val="nil"/>
              <w:left w:val="nil"/>
              <w:bottom w:val="nil"/>
              <w:right w:val="nil"/>
            </w:tcBorders>
            <w:noWrap/>
            <w:vAlign w:val="bottom"/>
          </w:tcPr>
          <w:p>
            <w:pPr>
              <w:rPr>
                <w:rFonts w:ascii="Arial" w:hAnsi="Arial" w:cs="Arial"/>
                <w:color w:val="000000"/>
                <w:sz w:val="16"/>
                <w:szCs w:val="16"/>
              </w:rPr>
            </w:pPr>
            <w:r>
              <w:rPr>
                <w:rFonts w:hint="eastAsia" w:ascii="宋体" w:hAnsi="宋体" w:cs="宋体"/>
                <w:color w:val="000000"/>
                <w:kern w:val="0"/>
                <w:sz w:val="16"/>
                <w:szCs w:val="16"/>
              </w:rPr>
              <w:t>部门：保定市满城区商务局</w:t>
            </w:r>
          </w:p>
        </w:tc>
        <w:tc>
          <w:tcPr>
            <w:tcW w:w="2621" w:type="dxa"/>
            <w:tcBorders>
              <w:top w:val="nil"/>
              <w:left w:val="nil"/>
              <w:bottom w:val="nil"/>
              <w:right w:val="nil"/>
            </w:tcBorders>
            <w:noWrap/>
            <w:vAlign w:val="bottom"/>
          </w:tcPr>
          <w:p>
            <w:pPr>
              <w:rPr>
                <w:rFonts w:ascii="Arial" w:hAnsi="Arial" w:cs="Arial"/>
                <w:color w:val="000000"/>
                <w:sz w:val="16"/>
                <w:szCs w:val="16"/>
              </w:rPr>
            </w:pPr>
          </w:p>
        </w:tc>
        <w:tc>
          <w:tcPr>
            <w:tcW w:w="1130" w:type="dxa"/>
            <w:tcBorders>
              <w:top w:val="nil"/>
              <w:left w:val="nil"/>
              <w:bottom w:val="nil"/>
              <w:right w:val="nil"/>
            </w:tcBorders>
            <w:noWrap/>
            <w:vAlign w:val="bottom"/>
          </w:tcPr>
          <w:p>
            <w:pPr>
              <w:rPr>
                <w:rFonts w:ascii="Arial" w:hAnsi="Arial" w:cs="Arial"/>
                <w:color w:val="000000"/>
                <w:sz w:val="16"/>
                <w:szCs w:val="16"/>
              </w:rPr>
            </w:pPr>
          </w:p>
        </w:tc>
        <w:tc>
          <w:tcPr>
            <w:tcW w:w="2901" w:type="dxa"/>
            <w:gridSpan w:val="2"/>
            <w:tcBorders>
              <w:top w:val="nil"/>
              <w:left w:val="nil"/>
              <w:bottom w:val="nil"/>
              <w:right w:val="nil"/>
            </w:tcBorders>
            <w:noWrap/>
            <w:vAlign w:val="bottom"/>
          </w:tcPr>
          <w:p>
            <w:pPr>
              <w:widowControl/>
              <w:jc w:val="right"/>
              <w:textAlignment w:val="bottom"/>
              <w:rPr>
                <w:rFonts w:ascii="宋体" w:hAnsi="宋体" w:cs="宋体"/>
                <w:color w:val="00000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502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项目</w:t>
            </w:r>
          </w:p>
        </w:tc>
        <w:tc>
          <w:tcPr>
            <w:tcW w:w="4031"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本年支出</w:t>
            </w:r>
          </w:p>
        </w:tc>
      </w:tr>
      <w:tr>
        <w:tblPrEx>
          <w:tblCellMar>
            <w:top w:w="0" w:type="dxa"/>
            <w:left w:w="108" w:type="dxa"/>
            <w:bottom w:w="0" w:type="dxa"/>
            <w:right w:w="108" w:type="dxa"/>
          </w:tblCellMar>
        </w:tblPrEx>
        <w:trPr>
          <w:trHeight w:val="312" w:hRule="atLeast"/>
        </w:trPr>
        <w:tc>
          <w:tcPr>
            <w:tcW w:w="2399"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功能分类科目编码</w:t>
            </w:r>
          </w:p>
        </w:tc>
        <w:tc>
          <w:tcPr>
            <w:tcW w:w="2621"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科目名称</w:t>
            </w:r>
          </w:p>
        </w:tc>
        <w:tc>
          <w:tcPr>
            <w:tcW w:w="113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小计</w:t>
            </w:r>
          </w:p>
        </w:tc>
        <w:tc>
          <w:tcPr>
            <w:tcW w:w="116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基本支出</w:t>
            </w:r>
          </w:p>
        </w:tc>
        <w:tc>
          <w:tcPr>
            <w:tcW w:w="173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项目支出</w:t>
            </w:r>
          </w:p>
        </w:tc>
      </w:tr>
      <w:tr>
        <w:tblPrEx>
          <w:tblCellMar>
            <w:top w:w="0" w:type="dxa"/>
            <w:left w:w="108" w:type="dxa"/>
            <w:bottom w:w="0" w:type="dxa"/>
            <w:right w:w="108" w:type="dxa"/>
          </w:tblCellMar>
        </w:tblPrEx>
        <w:trPr>
          <w:trHeight w:val="312" w:hRule="atLeast"/>
        </w:trPr>
        <w:tc>
          <w:tcPr>
            <w:tcW w:w="2399"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16"/>
                <w:szCs w:val="16"/>
              </w:rPr>
            </w:pPr>
          </w:p>
        </w:tc>
        <w:tc>
          <w:tcPr>
            <w:tcW w:w="2621"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c>
          <w:tcPr>
            <w:tcW w:w="113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116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173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12" w:hRule="atLeast"/>
        </w:trPr>
        <w:tc>
          <w:tcPr>
            <w:tcW w:w="2399"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16"/>
                <w:szCs w:val="16"/>
              </w:rPr>
            </w:pPr>
          </w:p>
        </w:tc>
        <w:tc>
          <w:tcPr>
            <w:tcW w:w="2621"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16"/>
                <w:szCs w:val="16"/>
              </w:rPr>
            </w:pPr>
          </w:p>
        </w:tc>
        <w:tc>
          <w:tcPr>
            <w:tcW w:w="113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116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173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5020"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栏次</w:t>
            </w:r>
          </w:p>
        </w:tc>
        <w:tc>
          <w:tcPr>
            <w:tcW w:w="113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1164"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173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r>
      <w:tr>
        <w:tblPrEx>
          <w:tblCellMar>
            <w:top w:w="0" w:type="dxa"/>
            <w:left w:w="108" w:type="dxa"/>
            <w:bottom w:w="0" w:type="dxa"/>
            <w:right w:w="108" w:type="dxa"/>
          </w:tblCellMar>
        </w:tblPrEx>
        <w:trPr>
          <w:trHeight w:val="308" w:hRule="atLeast"/>
        </w:trPr>
        <w:tc>
          <w:tcPr>
            <w:tcW w:w="5020"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合计</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5"/>
                <w:szCs w:val="15"/>
              </w:rPr>
              <w:t>454.52</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5"/>
                <w:szCs w:val="15"/>
              </w:rPr>
              <w:t>276.70</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177.82</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一般公共服务支出</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232.67</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223.69</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8.98</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20103</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政府办公厅（室）及相关机构事务</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7.96</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7.96</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2010308</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信访事务</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7.96</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7.96</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20113</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商贸事务</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224.71</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223.69</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1.06</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2011301</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行政运行</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121.64</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121.64</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2011308</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招商引资</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1.01</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1.01</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2011350</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事业运行</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11.94</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11.94</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2011399</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其他商贸事务</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90.10</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90.10</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社会保障和就业支出</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26.68</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26.68</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行政事业单位养老支出</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26.68</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26.68</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2080501</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归口管理的行政单位离退休</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2080505</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机关事业单位基本养老保险缴费支出</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21.96</w:t>
            </w:r>
          </w:p>
        </w:tc>
        <w:tc>
          <w:tcPr>
            <w:tcW w:w="1164"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5"/>
                <w:szCs w:val="15"/>
              </w:rPr>
              <w:t>21.96</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2080506</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机关事业单位职业年金缴费支出</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4.72</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4.72</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卫生健康支出</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18.18</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14.18</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4.00</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21004</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公共卫生</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4.00</w:t>
            </w:r>
          </w:p>
        </w:tc>
        <w:tc>
          <w:tcPr>
            <w:tcW w:w="1164" w:type="dxa"/>
            <w:tcBorders>
              <w:top w:val="nil"/>
              <w:left w:val="nil"/>
              <w:bottom w:val="single" w:color="000000" w:sz="4" w:space="0"/>
              <w:right w:val="single" w:color="000000" w:sz="4" w:space="0"/>
            </w:tcBorders>
            <w:noWrap/>
            <w:vAlign w:val="center"/>
          </w:tcPr>
          <w:p>
            <w:pPr>
              <w:widowControl/>
              <w:textAlignment w:val="center"/>
              <w:rPr>
                <w:rFonts w:ascii="宋体" w:hAnsi="宋体" w:cs="宋体"/>
                <w:color w:val="000000"/>
                <w:sz w:val="16"/>
                <w:szCs w:val="16"/>
              </w:rPr>
            </w:pPr>
            <w:r>
              <w:rPr>
                <w:rFonts w:hint="eastAsia" w:ascii="宋体" w:hAnsi="宋体" w:cs="宋体"/>
                <w:color w:val="000000"/>
                <w:sz w:val="15"/>
                <w:szCs w:val="15"/>
              </w:rPr>
              <w:t xml:space="preserve">   </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4.00</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2100409</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重大公共卫生服务</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4.00</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4.00</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21011</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行政事业单位医疗</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14.18</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14.18</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2101101</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行政单位医疗</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5.33</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5.33</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2101102</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事业单位医疗</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8.85</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5"/>
                <w:szCs w:val="15"/>
              </w:rPr>
              <w:t>8.85</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商业服务业等支出</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164.84</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164.84</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21602</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商业流通事务</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25.00</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25.00</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2160299</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其他商业流通事务支出</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25.00</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25.00</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21606</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涉外发展服务支出</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139.84</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139.84</w:t>
            </w: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住房保障支出</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22102</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住房改革支出</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39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2210201</w:t>
            </w:r>
          </w:p>
        </w:tc>
        <w:tc>
          <w:tcPr>
            <w:tcW w:w="262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113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11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5"/>
                <w:szCs w:val="15"/>
              </w:rPr>
            </w:pPr>
            <w:r>
              <w:rPr>
                <w:rFonts w:hint="eastAsia" w:ascii="宋体" w:hAnsi="宋体" w:cs="宋体"/>
                <w:color w:val="000000"/>
                <w:sz w:val="15"/>
                <w:szCs w:val="15"/>
              </w:rPr>
              <w:t>12.15</w:t>
            </w:r>
          </w:p>
        </w:tc>
        <w:tc>
          <w:tcPr>
            <w:tcW w:w="17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9051" w:type="dxa"/>
            <w:gridSpan w:val="7"/>
            <w:tcBorders>
              <w:top w:val="nil"/>
              <w:left w:val="nil"/>
              <w:bottom w:val="nil"/>
              <w:right w:val="nil"/>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32"/>
                <w:szCs w:val="32"/>
              </w:rPr>
              <w:t>注：本表反映部门本年度一般公共预算财政拨款支出情况。</w:t>
            </w:r>
          </w:p>
        </w:tc>
      </w:tr>
    </w:tbl>
    <w:p>
      <w:pPr>
        <w:widowControl/>
        <w:shd w:val="clear" w:color="auto" w:fill="FFFFFF"/>
        <w:spacing w:line="560" w:lineRule="atLeast"/>
        <w:jc w:val="center"/>
        <w:rPr>
          <w:rFonts w:ascii="宋体" w:hAnsi="宋体" w:cs="宋体"/>
          <w:b/>
          <w:color w:val="000000"/>
          <w:kern w:val="0"/>
          <w:sz w:val="28"/>
          <w:szCs w:val="28"/>
        </w:rPr>
      </w:pPr>
      <w:r>
        <w:rPr>
          <w:rFonts w:hint="eastAsia" w:ascii="仿宋_GB2312" w:hAnsi="仿宋" w:eastAsia="仿宋_GB2312"/>
          <w:sz w:val="28"/>
          <w:szCs w:val="28"/>
        </w:rPr>
        <w:br w:type="page"/>
      </w:r>
      <w:r>
        <w:rPr>
          <w:rFonts w:hint="eastAsia" w:ascii="宋体" w:hAnsi="宋体" w:cs="宋体"/>
          <w:b/>
          <w:color w:val="000000"/>
          <w:kern w:val="0"/>
          <w:sz w:val="28"/>
          <w:szCs w:val="28"/>
        </w:rPr>
        <w:t>一般公共预算财政拨款基本支出表</w:t>
      </w:r>
    </w:p>
    <w:tbl>
      <w:tblPr>
        <w:tblStyle w:val="6"/>
        <w:tblpPr w:leftFromText="180" w:rightFromText="180" w:vertAnchor="text" w:horzAnchor="page" w:tblpX="1315" w:tblpY="625"/>
        <w:tblOverlap w:val="never"/>
        <w:tblW w:w="10005" w:type="dxa"/>
        <w:tblInd w:w="0" w:type="dxa"/>
        <w:tblLayout w:type="fixed"/>
        <w:tblCellMar>
          <w:top w:w="0" w:type="dxa"/>
          <w:left w:w="108" w:type="dxa"/>
          <w:bottom w:w="0" w:type="dxa"/>
          <w:right w:w="108" w:type="dxa"/>
        </w:tblCellMar>
      </w:tblPr>
      <w:tblGrid>
        <w:gridCol w:w="870"/>
        <w:gridCol w:w="1650"/>
        <w:gridCol w:w="900"/>
        <w:gridCol w:w="825"/>
        <w:gridCol w:w="990"/>
        <w:gridCol w:w="840"/>
        <w:gridCol w:w="705"/>
        <w:gridCol w:w="1830"/>
        <w:gridCol w:w="1395"/>
      </w:tblGrid>
      <w:tr>
        <w:tblPrEx>
          <w:tblCellMar>
            <w:top w:w="0" w:type="dxa"/>
            <w:left w:w="108" w:type="dxa"/>
            <w:bottom w:w="0" w:type="dxa"/>
            <w:right w:w="108" w:type="dxa"/>
          </w:tblCellMar>
        </w:tblPrEx>
        <w:trPr>
          <w:trHeight w:val="480" w:hRule="atLeast"/>
        </w:trPr>
        <w:tc>
          <w:tcPr>
            <w:tcW w:w="870" w:type="dxa"/>
            <w:tcBorders>
              <w:top w:val="nil"/>
              <w:left w:val="nil"/>
              <w:bottom w:val="nil"/>
              <w:right w:val="nil"/>
            </w:tcBorders>
            <w:noWrap/>
            <w:vAlign w:val="bottom"/>
          </w:tcPr>
          <w:p>
            <w:pPr>
              <w:rPr>
                <w:rFonts w:ascii="Arial" w:hAnsi="Arial" w:cs="Arial"/>
                <w:color w:val="000000"/>
                <w:sz w:val="16"/>
                <w:szCs w:val="16"/>
              </w:rPr>
            </w:pPr>
          </w:p>
        </w:tc>
        <w:tc>
          <w:tcPr>
            <w:tcW w:w="1650" w:type="dxa"/>
            <w:tcBorders>
              <w:top w:val="nil"/>
              <w:left w:val="nil"/>
              <w:bottom w:val="nil"/>
              <w:right w:val="nil"/>
            </w:tcBorders>
            <w:noWrap/>
            <w:vAlign w:val="bottom"/>
          </w:tcPr>
          <w:p>
            <w:pPr>
              <w:rPr>
                <w:rFonts w:ascii="Arial" w:hAnsi="Arial" w:cs="Arial"/>
                <w:color w:val="000000"/>
                <w:sz w:val="16"/>
                <w:szCs w:val="16"/>
              </w:rPr>
            </w:pPr>
          </w:p>
        </w:tc>
        <w:tc>
          <w:tcPr>
            <w:tcW w:w="900" w:type="dxa"/>
            <w:tcBorders>
              <w:top w:val="nil"/>
              <w:left w:val="nil"/>
              <w:bottom w:val="nil"/>
              <w:right w:val="nil"/>
            </w:tcBorders>
            <w:noWrap/>
            <w:vAlign w:val="bottom"/>
          </w:tcPr>
          <w:p>
            <w:pPr>
              <w:rPr>
                <w:rFonts w:ascii="Arial" w:hAnsi="Arial" w:cs="Arial"/>
                <w:color w:val="000000"/>
                <w:sz w:val="16"/>
                <w:szCs w:val="16"/>
              </w:rPr>
            </w:pPr>
          </w:p>
        </w:tc>
        <w:tc>
          <w:tcPr>
            <w:tcW w:w="825" w:type="dxa"/>
            <w:tcBorders>
              <w:top w:val="nil"/>
              <w:left w:val="nil"/>
              <w:bottom w:val="nil"/>
              <w:right w:val="nil"/>
            </w:tcBorders>
            <w:noWrap/>
            <w:vAlign w:val="bottom"/>
          </w:tcPr>
          <w:p>
            <w:pPr>
              <w:rPr>
                <w:rFonts w:ascii="Arial" w:hAnsi="Arial" w:cs="Arial"/>
                <w:color w:val="000000"/>
                <w:sz w:val="16"/>
                <w:szCs w:val="16"/>
              </w:rPr>
            </w:pPr>
          </w:p>
        </w:tc>
        <w:tc>
          <w:tcPr>
            <w:tcW w:w="990" w:type="dxa"/>
            <w:tcBorders>
              <w:top w:val="nil"/>
              <w:left w:val="nil"/>
              <w:bottom w:val="nil"/>
              <w:right w:val="nil"/>
            </w:tcBorders>
            <w:noWrap/>
            <w:vAlign w:val="bottom"/>
          </w:tcPr>
          <w:p>
            <w:pPr>
              <w:rPr>
                <w:rFonts w:ascii="Arial" w:hAnsi="Arial" w:cs="Arial"/>
                <w:color w:val="000000"/>
                <w:sz w:val="16"/>
                <w:szCs w:val="16"/>
              </w:rPr>
            </w:pPr>
          </w:p>
        </w:tc>
        <w:tc>
          <w:tcPr>
            <w:tcW w:w="840" w:type="dxa"/>
            <w:tcBorders>
              <w:top w:val="nil"/>
              <w:left w:val="nil"/>
              <w:bottom w:val="nil"/>
              <w:right w:val="nil"/>
            </w:tcBorders>
            <w:noWrap/>
            <w:vAlign w:val="bottom"/>
          </w:tcPr>
          <w:p>
            <w:pPr>
              <w:rPr>
                <w:rFonts w:ascii="Arial" w:hAnsi="Arial" w:cs="Arial"/>
                <w:color w:val="000000"/>
                <w:sz w:val="16"/>
                <w:szCs w:val="16"/>
              </w:rPr>
            </w:pPr>
          </w:p>
        </w:tc>
        <w:tc>
          <w:tcPr>
            <w:tcW w:w="3930" w:type="dxa"/>
            <w:gridSpan w:val="3"/>
            <w:tcBorders>
              <w:top w:val="nil"/>
              <w:left w:val="nil"/>
              <w:bottom w:val="nil"/>
              <w:right w:val="nil"/>
            </w:tcBorders>
            <w:noWrap/>
            <w:vAlign w:val="bottom"/>
          </w:tcPr>
          <w:p>
            <w:pPr>
              <w:widowControl/>
              <w:jc w:val="right"/>
              <w:textAlignment w:val="bottom"/>
              <w:rPr>
                <w:rFonts w:ascii="宋体" w:hAnsi="宋体" w:cs="宋体"/>
                <w:color w:val="000000"/>
                <w:sz w:val="16"/>
                <w:szCs w:val="16"/>
              </w:rPr>
            </w:pPr>
            <w:r>
              <w:rPr>
                <w:rFonts w:hint="eastAsia" w:ascii="宋体" w:hAnsi="宋体" w:cs="宋体"/>
                <w:color w:val="000000"/>
                <w:kern w:val="0"/>
                <w:sz w:val="16"/>
                <w:szCs w:val="16"/>
              </w:rPr>
              <w:t>公开06表</w:t>
            </w:r>
          </w:p>
        </w:tc>
      </w:tr>
      <w:tr>
        <w:tblPrEx>
          <w:tblCellMar>
            <w:top w:w="0" w:type="dxa"/>
            <w:left w:w="108" w:type="dxa"/>
            <w:bottom w:w="0" w:type="dxa"/>
            <w:right w:w="108" w:type="dxa"/>
          </w:tblCellMar>
        </w:tblPrEx>
        <w:trPr>
          <w:trHeight w:val="225" w:hRule="atLeast"/>
        </w:trPr>
        <w:tc>
          <w:tcPr>
            <w:tcW w:w="3420" w:type="dxa"/>
            <w:gridSpan w:val="3"/>
            <w:tcBorders>
              <w:top w:val="nil"/>
              <w:left w:val="nil"/>
              <w:bottom w:val="nil"/>
              <w:right w:val="nil"/>
            </w:tcBorders>
            <w:noWrap/>
            <w:vAlign w:val="bottom"/>
          </w:tcPr>
          <w:p>
            <w:pPr>
              <w:rPr>
                <w:rFonts w:ascii="Arial" w:hAnsi="Arial" w:cs="Arial"/>
                <w:color w:val="000000"/>
                <w:sz w:val="16"/>
                <w:szCs w:val="16"/>
              </w:rPr>
            </w:pPr>
            <w:r>
              <w:rPr>
                <w:rFonts w:hint="eastAsia" w:ascii="宋体" w:hAnsi="宋体" w:cs="宋体"/>
                <w:color w:val="000000"/>
                <w:kern w:val="0"/>
                <w:sz w:val="16"/>
                <w:szCs w:val="16"/>
              </w:rPr>
              <w:t>部门：保定市满城区商务局</w:t>
            </w:r>
          </w:p>
        </w:tc>
        <w:tc>
          <w:tcPr>
            <w:tcW w:w="825" w:type="dxa"/>
            <w:tcBorders>
              <w:top w:val="nil"/>
              <w:left w:val="nil"/>
              <w:bottom w:val="nil"/>
              <w:right w:val="nil"/>
            </w:tcBorders>
            <w:noWrap/>
            <w:vAlign w:val="bottom"/>
          </w:tcPr>
          <w:p>
            <w:pPr>
              <w:rPr>
                <w:rFonts w:ascii="Arial" w:hAnsi="Arial" w:cs="Arial"/>
                <w:color w:val="000000"/>
                <w:sz w:val="16"/>
                <w:szCs w:val="16"/>
              </w:rPr>
            </w:pPr>
          </w:p>
        </w:tc>
        <w:tc>
          <w:tcPr>
            <w:tcW w:w="990" w:type="dxa"/>
            <w:tcBorders>
              <w:top w:val="nil"/>
              <w:left w:val="nil"/>
              <w:bottom w:val="nil"/>
              <w:right w:val="nil"/>
            </w:tcBorders>
            <w:noWrap/>
            <w:vAlign w:val="bottom"/>
          </w:tcPr>
          <w:p>
            <w:pPr>
              <w:rPr>
                <w:rFonts w:ascii="Arial" w:hAnsi="Arial" w:cs="Arial"/>
                <w:color w:val="000000"/>
                <w:sz w:val="16"/>
                <w:szCs w:val="16"/>
              </w:rPr>
            </w:pPr>
          </w:p>
        </w:tc>
        <w:tc>
          <w:tcPr>
            <w:tcW w:w="840" w:type="dxa"/>
            <w:tcBorders>
              <w:top w:val="nil"/>
              <w:left w:val="nil"/>
              <w:bottom w:val="nil"/>
              <w:right w:val="nil"/>
            </w:tcBorders>
            <w:noWrap/>
            <w:vAlign w:val="bottom"/>
          </w:tcPr>
          <w:p>
            <w:pPr>
              <w:rPr>
                <w:rFonts w:ascii="Arial" w:hAnsi="Arial" w:cs="Arial"/>
                <w:color w:val="000000"/>
                <w:sz w:val="16"/>
                <w:szCs w:val="16"/>
              </w:rPr>
            </w:pPr>
          </w:p>
        </w:tc>
        <w:tc>
          <w:tcPr>
            <w:tcW w:w="3930" w:type="dxa"/>
            <w:gridSpan w:val="3"/>
            <w:tcBorders>
              <w:top w:val="nil"/>
              <w:left w:val="nil"/>
              <w:bottom w:val="nil"/>
              <w:right w:val="nil"/>
            </w:tcBorders>
            <w:noWrap/>
            <w:vAlign w:val="bottom"/>
          </w:tcPr>
          <w:p>
            <w:pPr>
              <w:widowControl/>
              <w:jc w:val="right"/>
              <w:textAlignment w:val="bottom"/>
              <w:rPr>
                <w:rFonts w:ascii="宋体" w:hAnsi="宋体" w:cs="宋体"/>
                <w:color w:val="00000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34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w:t>
            </w:r>
          </w:p>
        </w:tc>
        <w:tc>
          <w:tcPr>
            <w:tcW w:w="6585"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w:t>
            </w:r>
          </w:p>
        </w:tc>
      </w:tr>
      <w:tr>
        <w:tblPrEx>
          <w:tblCellMar>
            <w:top w:w="0" w:type="dxa"/>
            <w:left w:w="108" w:type="dxa"/>
            <w:bottom w:w="0" w:type="dxa"/>
            <w:right w:w="108" w:type="dxa"/>
          </w:tblCellMar>
        </w:tblPrEx>
        <w:trPr>
          <w:trHeight w:val="312" w:hRule="atLeast"/>
        </w:trPr>
        <w:tc>
          <w:tcPr>
            <w:tcW w:w="87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科目编码</w:t>
            </w:r>
          </w:p>
        </w:tc>
        <w:tc>
          <w:tcPr>
            <w:tcW w:w="16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科目名称</w:t>
            </w:r>
          </w:p>
        </w:tc>
        <w:tc>
          <w:tcPr>
            <w:tcW w:w="9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决算数</w:t>
            </w:r>
          </w:p>
        </w:tc>
        <w:tc>
          <w:tcPr>
            <w:tcW w:w="8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科目编码</w:t>
            </w:r>
          </w:p>
        </w:tc>
        <w:tc>
          <w:tcPr>
            <w:tcW w:w="99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科目名称</w:t>
            </w:r>
          </w:p>
        </w:tc>
        <w:tc>
          <w:tcPr>
            <w:tcW w:w="8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决算数</w:t>
            </w:r>
          </w:p>
        </w:tc>
        <w:tc>
          <w:tcPr>
            <w:tcW w:w="70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科目编码</w:t>
            </w:r>
          </w:p>
        </w:tc>
        <w:tc>
          <w:tcPr>
            <w:tcW w:w="183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科目名称</w:t>
            </w:r>
          </w:p>
        </w:tc>
        <w:tc>
          <w:tcPr>
            <w:tcW w:w="139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决算数</w:t>
            </w:r>
          </w:p>
        </w:tc>
      </w:tr>
      <w:tr>
        <w:tblPrEx>
          <w:tblCellMar>
            <w:top w:w="0" w:type="dxa"/>
            <w:left w:w="108" w:type="dxa"/>
            <w:bottom w:w="0" w:type="dxa"/>
            <w:right w:w="108" w:type="dxa"/>
          </w:tblCellMar>
        </w:tblPrEx>
        <w:trPr>
          <w:trHeight w:val="312" w:hRule="atLeast"/>
        </w:trPr>
        <w:tc>
          <w:tcPr>
            <w:tcW w:w="87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16"/>
                <w:szCs w:val="16"/>
              </w:rPr>
            </w:pPr>
          </w:p>
        </w:tc>
        <w:tc>
          <w:tcPr>
            <w:tcW w:w="16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9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8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99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8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70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183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c>
          <w:tcPr>
            <w:tcW w:w="13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206.7</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41.53</w:t>
            </w: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91.79</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1.96</w:t>
            </w: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33.79</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7.22</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13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0.01</w:t>
            </w: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9.17</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0.44</w:t>
            </w: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13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21.96</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1.48</w:t>
            </w: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4.73</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4.49</w:t>
            </w: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14.18</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13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r>
      <w:tr>
        <w:tblPrEx>
          <w:tblCellMar>
            <w:top w:w="0" w:type="dxa"/>
            <w:left w:w="108" w:type="dxa"/>
            <w:bottom w:w="0" w:type="dxa"/>
            <w:right w:w="108" w:type="dxa"/>
          </w:tblCellMar>
        </w:tblPrEx>
        <w:trPr>
          <w:trHeight w:val="90"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11.71</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12.15</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519"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28.47</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15.50</w:t>
            </w:r>
          </w:p>
        </w:tc>
        <w:tc>
          <w:tcPr>
            <w:tcW w:w="825" w:type="dxa"/>
            <w:tcBorders>
              <w:top w:val="nil"/>
              <w:left w:val="nil"/>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12.30</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bl>
    <w:p>
      <w:pPr>
        <w:pStyle w:val="10"/>
        <w:rPr>
          <w:rFonts w:ascii="仿宋_GB2312" w:hAnsi="仿宋" w:eastAsia="仿宋_GB2312"/>
          <w:sz w:val="28"/>
          <w:szCs w:val="28"/>
          <w:lang w:eastAsia="zh-CN"/>
        </w:rPr>
      </w:pPr>
      <w:r>
        <w:rPr>
          <w:rFonts w:hint="eastAsia" w:ascii="仿宋_GB2312" w:hAnsi="仿宋" w:eastAsia="仿宋_GB2312"/>
          <w:sz w:val="28"/>
          <w:szCs w:val="28"/>
          <w:lang w:eastAsia="zh-CN"/>
        </w:rPr>
        <w:br w:type="page"/>
      </w:r>
    </w:p>
    <w:tbl>
      <w:tblPr>
        <w:tblStyle w:val="6"/>
        <w:tblpPr w:leftFromText="180" w:rightFromText="180" w:vertAnchor="text" w:horzAnchor="page" w:tblpX="1315" w:tblpY="625"/>
        <w:tblOverlap w:val="never"/>
        <w:tblW w:w="10005" w:type="dxa"/>
        <w:tblInd w:w="0" w:type="dxa"/>
        <w:tblLayout w:type="fixed"/>
        <w:tblCellMar>
          <w:top w:w="0" w:type="dxa"/>
          <w:left w:w="108" w:type="dxa"/>
          <w:bottom w:w="0" w:type="dxa"/>
          <w:right w:w="108" w:type="dxa"/>
        </w:tblCellMar>
      </w:tblPr>
      <w:tblGrid>
        <w:gridCol w:w="870"/>
        <w:gridCol w:w="1650"/>
        <w:gridCol w:w="900"/>
        <w:gridCol w:w="825"/>
        <w:gridCol w:w="990"/>
        <w:gridCol w:w="840"/>
        <w:gridCol w:w="705"/>
        <w:gridCol w:w="1830"/>
        <w:gridCol w:w="1395"/>
      </w:tblGrid>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20.11</w:t>
            </w: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0.67</w:t>
            </w: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4.99</w:t>
            </w:r>
          </w:p>
        </w:tc>
        <w:tc>
          <w:tcPr>
            <w:tcW w:w="70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83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6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r>
              <w:rPr>
                <w:rFonts w:hint="eastAsia" w:ascii="宋体" w:hAnsi="宋体" w:cs="宋体"/>
                <w:color w:val="000000"/>
                <w:sz w:val="16"/>
                <w:szCs w:val="16"/>
              </w:rPr>
              <w:t>6.29</w:t>
            </w:r>
          </w:p>
        </w:tc>
        <w:tc>
          <w:tcPr>
            <w:tcW w:w="705" w:type="dxa"/>
            <w:tcBorders>
              <w:top w:val="nil"/>
              <w:left w:val="nil"/>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1830" w:type="dxa"/>
            <w:tcBorders>
              <w:top w:val="nil"/>
              <w:left w:val="nil"/>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87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1650" w:type="dxa"/>
            <w:tcBorders>
              <w:top w:val="nil"/>
              <w:left w:val="nil"/>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705" w:type="dxa"/>
            <w:tcBorders>
              <w:top w:val="nil"/>
              <w:left w:val="nil"/>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1830" w:type="dxa"/>
            <w:tcBorders>
              <w:top w:val="nil"/>
              <w:left w:val="nil"/>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726" w:hRule="atLeast"/>
        </w:trPr>
        <w:tc>
          <w:tcPr>
            <w:tcW w:w="870"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1650" w:type="dxa"/>
            <w:tcBorders>
              <w:top w:val="nil"/>
              <w:left w:val="nil"/>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8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9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8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1.76</w:t>
            </w:r>
          </w:p>
        </w:tc>
        <w:tc>
          <w:tcPr>
            <w:tcW w:w="705" w:type="dxa"/>
            <w:tcBorders>
              <w:top w:val="nil"/>
              <w:left w:val="nil"/>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1830" w:type="dxa"/>
            <w:tcBorders>
              <w:top w:val="nil"/>
              <w:left w:val="nil"/>
              <w:bottom w:val="single" w:color="000000" w:sz="4" w:space="0"/>
              <w:right w:val="single" w:color="000000" w:sz="4" w:space="0"/>
            </w:tcBorders>
            <w:noWrap/>
            <w:vAlign w:val="center"/>
          </w:tcPr>
          <w:p>
            <w:pPr>
              <w:jc w:val="left"/>
              <w:rPr>
                <w:rFonts w:ascii="宋体" w:hAnsi="宋体" w:cs="宋体"/>
                <w:color w:val="000000"/>
                <w:sz w:val="16"/>
                <w:szCs w:val="16"/>
              </w:rPr>
            </w:pPr>
          </w:p>
        </w:tc>
        <w:tc>
          <w:tcPr>
            <w:tcW w:w="13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trHeight w:val="308" w:hRule="atLeast"/>
        </w:trPr>
        <w:tc>
          <w:tcPr>
            <w:tcW w:w="2520"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90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235.17</w:t>
            </w:r>
          </w:p>
        </w:tc>
        <w:tc>
          <w:tcPr>
            <w:tcW w:w="5190" w:type="dxa"/>
            <w:gridSpan w:val="5"/>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13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41.53</w:t>
            </w:r>
          </w:p>
        </w:tc>
      </w:tr>
      <w:tr>
        <w:tblPrEx>
          <w:tblCellMar>
            <w:top w:w="0" w:type="dxa"/>
            <w:left w:w="108" w:type="dxa"/>
            <w:bottom w:w="0" w:type="dxa"/>
            <w:right w:w="108" w:type="dxa"/>
          </w:tblCellMar>
        </w:tblPrEx>
        <w:trPr>
          <w:trHeight w:val="308" w:hRule="atLeast"/>
        </w:trPr>
        <w:tc>
          <w:tcPr>
            <w:tcW w:w="10005" w:type="dxa"/>
            <w:gridSpan w:val="9"/>
            <w:tcBorders>
              <w:top w:val="nil"/>
              <w:left w:val="nil"/>
              <w:bottom w:val="nil"/>
              <w:right w:val="nil"/>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28"/>
                <w:szCs w:val="28"/>
              </w:rPr>
              <w:t>注：本表反映部门本年度一般公共预算财政拨款基本支出明细情况。</w:t>
            </w:r>
          </w:p>
        </w:tc>
      </w:tr>
    </w:tbl>
    <w:p>
      <w:pPr>
        <w:widowControl/>
        <w:shd w:val="clear" w:color="auto" w:fill="FFFFFF"/>
        <w:spacing w:line="560" w:lineRule="atLeast"/>
        <w:rPr>
          <w:rFonts w:ascii="宋体" w:hAnsi="宋体" w:cs="宋体"/>
          <w:b/>
          <w:color w:val="000000"/>
          <w:kern w:val="0"/>
          <w:sz w:val="28"/>
          <w:szCs w:val="28"/>
        </w:rPr>
      </w:pPr>
    </w:p>
    <w:p>
      <w:pPr>
        <w:widowControl/>
        <w:shd w:val="clear" w:color="auto" w:fill="FFFFFF"/>
        <w:spacing w:line="560" w:lineRule="atLeast"/>
        <w:jc w:val="center"/>
        <w:rPr>
          <w:rFonts w:ascii="宋体" w:hAnsi="宋体" w:cs="宋体"/>
          <w:b/>
          <w:color w:val="000000"/>
          <w:kern w:val="0"/>
          <w:sz w:val="28"/>
          <w:szCs w:val="28"/>
        </w:rPr>
      </w:pPr>
      <w:r>
        <w:rPr>
          <w:rFonts w:hint="eastAsia" w:ascii="宋体" w:hAnsi="宋体" w:cs="宋体"/>
          <w:b/>
          <w:color w:val="000000"/>
          <w:kern w:val="0"/>
          <w:sz w:val="28"/>
          <w:szCs w:val="28"/>
        </w:rPr>
        <w:t>一般公共预算财政拨款“三公”经费支出决算表</w:t>
      </w:r>
    </w:p>
    <w:tbl>
      <w:tblPr>
        <w:tblStyle w:val="6"/>
        <w:tblW w:w="9390" w:type="dxa"/>
        <w:tblInd w:w="-384" w:type="dxa"/>
        <w:tblLayout w:type="fixed"/>
        <w:tblCellMar>
          <w:top w:w="0" w:type="dxa"/>
          <w:left w:w="0" w:type="dxa"/>
          <w:bottom w:w="0" w:type="dxa"/>
          <w:right w:w="0" w:type="dxa"/>
        </w:tblCellMar>
      </w:tblPr>
      <w:tblGrid>
        <w:gridCol w:w="1794"/>
        <w:gridCol w:w="1319"/>
        <w:gridCol w:w="91"/>
        <w:gridCol w:w="1410"/>
        <w:gridCol w:w="1410"/>
        <w:gridCol w:w="1410"/>
        <w:gridCol w:w="1956"/>
      </w:tblGrid>
      <w:tr>
        <w:tblPrEx>
          <w:tblCellMar>
            <w:top w:w="0" w:type="dxa"/>
            <w:left w:w="0" w:type="dxa"/>
            <w:bottom w:w="0" w:type="dxa"/>
            <w:right w:w="0" w:type="dxa"/>
          </w:tblCellMar>
        </w:tblPrEx>
        <w:trPr>
          <w:trHeight w:val="308" w:hRule="atLeast"/>
        </w:trPr>
        <w:tc>
          <w:tcPr>
            <w:tcW w:w="9390" w:type="dxa"/>
            <w:gridSpan w:val="7"/>
            <w:tcBorders>
              <w:top w:val="nil"/>
              <w:left w:val="nil"/>
              <w:bottom w:val="nil"/>
              <w:right w:val="nil"/>
            </w:tcBorders>
            <w:tcMar>
              <w:top w:w="15" w:type="dxa"/>
              <w:left w:w="15" w:type="dxa"/>
              <w:right w:w="15" w:type="dxa"/>
            </w:tcMar>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公开07表</w:t>
            </w:r>
          </w:p>
        </w:tc>
      </w:tr>
      <w:tr>
        <w:tblPrEx>
          <w:tblCellMar>
            <w:top w:w="0" w:type="dxa"/>
            <w:left w:w="0" w:type="dxa"/>
            <w:bottom w:w="0" w:type="dxa"/>
            <w:right w:w="0" w:type="dxa"/>
          </w:tblCellMar>
        </w:tblPrEx>
        <w:trPr>
          <w:trHeight w:val="308" w:hRule="atLeast"/>
        </w:trPr>
        <w:tc>
          <w:tcPr>
            <w:tcW w:w="9390" w:type="dxa"/>
            <w:gridSpan w:val="7"/>
            <w:tcBorders>
              <w:top w:val="nil"/>
              <w:left w:val="nil"/>
              <w:bottom w:val="single" w:color="auto" w:sz="4" w:space="0"/>
              <w:right w:val="nil"/>
            </w:tcBorders>
            <w:tcMar>
              <w:top w:w="15" w:type="dxa"/>
              <w:left w:w="15" w:type="dxa"/>
              <w:right w:w="15" w:type="dxa"/>
            </w:tcMar>
            <w:vAlign w:val="center"/>
          </w:tcPr>
          <w:p>
            <w:pPr>
              <w:widowControl/>
              <w:textAlignment w:val="center"/>
              <w:rPr>
                <w:rFonts w:ascii="宋体" w:hAnsi="宋体" w:cs="宋体"/>
                <w:color w:val="000000"/>
                <w:kern w:val="0"/>
                <w:sz w:val="22"/>
                <w:szCs w:val="22"/>
              </w:rPr>
            </w:pPr>
            <w:r>
              <w:rPr>
                <w:rFonts w:hint="eastAsia" w:ascii="宋体" w:hAnsi="宋体" w:cs="宋体"/>
                <w:color w:val="000000"/>
                <w:kern w:val="0"/>
                <w:sz w:val="22"/>
                <w:szCs w:val="22"/>
              </w:rPr>
              <w:t>部门：保定市满城区商务局                                            金额单位：万元</w:t>
            </w:r>
          </w:p>
        </w:tc>
      </w:tr>
      <w:tr>
        <w:tblPrEx>
          <w:tblCellMar>
            <w:top w:w="0" w:type="dxa"/>
            <w:left w:w="0" w:type="dxa"/>
            <w:bottom w:w="0" w:type="dxa"/>
            <w:right w:w="0" w:type="dxa"/>
          </w:tblCellMar>
        </w:tblPrEx>
        <w:trPr>
          <w:trHeight w:val="308" w:hRule="atLeast"/>
        </w:trPr>
        <w:tc>
          <w:tcPr>
            <w:tcW w:w="9390"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预算数</w:t>
            </w:r>
          </w:p>
        </w:tc>
      </w:tr>
      <w:tr>
        <w:tblPrEx>
          <w:tblCellMar>
            <w:top w:w="0" w:type="dxa"/>
            <w:left w:w="0" w:type="dxa"/>
            <w:bottom w:w="0" w:type="dxa"/>
            <w:right w:w="0" w:type="dxa"/>
          </w:tblCellMar>
        </w:tblPrEx>
        <w:trPr>
          <w:trHeight w:val="308" w:hRule="atLeast"/>
        </w:trPr>
        <w:tc>
          <w:tcPr>
            <w:tcW w:w="179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31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因公出国（境）费</w:t>
            </w:r>
          </w:p>
        </w:tc>
        <w:tc>
          <w:tcPr>
            <w:tcW w:w="43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公务用车购置及运行费</w:t>
            </w:r>
          </w:p>
        </w:tc>
        <w:tc>
          <w:tcPr>
            <w:tcW w:w="195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公务接待费</w:t>
            </w:r>
          </w:p>
        </w:tc>
      </w:tr>
      <w:tr>
        <w:tblPrEx>
          <w:tblCellMar>
            <w:top w:w="0" w:type="dxa"/>
            <w:left w:w="0" w:type="dxa"/>
            <w:bottom w:w="0" w:type="dxa"/>
            <w:right w:w="0" w:type="dxa"/>
          </w:tblCellMar>
        </w:tblPrEx>
        <w:trPr>
          <w:trHeight w:val="615" w:hRule="atLeast"/>
        </w:trPr>
        <w:tc>
          <w:tcPr>
            <w:tcW w:w="17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31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5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公务用车购置费</w:t>
            </w: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公务用车运行费</w:t>
            </w:r>
          </w:p>
        </w:tc>
        <w:tc>
          <w:tcPr>
            <w:tcW w:w="195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17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3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50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9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r>
      <w:tr>
        <w:tblPrEx>
          <w:tblCellMar>
            <w:top w:w="0" w:type="dxa"/>
            <w:left w:w="0" w:type="dxa"/>
            <w:bottom w:w="0" w:type="dxa"/>
            <w:right w:w="0" w:type="dxa"/>
          </w:tblCellMar>
        </w:tblPrEx>
        <w:trPr>
          <w:trHeight w:val="308" w:hRule="atLeast"/>
        </w:trPr>
        <w:tc>
          <w:tcPr>
            <w:tcW w:w="179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5.00</w:t>
            </w:r>
          </w:p>
        </w:tc>
        <w:tc>
          <w:tcPr>
            <w:tcW w:w="131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50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5.00</w:t>
            </w:r>
          </w:p>
        </w:tc>
        <w:tc>
          <w:tcPr>
            <w:tcW w:w="14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4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5.00</w:t>
            </w:r>
          </w:p>
        </w:tc>
        <w:tc>
          <w:tcPr>
            <w:tcW w:w="1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9390"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决算数</w:t>
            </w:r>
          </w:p>
        </w:tc>
      </w:tr>
      <w:tr>
        <w:tblPrEx>
          <w:tblCellMar>
            <w:top w:w="0" w:type="dxa"/>
            <w:left w:w="0" w:type="dxa"/>
            <w:bottom w:w="0" w:type="dxa"/>
            <w:right w:w="0" w:type="dxa"/>
          </w:tblCellMar>
        </w:tblPrEx>
        <w:trPr>
          <w:trHeight w:val="308" w:hRule="atLeast"/>
        </w:trPr>
        <w:tc>
          <w:tcPr>
            <w:tcW w:w="179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410"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因公出国（境）费</w:t>
            </w:r>
          </w:p>
        </w:tc>
        <w:tc>
          <w:tcPr>
            <w:tcW w:w="423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公务用车购置及运行费</w:t>
            </w:r>
          </w:p>
        </w:tc>
        <w:tc>
          <w:tcPr>
            <w:tcW w:w="195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公务接待费</w:t>
            </w:r>
          </w:p>
        </w:tc>
      </w:tr>
      <w:tr>
        <w:tblPrEx>
          <w:tblCellMar>
            <w:top w:w="0" w:type="dxa"/>
            <w:left w:w="0" w:type="dxa"/>
            <w:bottom w:w="0" w:type="dxa"/>
            <w:right w:w="0" w:type="dxa"/>
          </w:tblCellMar>
        </w:tblPrEx>
        <w:trPr>
          <w:trHeight w:val="615" w:hRule="atLeast"/>
        </w:trPr>
        <w:tc>
          <w:tcPr>
            <w:tcW w:w="17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41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公务用车购置费</w:t>
            </w: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公务用车运行费</w:t>
            </w:r>
          </w:p>
        </w:tc>
        <w:tc>
          <w:tcPr>
            <w:tcW w:w="195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17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41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9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r>
      <w:tr>
        <w:tblPrEx>
          <w:tblCellMar>
            <w:top w:w="0" w:type="dxa"/>
            <w:left w:w="0" w:type="dxa"/>
            <w:bottom w:w="0" w:type="dxa"/>
            <w:right w:w="0" w:type="dxa"/>
          </w:tblCellMar>
        </w:tblPrEx>
        <w:trPr>
          <w:trHeight w:val="308" w:hRule="atLeast"/>
        </w:trPr>
        <w:tc>
          <w:tcPr>
            <w:tcW w:w="179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4.99</w:t>
            </w:r>
          </w:p>
        </w:tc>
        <w:tc>
          <w:tcPr>
            <w:tcW w:w="141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4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4.99</w:t>
            </w:r>
          </w:p>
        </w:tc>
        <w:tc>
          <w:tcPr>
            <w:tcW w:w="14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4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4.99</w:t>
            </w:r>
          </w:p>
        </w:tc>
        <w:tc>
          <w:tcPr>
            <w:tcW w:w="19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r>
    </w:tbl>
    <w:p>
      <w:pPr>
        <w:pStyle w:val="10"/>
        <w:rPr>
          <w:rFonts w:cs="宋体"/>
          <w:color w:val="000000"/>
          <w:sz w:val="22"/>
          <w:szCs w:val="22"/>
          <w:lang w:eastAsia="zh-CN"/>
        </w:rPr>
      </w:pPr>
      <w:r>
        <w:rPr>
          <w:rFonts w:hint="eastAsia" w:cs="宋体"/>
          <w:color w:val="000000"/>
          <w:sz w:val="22"/>
          <w:szCs w:val="22"/>
          <w:lang w:eastAsia="zh-CN"/>
        </w:rPr>
        <w:t>注：本表反映部门本年度“三公”经费支出预决算情况。其中：预算书为“三公”经费年初预算数，决算数市包括当年一般公共预算财政拨款和以前年度结转资金安排的实际支出。</w:t>
      </w:r>
    </w:p>
    <w:p>
      <w:pPr>
        <w:widowControl/>
        <w:shd w:val="clear" w:color="auto" w:fill="FFFFFF"/>
        <w:spacing w:line="560" w:lineRule="atLeast"/>
        <w:jc w:val="center"/>
        <w:rPr>
          <w:rFonts w:cs="宋体"/>
          <w:color w:val="000000"/>
          <w:sz w:val="32"/>
          <w:szCs w:val="32"/>
        </w:rPr>
      </w:pPr>
      <w:r>
        <w:rPr>
          <w:rFonts w:hint="eastAsia" w:ascii="宋体" w:hAnsi="宋体" w:cs="宋体"/>
          <w:color w:val="000000"/>
          <w:sz w:val="22"/>
          <w:szCs w:val="22"/>
        </w:rPr>
        <w:br w:type="page"/>
      </w:r>
    </w:p>
    <w:tbl>
      <w:tblPr>
        <w:tblStyle w:val="6"/>
        <w:tblW w:w="9510" w:type="dxa"/>
        <w:jc w:val="center"/>
        <w:tblLayout w:type="autofit"/>
        <w:tblCellMar>
          <w:top w:w="0" w:type="dxa"/>
          <w:left w:w="0" w:type="dxa"/>
          <w:bottom w:w="0" w:type="dxa"/>
          <w:right w:w="0" w:type="dxa"/>
        </w:tblCellMar>
      </w:tblPr>
      <w:tblGrid>
        <w:gridCol w:w="2430"/>
        <w:gridCol w:w="36"/>
        <w:gridCol w:w="36"/>
        <w:gridCol w:w="910"/>
        <w:gridCol w:w="1017"/>
        <w:gridCol w:w="1017"/>
        <w:gridCol w:w="1017"/>
        <w:gridCol w:w="1017"/>
        <w:gridCol w:w="1017"/>
        <w:gridCol w:w="1017"/>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08</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部门：保定市满城区商务局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ascii="宋体" w:hAnsi="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ascii="宋体" w:hAnsi="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ascii="宋体" w:hAnsi="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ascii="宋体" w:hAnsi="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ascii="宋体" w:hAnsi="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ascii="宋体" w:hAnsi="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r>
    </w:tbl>
    <w:p>
      <w:pPr>
        <w:widowControl/>
        <w:jc w:val="left"/>
        <w:textAlignment w:val="center"/>
        <w:rPr>
          <w:rFonts w:ascii="宋体" w:hAnsi="宋体" w:cs="宋体"/>
          <w:color w:val="000000"/>
          <w:kern w:val="0"/>
          <w:sz w:val="22"/>
        </w:rPr>
      </w:pPr>
      <w:r>
        <w:rPr>
          <w:rFonts w:hint="eastAsia" w:ascii="宋体" w:hAnsi="宋体" w:cs="宋体"/>
          <w:color w:val="000000"/>
          <w:kern w:val="0"/>
          <w:sz w:val="22"/>
        </w:rPr>
        <w:t>本部门本年度无相关支出情况，按要求空表列示</w:t>
      </w:r>
    </w:p>
    <w:p>
      <w:pPr>
        <w:widowControl/>
        <w:shd w:val="clear" w:color="auto" w:fill="FFFFFF"/>
        <w:spacing w:line="560" w:lineRule="atLeast"/>
        <w:jc w:val="center"/>
        <w:rPr>
          <w:rFonts w:cs="宋体"/>
          <w:color w:val="000000"/>
          <w:sz w:val="32"/>
          <w:szCs w:val="32"/>
        </w:rPr>
      </w:pPr>
    </w:p>
    <w:p>
      <w:pPr>
        <w:pStyle w:val="10"/>
        <w:ind w:left="8090" w:leftChars="3700" w:hanging="320" w:hangingChars="100"/>
        <w:rPr>
          <w:rFonts w:cs="宋体"/>
          <w:color w:val="000000"/>
          <w:sz w:val="32"/>
          <w:szCs w:val="32"/>
          <w:lang w:eastAsia="zh-CN"/>
        </w:rPr>
      </w:pPr>
      <w:r>
        <w:rPr>
          <w:rFonts w:hint="eastAsia" w:cs="宋体"/>
          <w:color w:val="000000"/>
          <w:sz w:val="32"/>
          <w:szCs w:val="32"/>
          <w:lang w:eastAsia="zh-CN"/>
        </w:rPr>
        <w:t xml:space="preserve">                                   </w:t>
      </w:r>
    </w:p>
    <w:p>
      <w:pPr>
        <w:pStyle w:val="10"/>
        <w:ind w:left="8090" w:leftChars="3700" w:hanging="320" w:hangingChars="100"/>
        <w:rPr>
          <w:rFonts w:cs="宋体"/>
          <w:color w:val="000000"/>
          <w:sz w:val="32"/>
          <w:szCs w:val="32"/>
          <w:lang w:eastAsia="zh-CN"/>
        </w:rPr>
      </w:pPr>
    </w:p>
    <w:p>
      <w:pPr>
        <w:pStyle w:val="10"/>
        <w:rPr>
          <w:rFonts w:cs="宋体"/>
          <w:color w:val="000000"/>
          <w:sz w:val="32"/>
          <w:szCs w:val="32"/>
          <w:lang w:eastAsia="zh-CN"/>
        </w:rPr>
      </w:pPr>
    </w:p>
    <w:tbl>
      <w:tblPr>
        <w:tblStyle w:val="6"/>
        <w:tblW w:w="9917" w:type="dxa"/>
        <w:jc w:val="center"/>
        <w:tblLayout w:type="autofit"/>
        <w:tblCellMar>
          <w:top w:w="0" w:type="dxa"/>
          <w:left w:w="0" w:type="dxa"/>
          <w:bottom w:w="0" w:type="dxa"/>
          <w:right w:w="0" w:type="dxa"/>
        </w:tblCellMar>
      </w:tblPr>
      <w:tblGrid>
        <w:gridCol w:w="3372"/>
        <w:gridCol w:w="50"/>
        <w:gridCol w:w="50"/>
        <w:gridCol w:w="3267"/>
        <w:gridCol w:w="652"/>
        <w:gridCol w:w="1263"/>
        <w:gridCol w:w="1263"/>
      </w:tblGrid>
      <w:tr>
        <w:tblPrEx>
          <w:tblCellMar>
            <w:top w:w="0" w:type="dxa"/>
            <w:left w:w="0" w:type="dxa"/>
            <w:bottom w:w="0" w:type="dxa"/>
            <w:right w:w="0" w:type="dxa"/>
          </w:tblCellMar>
        </w:tblPrEx>
        <w:trPr>
          <w:trHeight w:val="840" w:hRule="atLeast"/>
          <w:jc w:val="center"/>
        </w:trPr>
        <w:tc>
          <w:tcPr>
            <w:tcW w:w="9917"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09</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部门：保定市满城区商务局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ascii="宋体" w:hAnsi="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ascii="宋体" w:hAnsi="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ascii="宋体" w:hAnsi="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rPr>
            </w:pPr>
          </w:p>
        </w:tc>
      </w:tr>
    </w:tbl>
    <w:p>
      <w:pPr>
        <w:widowControl/>
        <w:jc w:val="left"/>
        <w:textAlignment w:val="center"/>
        <w:rPr>
          <w:rFonts w:ascii="宋体" w:hAnsi="宋体" w:cs="宋体"/>
          <w:color w:val="000000"/>
          <w:kern w:val="0"/>
          <w:sz w:val="22"/>
        </w:rPr>
      </w:pPr>
      <w:r>
        <w:rPr>
          <w:rFonts w:hint="eastAsia" w:ascii="宋体" w:hAnsi="宋体" w:cs="宋体"/>
          <w:color w:val="000000"/>
          <w:kern w:val="0"/>
          <w:sz w:val="22"/>
        </w:rPr>
        <w:t>本部门本年度无相关支出情况，按要求空表列示。</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Yu Gothic UI Semilight">
    <w:altName w:val="Meiryo UI"/>
    <w:panose1 w:val="020B04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华文中宋">
    <w:panose1 w:val="02010600040101010101"/>
    <w:charset w:val="86"/>
    <w:family w:val="auto"/>
    <w:pitch w:val="default"/>
    <w:sig w:usb0="00000287" w:usb1="080F0000" w:usb2="00000000" w:usb3="00000000" w:csb0="0004009F" w:csb1="DFD70000"/>
  </w:font>
  <w:font w:name="TimesNewRomanPSMT">
    <w:altName w:val="Arial"/>
    <w:panose1 w:val="00000000000000000000"/>
    <w:charset w:val="00"/>
    <w:family w:val="swiss"/>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E40DD"/>
    <w:multiLevelType w:val="singleLevel"/>
    <w:tmpl w:val="D01E40DD"/>
    <w:lvl w:ilvl="0" w:tentative="0">
      <w:start w:val="1"/>
      <w:numFmt w:val="chineseCounting"/>
      <w:suff w:val="nothing"/>
      <w:lvlText w:val="%1、"/>
      <w:lvlJc w:val="left"/>
      <w:rPr>
        <w:rFonts w:hint="eastAsia"/>
        <w:lang w:val="en-US"/>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0NmZiMDNlMDQ1MWYzMjQ5NGM4Njg4N2UzOTc5MTQifQ=="/>
  </w:docVars>
  <w:rsids>
    <w:rsidRoot w:val="00627EBF"/>
    <w:rsid w:val="00010F82"/>
    <w:rsid w:val="000152BB"/>
    <w:rsid w:val="00036E7C"/>
    <w:rsid w:val="00050F90"/>
    <w:rsid w:val="000946CB"/>
    <w:rsid w:val="000B45E5"/>
    <w:rsid w:val="000B786F"/>
    <w:rsid w:val="001168C6"/>
    <w:rsid w:val="00150208"/>
    <w:rsid w:val="00150FD5"/>
    <w:rsid w:val="001560B4"/>
    <w:rsid w:val="00174830"/>
    <w:rsid w:val="00186CEE"/>
    <w:rsid w:val="001925DD"/>
    <w:rsid w:val="001A7F39"/>
    <w:rsid w:val="001B26F1"/>
    <w:rsid w:val="001B5E01"/>
    <w:rsid w:val="001B7406"/>
    <w:rsid w:val="001F0746"/>
    <w:rsid w:val="002106A7"/>
    <w:rsid w:val="00241308"/>
    <w:rsid w:val="00243A21"/>
    <w:rsid w:val="00244FDC"/>
    <w:rsid w:val="002452BD"/>
    <w:rsid w:val="00251996"/>
    <w:rsid w:val="00261993"/>
    <w:rsid w:val="00271458"/>
    <w:rsid w:val="00273F61"/>
    <w:rsid w:val="002909B1"/>
    <w:rsid w:val="00292BEE"/>
    <w:rsid w:val="002C7332"/>
    <w:rsid w:val="002D3E46"/>
    <w:rsid w:val="002E2DEF"/>
    <w:rsid w:val="002F3E43"/>
    <w:rsid w:val="003076D5"/>
    <w:rsid w:val="00327E5E"/>
    <w:rsid w:val="0033626D"/>
    <w:rsid w:val="003522CA"/>
    <w:rsid w:val="00364ED3"/>
    <w:rsid w:val="0039305A"/>
    <w:rsid w:val="003C34D4"/>
    <w:rsid w:val="003C7221"/>
    <w:rsid w:val="003D03D4"/>
    <w:rsid w:val="003D1B03"/>
    <w:rsid w:val="004029E5"/>
    <w:rsid w:val="004029E8"/>
    <w:rsid w:val="00406228"/>
    <w:rsid w:val="00427BF1"/>
    <w:rsid w:val="00433A21"/>
    <w:rsid w:val="00452417"/>
    <w:rsid w:val="0046614F"/>
    <w:rsid w:val="00480A1E"/>
    <w:rsid w:val="0049305B"/>
    <w:rsid w:val="004959D7"/>
    <w:rsid w:val="004C025C"/>
    <w:rsid w:val="004C311C"/>
    <w:rsid w:val="004D64CA"/>
    <w:rsid w:val="004E4AE2"/>
    <w:rsid w:val="004E568F"/>
    <w:rsid w:val="004F2247"/>
    <w:rsid w:val="004F4A2D"/>
    <w:rsid w:val="00500111"/>
    <w:rsid w:val="00502B5D"/>
    <w:rsid w:val="00511C9D"/>
    <w:rsid w:val="00524028"/>
    <w:rsid w:val="00552060"/>
    <w:rsid w:val="005672B9"/>
    <w:rsid w:val="00575F33"/>
    <w:rsid w:val="00592075"/>
    <w:rsid w:val="005A63F6"/>
    <w:rsid w:val="005A658F"/>
    <w:rsid w:val="005B581D"/>
    <w:rsid w:val="005B627E"/>
    <w:rsid w:val="005D31BD"/>
    <w:rsid w:val="005D3DE6"/>
    <w:rsid w:val="005D3ED4"/>
    <w:rsid w:val="005D46E6"/>
    <w:rsid w:val="005D7129"/>
    <w:rsid w:val="00627EBF"/>
    <w:rsid w:val="0064521F"/>
    <w:rsid w:val="006525EA"/>
    <w:rsid w:val="00653C3C"/>
    <w:rsid w:val="00671384"/>
    <w:rsid w:val="006B4A6C"/>
    <w:rsid w:val="006D2B85"/>
    <w:rsid w:val="006E232D"/>
    <w:rsid w:val="006F39EF"/>
    <w:rsid w:val="006F7A32"/>
    <w:rsid w:val="00707536"/>
    <w:rsid w:val="007210EF"/>
    <w:rsid w:val="00747863"/>
    <w:rsid w:val="00766DA1"/>
    <w:rsid w:val="007741B5"/>
    <w:rsid w:val="00774B73"/>
    <w:rsid w:val="007C42AC"/>
    <w:rsid w:val="007D37FB"/>
    <w:rsid w:val="007F07DA"/>
    <w:rsid w:val="007F0B31"/>
    <w:rsid w:val="007F30B8"/>
    <w:rsid w:val="00823C49"/>
    <w:rsid w:val="00827D3E"/>
    <w:rsid w:val="008411B2"/>
    <w:rsid w:val="008615A2"/>
    <w:rsid w:val="00865C54"/>
    <w:rsid w:val="0088345D"/>
    <w:rsid w:val="008B328A"/>
    <w:rsid w:val="008B67EC"/>
    <w:rsid w:val="008C00B5"/>
    <w:rsid w:val="008E4E0A"/>
    <w:rsid w:val="008F6E0F"/>
    <w:rsid w:val="00925235"/>
    <w:rsid w:val="00967F3B"/>
    <w:rsid w:val="00970E91"/>
    <w:rsid w:val="00983907"/>
    <w:rsid w:val="009908EC"/>
    <w:rsid w:val="00993E19"/>
    <w:rsid w:val="009A0956"/>
    <w:rsid w:val="009A3FBC"/>
    <w:rsid w:val="009A59D1"/>
    <w:rsid w:val="009C0F70"/>
    <w:rsid w:val="009C52B3"/>
    <w:rsid w:val="009E6E2B"/>
    <w:rsid w:val="009F6EC2"/>
    <w:rsid w:val="00A04336"/>
    <w:rsid w:val="00A050DF"/>
    <w:rsid w:val="00A15B5D"/>
    <w:rsid w:val="00A20232"/>
    <w:rsid w:val="00A310DB"/>
    <w:rsid w:val="00A328E4"/>
    <w:rsid w:val="00A40F5F"/>
    <w:rsid w:val="00A42440"/>
    <w:rsid w:val="00A505BF"/>
    <w:rsid w:val="00A548C9"/>
    <w:rsid w:val="00A91803"/>
    <w:rsid w:val="00A945A1"/>
    <w:rsid w:val="00A95B5C"/>
    <w:rsid w:val="00AA07EE"/>
    <w:rsid w:val="00AB2CD8"/>
    <w:rsid w:val="00AB48A1"/>
    <w:rsid w:val="00AC53EC"/>
    <w:rsid w:val="00AD451C"/>
    <w:rsid w:val="00AF0B99"/>
    <w:rsid w:val="00AF2370"/>
    <w:rsid w:val="00B01B17"/>
    <w:rsid w:val="00B01FC6"/>
    <w:rsid w:val="00B14741"/>
    <w:rsid w:val="00B16C17"/>
    <w:rsid w:val="00B20DDB"/>
    <w:rsid w:val="00B33F6D"/>
    <w:rsid w:val="00B42378"/>
    <w:rsid w:val="00B4281B"/>
    <w:rsid w:val="00B433CD"/>
    <w:rsid w:val="00B45011"/>
    <w:rsid w:val="00B4661F"/>
    <w:rsid w:val="00B53D21"/>
    <w:rsid w:val="00B9052A"/>
    <w:rsid w:val="00BA74E7"/>
    <w:rsid w:val="00BB3251"/>
    <w:rsid w:val="00BD48AF"/>
    <w:rsid w:val="00C160AD"/>
    <w:rsid w:val="00C2437D"/>
    <w:rsid w:val="00C3099D"/>
    <w:rsid w:val="00C45455"/>
    <w:rsid w:val="00C64248"/>
    <w:rsid w:val="00C90763"/>
    <w:rsid w:val="00CA5FBF"/>
    <w:rsid w:val="00CC1E60"/>
    <w:rsid w:val="00CE196A"/>
    <w:rsid w:val="00D05671"/>
    <w:rsid w:val="00D273E8"/>
    <w:rsid w:val="00D33816"/>
    <w:rsid w:val="00D34196"/>
    <w:rsid w:val="00D5199B"/>
    <w:rsid w:val="00D520B9"/>
    <w:rsid w:val="00D57518"/>
    <w:rsid w:val="00D85472"/>
    <w:rsid w:val="00D93627"/>
    <w:rsid w:val="00D9491B"/>
    <w:rsid w:val="00DA23D9"/>
    <w:rsid w:val="00DC3B48"/>
    <w:rsid w:val="00DD0C31"/>
    <w:rsid w:val="00DD41B2"/>
    <w:rsid w:val="00DD486F"/>
    <w:rsid w:val="00DE2983"/>
    <w:rsid w:val="00DE6AD7"/>
    <w:rsid w:val="00E007A5"/>
    <w:rsid w:val="00E02B93"/>
    <w:rsid w:val="00E13DD4"/>
    <w:rsid w:val="00E2261C"/>
    <w:rsid w:val="00E252AA"/>
    <w:rsid w:val="00E574D6"/>
    <w:rsid w:val="00E67CA6"/>
    <w:rsid w:val="00EA7BE5"/>
    <w:rsid w:val="00EC2B2D"/>
    <w:rsid w:val="00EC71FA"/>
    <w:rsid w:val="00EC752C"/>
    <w:rsid w:val="00EC7AB3"/>
    <w:rsid w:val="00EE444D"/>
    <w:rsid w:val="00EE5C4B"/>
    <w:rsid w:val="00EF7750"/>
    <w:rsid w:val="00F0010B"/>
    <w:rsid w:val="00F121F3"/>
    <w:rsid w:val="00F27D50"/>
    <w:rsid w:val="00F33FF1"/>
    <w:rsid w:val="00F43BEC"/>
    <w:rsid w:val="00F55D4E"/>
    <w:rsid w:val="00F63497"/>
    <w:rsid w:val="00F765D0"/>
    <w:rsid w:val="00F91D37"/>
    <w:rsid w:val="00F94209"/>
    <w:rsid w:val="00FA0B9A"/>
    <w:rsid w:val="00FA0BA3"/>
    <w:rsid w:val="00FE0DA3"/>
    <w:rsid w:val="0444220A"/>
    <w:rsid w:val="0D6A58AD"/>
    <w:rsid w:val="0EC804D8"/>
    <w:rsid w:val="0F565B36"/>
    <w:rsid w:val="1033440B"/>
    <w:rsid w:val="12E8046D"/>
    <w:rsid w:val="13CB0D84"/>
    <w:rsid w:val="1D170A81"/>
    <w:rsid w:val="203B57EB"/>
    <w:rsid w:val="250B3654"/>
    <w:rsid w:val="25CD3231"/>
    <w:rsid w:val="26A67DA5"/>
    <w:rsid w:val="273934EF"/>
    <w:rsid w:val="28043735"/>
    <w:rsid w:val="2BCF3BAB"/>
    <w:rsid w:val="2EF72A79"/>
    <w:rsid w:val="307E6CA4"/>
    <w:rsid w:val="30961398"/>
    <w:rsid w:val="321D2E1D"/>
    <w:rsid w:val="374B09DF"/>
    <w:rsid w:val="38E80E2D"/>
    <w:rsid w:val="3DA609AE"/>
    <w:rsid w:val="3E0E497D"/>
    <w:rsid w:val="3E8958FC"/>
    <w:rsid w:val="409E52BD"/>
    <w:rsid w:val="41505D5B"/>
    <w:rsid w:val="459D690A"/>
    <w:rsid w:val="4A4D1FDD"/>
    <w:rsid w:val="4A68151B"/>
    <w:rsid w:val="4DEB1056"/>
    <w:rsid w:val="508D3DCD"/>
    <w:rsid w:val="50B22843"/>
    <w:rsid w:val="50C74DD2"/>
    <w:rsid w:val="512769EC"/>
    <w:rsid w:val="53283D9E"/>
    <w:rsid w:val="551F3F1C"/>
    <w:rsid w:val="5583270E"/>
    <w:rsid w:val="5FF25BD4"/>
    <w:rsid w:val="65623555"/>
    <w:rsid w:val="68E94DEA"/>
    <w:rsid w:val="6A42198A"/>
    <w:rsid w:val="6B671F8B"/>
    <w:rsid w:val="6D237F6C"/>
    <w:rsid w:val="6D873F6C"/>
    <w:rsid w:val="6DA51B99"/>
    <w:rsid w:val="7112231A"/>
    <w:rsid w:val="73574939"/>
    <w:rsid w:val="73626ECA"/>
    <w:rsid w:val="736D5A32"/>
    <w:rsid w:val="76347E0B"/>
    <w:rsid w:val="779B3F1E"/>
    <w:rsid w:val="79B834A0"/>
    <w:rsid w:val="7A565C3A"/>
    <w:rsid w:val="7B054E1A"/>
    <w:rsid w:val="7B43279D"/>
    <w:rsid w:val="7BDD57A5"/>
    <w:rsid w:val="7F6F0B2B"/>
    <w:rsid w:val="7F931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rFonts w:ascii="等线" w:hAnsi="等线" w:eastAsia="等线"/>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kern w:val="2"/>
      <w:sz w:val="18"/>
      <w:szCs w:val="18"/>
    </w:rPr>
  </w:style>
  <w:style w:type="character" w:customStyle="1" w:styleId="9">
    <w:name w:val="页脚 Char"/>
    <w:basedOn w:val="7"/>
    <w:link w:val="4"/>
    <w:qFormat/>
    <w:uiPriority w:val="99"/>
    <w:rPr>
      <w:kern w:val="2"/>
      <w:sz w:val="18"/>
      <w:szCs w:val="18"/>
    </w:rPr>
  </w:style>
  <w:style w:type="paragraph" w:customStyle="1" w:styleId="10">
    <w:name w:val="[Normal]"/>
    <w:qFormat/>
    <w:uiPriority w:val="0"/>
    <w:rPr>
      <w:rFonts w:ascii="宋体" w:hAnsi="宋体" w:eastAsia="宋体" w:cs="Times New Roman"/>
      <w:sz w:val="24"/>
      <w:lang w:val="en-US" w:eastAsia="en-US" w:bidi="ar-SA"/>
    </w:rPr>
  </w:style>
  <w:style w:type="character" w:customStyle="1" w:styleId="11">
    <w:name w:val="标题 1 Char"/>
    <w:basedOn w:val="7"/>
    <w:link w:val="2"/>
    <w:qFormat/>
    <w:uiPriority w:val="99"/>
    <w:rPr>
      <w:rFonts w:ascii="等线" w:hAnsi="等线" w:eastAsia="等线"/>
      <w:b/>
      <w:bCs/>
      <w:kern w:val="44"/>
      <w:sz w:val="44"/>
      <w:szCs w:val="44"/>
    </w:rPr>
  </w:style>
  <w:style w:type="character" w:customStyle="1" w:styleId="12">
    <w:name w:val="批注框文本 Char"/>
    <w:basedOn w:val="7"/>
    <w:link w:val="3"/>
    <w:qFormat/>
    <w:uiPriority w:val="0"/>
    <w:rPr>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hart" Target="charts/chart1.xml"/><Relationship Id="rId7" Type="http://schemas.openxmlformats.org/officeDocument/2006/relationships/image" Target="media/image1.bmp"/><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Book123.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H:\Book1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Book1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Book1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[Book123.xlsx]Sheet1!$F$3</c:f>
              <c:strCache>
                <c:ptCount val="1"/>
                <c:pt idx="0">
                  <c:v>收支总计</c:v>
                </c:pt>
              </c:strCache>
            </c:strRef>
          </c:tx>
          <c:invertIfNegative val="0"/>
          <c:dLbls>
            <c:delete val="1"/>
          </c:dLbls>
          <c:cat>
            <c:strRef>
              <c:f>[Book123.xlsx]Sheet1!$G$2:$H$2</c:f>
              <c:strCache>
                <c:ptCount val="2"/>
                <c:pt idx="0">
                  <c:v>2019年</c:v>
                </c:pt>
                <c:pt idx="1">
                  <c:v>2020年</c:v>
                </c:pt>
              </c:strCache>
            </c:strRef>
          </c:cat>
          <c:val>
            <c:numRef>
              <c:f>[Book123.xlsx]Sheet1!$G$3:$H$3</c:f>
              <c:numCache>
                <c:formatCode>General</c:formatCode>
                <c:ptCount val="2"/>
                <c:pt idx="0">
                  <c:v>794.92</c:v>
                </c:pt>
                <c:pt idx="1">
                  <c:v>454.12</c:v>
                </c:pt>
              </c:numCache>
            </c:numRef>
          </c:val>
        </c:ser>
        <c:dLbls>
          <c:showLegendKey val="0"/>
          <c:showVal val="0"/>
          <c:showCatName val="0"/>
          <c:showSerName val="0"/>
          <c:showPercent val="0"/>
          <c:showBubbleSize val="0"/>
        </c:dLbls>
        <c:gapWidth val="150"/>
        <c:overlap val="100"/>
        <c:axId val="173574016"/>
        <c:axId val="173699072"/>
      </c:barChart>
      <c:catAx>
        <c:axId val="173574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3699072"/>
        <c:crosses val="autoZero"/>
        <c:auto val="1"/>
        <c:lblAlgn val="ctr"/>
        <c:lblOffset val="100"/>
        <c:noMultiLvlLbl val="0"/>
      </c:catAx>
      <c:valAx>
        <c:axId val="173699072"/>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3574016"/>
        <c:crosses val="autoZero"/>
        <c:crossBetween val="between"/>
      </c:valAx>
      <c:spPr>
        <a:noFill/>
        <a:ln>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313137558624844"/>
          <c:y val="0.445965397182496"/>
          <c:w val="0.580555555555555"/>
          <c:h val="0.550925925925925"/>
        </c:manualLayout>
      </c:layout>
      <c:pie3DChart>
        <c:varyColors val="1"/>
        <c:ser>
          <c:idx val="0"/>
          <c:order val="0"/>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基本支出
</a:t>
                    </a:r>
                    <a:r>
                      <a:rPr lang="en-US" altLang="zh-CN"/>
                      <a:t>60.88%</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项目支出
</a:t>
                    </a:r>
                    <a:r>
                      <a:rPr lang="en-US" altLang="zh-CN"/>
                      <a:t>39.12%</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Sheet1!$G$43:$H$43</c:f>
              <c:strCache>
                <c:ptCount val="2"/>
                <c:pt idx="0">
                  <c:v>基本支出</c:v>
                </c:pt>
                <c:pt idx="1">
                  <c:v>项目支出</c:v>
                </c:pt>
              </c:strCache>
            </c:strRef>
          </c:cat>
          <c:val>
            <c:numRef>
              <c:f>Sheet1!$G$44:$H$44</c:f>
              <c:numCache>
                <c:formatCode>0.00%</c:formatCode>
                <c:ptCount val="2"/>
                <c:pt idx="0">
                  <c:v>0.608800000000001</c:v>
                </c:pt>
                <c:pt idx="1">
                  <c:v>0.3912</c:v>
                </c:pt>
              </c:numCache>
            </c:numRef>
          </c:val>
        </c:ser>
        <c:dLbls>
          <c:showLegendKey val="0"/>
          <c:showVal val="0"/>
          <c:showCatName val="1"/>
          <c:showSerName val="0"/>
          <c:showPercent val="1"/>
          <c:showBubbleSize val="0"/>
        </c:dLbls>
      </c:pie3DChart>
      <c:spPr>
        <a:ln>
          <a:noFill/>
        </a:ln>
      </c:spPr>
    </c:plotArea>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[Book123.xlsx]Sheet1!$F$3</c:f>
              <c:strCache>
                <c:ptCount val="1"/>
                <c:pt idx="0">
                  <c:v>财政拨款支出</c:v>
                </c:pt>
              </c:strCache>
            </c:strRef>
          </c:tx>
          <c:invertIfNegative val="0"/>
          <c:dLbls>
            <c:delete val="1"/>
          </c:dLbls>
          <c:cat>
            <c:strRef>
              <c:f>[Book123.xlsx]Sheet1!$G$2:$H$2</c:f>
              <c:strCache>
                <c:ptCount val="2"/>
                <c:pt idx="0">
                  <c:v>2019年</c:v>
                </c:pt>
                <c:pt idx="1">
                  <c:v>2020年</c:v>
                </c:pt>
              </c:strCache>
            </c:strRef>
          </c:cat>
          <c:val>
            <c:numRef>
              <c:f>[Book123.xlsx]Sheet1!$G$3:$H$3</c:f>
              <c:numCache>
                <c:formatCode>General</c:formatCode>
                <c:ptCount val="2"/>
                <c:pt idx="0">
                  <c:v>937.92</c:v>
                </c:pt>
                <c:pt idx="1">
                  <c:v>454.12</c:v>
                </c:pt>
              </c:numCache>
            </c:numRef>
          </c:val>
        </c:ser>
        <c:dLbls>
          <c:showLegendKey val="0"/>
          <c:showVal val="0"/>
          <c:showCatName val="0"/>
          <c:showSerName val="0"/>
          <c:showPercent val="0"/>
          <c:showBubbleSize val="0"/>
        </c:dLbls>
        <c:gapWidth val="150"/>
        <c:overlap val="100"/>
        <c:axId val="174058880"/>
        <c:axId val="174060672"/>
      </c:barChart>
      <c:catAx>
        <c:axId val="1740588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4060672"/>
        <c:crosses val="autoZero"/>
        <c:auto val="1"/>
        <c:lblAlgn val="ctr"/>
        <c:lblOffset val="100"/>
        <c:noMultiLvlLbl val="0"/>
      </c:catAx>
      <c:valAx>
        <c:axId val="174060672"/>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4058880"/>
        <c:crosses val="autoZero"/>
        <c:crossBetween val="between"/>
      </c:valAx>
      <c:spPr>
        <a:noFill/>
        <a:ln>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185141385628683"/>
          <c:y val="0.187274702444672"/>
          <c:w val="0.752358738176597"/>
          <c:h val="0.739266201996652"/>
        </c:manualLayout>
      </c:layout>
      <c:pie3DChart>
        <c:varyColors val="1"/>
        <c:ser>
          <c:idx val="0"/>
          <c:order val="0"/>
          <c:explosion val="0"/>
          <c:dPt>
            <c:idx val="0"/>
            <c:bubble3D val="0"/>
          </c:dPt>
          <c:dPt>
            <c:idx val="1"/>
            <c:bubble3D val="0"/>
          </c:dPt>
          <c:dPt>
            <c:idx val="2"/>
            <c:bubble3D val="0"/>
          </c:dPt>
          <c:dPt>
            <c:idx val="3"/>
            <c:bubble3D val="0"/>
          </c:dPt>
          <c:dPt>
            <c:idx val="4"/>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商业服务
</a:t>
                    </a:r>
                    <a:r>
                      <a:rPr lang="en-US" altLang="zh-CN"/>
                      <a:t>36.27%</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一般公共服务（类）
</a:t>
                    </a:r>
                    <a:r>
                      <a:rPr lang="en-US" altLang="zh-CN"/>
                      <a:t>51.19%</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社会保障和就业（类）
</a:t>
                    </a:r>
                    <a:r>
                      <a:rPr lang="en-US" altLang="zh-CN"/>
                      <a:t>5.87%</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住房保障（类）
</a:t>
                    </a:r>
                    <a:r>
                      <a:rPr lang="en-US" altLang="zh-CN"/>
                      <a:t>2.67%</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Sheet1!$E$64:$I$64</c:f>
              <c:strCache>
                <c:ptCount val="5"/>
                <c:pt idx="0">
                  <c:v>商业服务</c:v>
                </c:pt>
                <c:pt idx="1">
                  <c:v>卫生健康</c:v>
                </c:pt>
                <c:pt idx="2">
                  <c:v>一般公共服务（类）</c:v>
                </c:pt>
                <c:pt idx="3">
                  <c:v>社会保障和就业（类）</c:v>
                </c:pt>
                <c:pt idx="4">
                  <c:v>住房保障（类）</c:v>
                </c:pt>
              </c:strCache>
            </c:strRef>
          </c:cat>
          <c:val>
            <c:numRef>
              <c:f>Sheet1!$E$65:$I$65</c:f>
              <c:numCache>
                <c:formatCode>0.00%</c:formatCode>
                <c:ptCount val="5"/>
                <c:pt idx="0">
                  <c:v>0.3627</c:v>
                </c:pt>
                <c:pt idx="1" c:formatCode="0%">
                  <c:v>0.04</c:v>
                </c:pt>
                <c:pt idx="2">
                  <c:v>0.5119</c:v>
                </c:pt>
                <c:pt idx="3">
                  <c:v>0.0587</c:v>
                </c:pt>
                <c:pt idx="4">
                  <c:v>0.0267</c:v>
                </c:pt>
              </c:numCache>
            </c:numRef>
          </c:val>
        </c:ser>
        <c:dLbls>
          <c:showLegendKey val="0"/>
          <c:showVal val="0"/>
          <c:showCatName val="1"/>
          <c:showSerName val="0"/>
          <c:showPercent val="1"/>
          <c:showBubbleSize val="0"/>
        </c:dLbls>
      </c:pie3DChart>
    </c:plotArea>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AC90F-5107-4D92-A6EA-7EE5346070E9}">
  <ds:schemaRefs/>
</ds:datastoreItem>
</file>

<file path=docProps/app.xml><?xml version="1.0" encoding="utf-8"?>
<Properties xmlns="http://schemas.openxmlformats.org/officeDocument/2006/extended-properties" xmlns:vt="http://schemas.openxmlformats.org/officeDocument/2006/docPropsVTypes">
  <Template>Normal</Template>
  <Pages>33</Pages>
  <Words>10774</Words>
  <Characters>12976</Characters>
  <Lines>112</Lines>
  <Paragraphs>31</Paragraphs>
  <TotalTime>12</TotalTime>
  <ScaleCrop>false</ScaleCrop>
  <LinksUpToDate>false</LinksUpToDate>
  <CharactersWithSpaces>13527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2021-09-28T09:39:00Z</dcterms:created>
  <dc:creator>Administrator</dc:creator>
  <cp:lastModifiedBy>Administrator</cp:lastModifiedBy>
  <cp:lastPrinted>2018-09-19T00:56:00Z</cp:lastPrinted>
  <dcterms:modified xsi:type="dcterms:W3CDTF">2022-05-24T07:50:10Z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76E03A44777F45A889BB6D1B055C9063</vt:lpwstr>
  </property>
</Properties>
</file>