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anchor distT="0" distB="0" distL="114300" distR="114300" simplePos="0" relativeHeight="251659264" behindDoc="1" locked="0" layoutInCell="1" allowOverlap="1">
            <wp:simplePos x="0" y="0"/>
            <wp:positionH relativeFrom="column">
              <wp:posOffset>-973455</wp:posOffset>
            </wp:positionH>
            <wp:positionV relativeFrom="page">
              <wp:posOffset>-3175</wp:posOffset>
            </wp:positionV>
            <wp:extent cx="7559675" cy="10689590"/>
            <wp:effectExtent l="0" t="0" r="14605" b="8890"/>
            <wp:wrapNone/>
            <wp:docPr id="5" name="图片 5" descr="C:\Users\lenovo\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lenovo\Desktop\图片1.png图片1"/>
                    <pic:cNvPicPr>
                      <a:picLocks noChangeAspect="1"/>
                    </pic:cNvPicPr>
                  </pic:nvPicPr>
                  <pic:blipFill>
                    <a:blip r:embed="rId13"/>
                    <a:srcRect/>
                    <a:stretch>
                      <a:fillRect/>
                    </a:stretch>
                  </pic:blipFill>
                  <pic:spPr>
                    <a:xfrm>
                      <a:off x="0" y="0"/>
                      <a:ext cx="7559675" cy="10689590"/>
                    </a:xfrm>
                    <a:prstGeom prst="rect">
                      <a:avLst/>
                    </a:prstGeom>
                  </pic:spPr>
                </pic:pic>
              </a:graphicData>
            </a:graphic>
          </wp:anchor>
        </w:drawing>
      </w:r>
      <w:r>
        <w:br w:type="page"/>
      </w:r>
    </w:p>
    <w:p>
      <w:pPr>
        <w:rPr>
          <w:rFonts w:ascii="黑体" w:hAnsi="黑体" w:eastAsia="黑体" w:cs="黑体"/>
          <w:sz w:val="72"/>
          <w:szCs w:val="96"/>
        </w:rPr>
      </w:pPr>
    </w:p>
    <w:p>
      <w:pPr>
        <w:rPr>
          <w:rFonts w:ascii="黑体" w:hAnsi="黑体" w:eastAsia="黑体" w:cs="黑体"/>
          <w:sz w:val="72"/>
          <w:szCs w:val="96"/>
        </w:rPr>
      </w:pPr>
    </w:p>
    <w:p>
      <w:pPr>
        <w:rPr>
          <w:rFonts w:ascii="黑体" w:hAnsi="黑体" w:eastAsia="黑体" w:cs="黑体"/>
          <w:sz w:val="72"/>
          <w:szCs w:val="96"/>
        </w:rPr>
      </w:pPr>
      <w:r>
        <w:rPr>
          <w:rFonts w:hint="eastAsia" w:ascii="黑体" w:hAnsi="黑体" w:eastAsia="黑体" w:cs="黑体"/>
          <w:sz w:val="72"/>
          <w:szCs w:val="96"/>
        </w:rPr>
        <w:t>2020年度部门决算公开文本</w:t>
      </w:r>
    </w:p>
    <w:p>
      <w:pPr>
        <w:spacing w:line="36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napToGrid w:val="0"/>
        <w:jc w:val="center"/>
        <w:rPr>
          <w:rFonts w:hint="eastAsia"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中共保定市满城区委办公室</w:t>
      </w: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二〇二一年</w:t>
      </w:r>
      <w:r>
        <w:rPr>
          <w:rFonts w:hint="eastAsia" w:ascii="楷体_GB2312" w:hAnsi="楷体_GB2312" w:eastAsia="楷体_GB2312" w:cs="楷体_GB2312"/>
          <w:color w:val="000000" w:themeColor="text1"/>
          <w:kern w:val="0"/>
          <w:sz w:val="40"/>
          <w:szCs w:val="40"/>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九</w:t>
      </w:r>
      <w:r>
        <w:rPr>
          <w:rFonts w:hint="eastAsia"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月</w:t>
      </w: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rPr>
          <w:rFonts w:ascii="黑体" w:hAnsi="黑体" w:eastAsia="黑体" w:cs="黑体"/>
          <w:sz w:val="72"/>
          <w:szCs w:val="96"/>
        </w:rPr>
      </w:pPr>
      <w:r>
        <w:rPr>
          <w:rFonts w:hint="eastAsia" w:ascii="黑体" w:hAnsi="黑体" w:eastAsia="黑体" w:cs="黑体"/>
          <w:sz w:val="72"/>
          <w:szCs w:val="96"/>
        </w:rPr>
        <w:t>中共保定市满城区委办公室2020年度部门决算公开文本</w:t>
      </w:r>
    </w:p>
    <w:p>
      <w:pPr>
        <w:spacing w:line="36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snapToGrid w:val="0"/>
        <w:jc w:val="center"/>
        <w:rPr>
          <w:rFonts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headerReference r:id="rId4" w:type="first"/>
          <w:footerReference r:id="rId5" w:type="first"/>
          <w:headerReference r:id="rId3" w:type="default"/>
          <w:pgSz w:w="11906" w:h="16838"/>
          <w:pgMar w:top="2098" w:right="1531" w:bottom="1984" w:left="1531" w:header="851" w:footer="992" w:gutter="0"/>
          <w:cols w:space="0" w:num="1"/>
          <w:titlePg/>
          <w:docGrid w:type="lines" w:linePitch="312" w:charSpace="0"/>
        </w:sectPr>
      </w:pPr>
      <w:r>
        <w:rPr>
          <w:rFonts w:hint="eastAsia"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二〇二一年</w:t>
      </w:r>
      <w:r>
        <w:rPr>
          <w:rFonts w:hint="eastAsia" w:ascii="楷体_GB2312" w:hAnsi="楷体_GB2312" w:eastAsia="楷体_GB2312" w:cs="楷体_GB2312"/>
          <w:color w:val="000000" w:themeColor="text1"/>
          <w:kern w:val="0"/>
          <w:sz w:val="40"/>
          <w:szCs w:val="40"/>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九</w:t>
      </w:r>
      <w:r>
        <w:rPr>
          <w:rFonts w:hint="eastAsia" w:ascii="楷体_GB2312" w:hAnsi="楷体_GB2312" w:eastAsia="楷体_GB2312" w:cs="楷体_GB2312"/>
          <w:color w:val="000000" w:themeColor="text1"/>
          <w:kern w:val="0"/>
          <w:sz w:val="40"/>
          <w:szCs w:val="40"/>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月</w:t>
      </w:r>
    </w:p>
    <w:p>
      <w:pPr>
        <w:rPr>
          <w:rFonts w:ascii="黑体" w:hAnsi="Times New Roman" w:eastAsia="黑体" w:cs="Times New Roman"/>
          <w:sz w:val="48"/>
          <w:szCs w:val="48"/>
        </w:rPr>
      </w:pPr>
    </w:p>
    <w:p>
      <w:pPr>
        <w:tabs>
          <w:tab w:val="left" w:pos="2728"/>
        </w:tabs>
        <w:jc w:val="center"/>
        <w:rPr>
          <w:rFonts w:ascii="黑体" w:hAnsi="Times New Roman" w:eastAsia="黑体" w:cs="Times New Roman"/>
          <w:sz w:val="48"/>
          <w:szCs w:val="48"/>
        </w:rPr>
      </w:pPr>
      <w:r>
        <w:rPr>
          <w:rFonts w:hint="eastAsia" w:ascii="黑体" w:hAnsi="Times New Roman" w:eastAsia="黑体" w:cs="Times New Roman"/>
          <w:sz w:val="48"/>
          <w:szCs w:val="48"/>
        </w:rPr>
        <w:t>目    录</w:t>
      </w:r>
    </w:p>
    <w:p>
      <w:pPr>
        <w:widowControl/>
        <w:spacing w:after="160" w:line="580" w:lineRule="exact"/>
        <w:ind w:firstLine="640" w:firstLineChars="200"/>
        <w:rPr>
          <w:rFonts w:ascii="Times New Roman" w:hAnsi="Times New Roman" w:eastAsia="黑体" w:cs="Times New Roman"/>
          <w:sz w:val="32"/>
          <w:szCs w:val="32"/>
        </w:rPr>
      </w:pPr>
    </w:p>
    <w:p>
      <w:pPr>
        <w:keepNext w:val="0"/>
        <w:keepLines w:val="0"/>
        <w:pageBreakBefore w:val="0"/>
        <w:widowControl/>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24"/>
          <w:szCs w:val="32"/>
        </w:rPr>
      </w:pPr>
      <w:r>
        <w:rPr>
          <w:rFonts w:ascii="Times New Roman" w:hAnsi="Times New Roman" w:eastAsia="黑体" w:cs="Times New Roman"/>
          <w:sz w:val="32"/>
          <w:szCs w:val="32"/>
        </w:rPr>
        <w:t>第一部分   部门概况</w:t>
      </w:r>
    </w:p>
    <w:p>
      <w:pPr>
        <w:keepNext w:val="0"/>
        <w:keepLines w:val="0"/>
        <w:pageBreakBefore w:val="0"/>
        <w:widowControl/>
        <w:kinsoku/>
        <w:wordWrap/>
        <w:overflowPunct/>
        <w:topLinePunct w:val="0"/>
        <w:autoSpaceDE/>
        <w:autoSpaceDN/>
        <w:bidi w:val="0"/>
        <w:adjustRightInd/>
        <w:snapToGrid/>
        <w:spacing w:line="640" w:lineRule="exact"/>
        <w:ind w:firstLine="1273" w:firstLineChars="398"/>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一、部门</w:t>
      </w:r>
      <w:r>
        <w:rPr>
          <w:rFonts w:hint="eastAsia" w:ascii="Times New Roman" w:hAnsi="Times New Roman" w:eastAsia="仿宋_GB2312" w:cs="Times New Roman"/>
          <w:sz w:val="32"/>
          <w:szCs w:val="32"/>
        </w:rPr>
        <w:t>职责</w:t>
      </w:r>
    </w:p>
    <w:p>
      <w:pPr>
        <w:keepNext w:val="0"/>
        <w:keepLines w:val="0"/>
        <w:pageBreakBefore w:val="0"/>
        <w:widowControl/>
        <w:kinsoku/>
        <w:wordWrap/>
        <w:overflowPunct/>
        <w:topLinePunct w:val="0"/>
        <w:autoSpaceDE/>
        <w:autoSpaceDN/>
        <w:bidi w:val="0"/>
        <w:adjustRightInd/>
        <w:snapToGrid/>
        <w:spacing w:line="640" w:lineRule="exact"/>
        <w:ind w:firstLine="1273" w:firstLineChars="398"/>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pPr>
        <w:keepNext w:val="0"/>
        <w:keepLines w:val="0"/>
        <w:pageBreakBefore w:val="0"/>
        <w:widowControl/>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20</w:t>
      </w:r>
      <w:r>
        <w:rPr>
          <w:rFonts w:hint="eastAsia" w:ascii="Times New Roman" w:hAnsi="Times New Roman" w:eastAsia="黑体" w:cs="Times New Roman"/>
          <w:sz w:val="32"/>
          <w:szCs w:val="32"/>
        </w:rPr>
        <w:t>20</w:t>
      </w:r>
      <w:r>
        <w:rPr>
          <w:rFonts w:ascii="Times New Roman" w:hAnsi="Times New Roman" w:eastAsia="黑体" w:cs="Times New Roman"/>
          <w:sz w:val="32"/>
          <w:szCs w:val="32"/>
        </w:rPr>
        <w:t>年部门决算情况说明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一、收入支出决算总体情况说明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二、收入决算情况说明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三、支出决算情况说明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五、一般公共预算“三公” 经费支出决算情况说明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六、预算绩效情况说明</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七、机关运行经费情况</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八、政府采购情况</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九、国有资产占用情况</w:t>
      </w:r>
    </w:p>
    <w:p>
      <w:pPr>
        <w:keepNext w:val="0"/>
        <w:keepLines w:val="0"/>
        <w:pageBreakBefore w:val="0"/>
        <w:widowControl/>
        <w:kinsoku/>
        <w:wordWrap/>
        <w:overflowPunct/>
        <w:topLinePunct w:val="0"/>
        <w:autoSpaceDE/>
        <w:autoSpaceDN/>
        <w:bidi w:val="0"/>
        <w:adjustRightInd/>
        <w:snapToGrid/>
        <w:spacing w:line="640" w:lineRule="exact"/>
        <w:ind w:leftChars="300" w:firstLine="640" w:firstLineChars="200"/>
        <w:textAlignment w:val="auto"/>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pPr>
        <w:keepNext w:val="0"/>
        <w:keepLines w:val="0"/>
        <w:pageBreakBefore w:val="0"/>
        <w:widowControl/>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黑体" w:cs="Times New Roman"/>
          <w:sz w:val="32"/>
          <w:szCs w:val="32"/>
        </w:rPr>
        <w:t>第三部分   名词解释</w:t>
      </w:r>
    </w:p>
    <w:p>
      <w:pPr>
        <w:keepNext w:val="0"/>
        <w:keepLines w:val="0"/>
        <w:pageBreakBefore w:val="0"/>
        <w:widowControl/>
        <w:kinsoku/>
        <w:wordWrap/>
        <w:overflowPunct/>
        <w:topLinePunct w:val="0"/>
        <w:autoSpaceDE/>
        <w:autoSpaceDN/>
        <w:bidi w:val="0"/>
        <w:adjustRightInd/>
        <w:snapToGrid/>
        <w:spacing w:line="640" w:lineRule="exact"/>
        <w:ind w:firstLine="640" w:firstLineChars="200"/>
        <w:textAlignment w:val="auto"/>
        <w:rPr>
          <w:rFonts w:ascii="Times New Roman" w:hAnsi="Times New Roman" w:eastAsia="仿宋_GB2312" w:cs="Times New Roman"/>
          <w:sz w:val="20"/>
          <w:szCs w:val="32"/>
        </w:r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 xml:space="preserve"> 20</w:t>
      </w:r>
      <w:r>
        <w:rPr>
          <w:rFonts w:hint="eastAsia" w:ascii="Times New Roman" w:hAnsi="Times New Roman" w:eastAsia="黑体" w:cs="Times New Roman"/>
          <w:sz w:val="32"/>
          <w:szCs w:val="32"/>
        </w:rPr>
        <w:t>20</w:t>
      </w:r>
      <w:r>
        <w:rPr>
          <w:rFonts w:ascii="Times New Roman" w:hAnsi="Times New Roman" w:eastAsia="黑体" w:cs="Times New Roman"/>
          <w:sz w:val="32"/>
          <w:szCs w:val="32"/>
        </w:rPr>
        <w:t>年度部门决算报表</w:t>
      </w:r>
    </w:p>
    <w:p>
      <w:pPr>
        <w:widowControl/>
        <w:spacing w:after="160" w:line="580" w:lineRule="exact"/>
        <w:ind w:firstLine="640" w:firstLineChars="200"/>
        <w:rPr>
          <w:rFonts w:ascii="Times New Roman" w:hAnsi="Times New Roman" w:eastAsia="黑体" w:cs="Times New Roman"/>
          <w:sz w:val="32"/>
          <w:szCs w:val="32"/>
        </w:rPr>
        <w:sectPr>
          <w:headerReference r:id="rId7" w:type="first"/>
          <w:footerReference r:id="rId9" w:type="first"/>
          <w:headerReference r:id="rId6" w:type="default"/>
          <w:footerReference r:id="rId8" w:type="default"/>
          <w:type w:val="continuous"/>
          <w:pgSz w:w="11906" w:h="16838"/>
          <w:pgMar w:top="2098" w:right="1531" w:bottom="1984" w:left="1531" w:header="851" w:footer="992" w:gutter="0"/>
          <w:cols w:space="0" w:num="1"/>
          <w:titlePg/>
          <w:docGrid w:type="lines" w:linePitch="312" w:charSpace="0"/>
        </w:sect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rPr>
          <w:sz w:val="72"/>
        </w:rPr>
        <mc:AlternateContent>
          <mc:Choice Requires="wps">
            <w:drawing>
              <wp:anchor distT="0" distB="0" distL="114300" distR="114300" simplePos="0" relativeHeight="251660288" behindDoc="0" locked="0" layoutInCell="1" allowOverlap="1">
                <wp:simplePos x="0" y="0"/>
                <wp:positionH relativeFrom="column">
                  <wp:posOffset>-1088390</wp:posOffset>
                </wp:positionH>
                <wp:positionV relativeFrom="paragraph">
                  <wp:posOffset>1024890</wp:posOffset>
                </wp:positionV>
                <wp:extent cx="7793355" cy="3341370"/>
                <wp:effectExtent l="6350" t="6350" r="18415" b="20320"/>
                <wp:wrapNone/>
                <wp:docPr id="143" name="文本框 143"/>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chemeClr val="bg1">
                              <a:lumMod val="50000"/>
                            </a:schemeClr>
                          </a:fgClr>
                          <a:bgClr>
                            <a:schemeClr val="bg1"/>
                          </a:bgClr>
                        </a:pattFill>
                        <a:ln w="12700" cmpd="sng">
                          <a:solidFill>
                            <a:schemeClr val="bg1">
                              <a:lumMod val="65000"/>
                            </a:schemeClr>
                          </a:solidFill>
                          <a:prstDash val="solid"/>
                        </a:ln>
                      </wps:spPr>
                      <wps:style>
                        <a:lnRef idx="0">
                          <a:schemeClr val="accent1"/>
                        </a:lnRef>
                        <a:fillRef idx="0">
                          <a:schemeClr val="accent1"/>
                        </a:fillRef>
                        <a:effectRef idx="0">
                          <a:schemeClr val="accent1"/>
                        </a:effectRef>
                        <a:fontRef idx="minor">
                          <a:schemeClr val="dk1"/>
                        </a:fontRef>
                      </wps:style>
                      <wps:txb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第一部分  部门概况</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5.7pt;margin-top:80.7pt;height:263.1pt;width:613.65pt;z-index:251660288;v-text-anchor:middle;mso-width-relative:page;mso-height-relative:page;" fillcolor="#7F7F7F [1612]" filled="t" stroked="t" coordsize="21600,21600" o:gfxdata="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Df95gjcAAAADQEAAA8AAAAAAAAAAQAgAAAAIgAAAGRycy9kb3ducmV2Lnht&#10;bFBLAQIUABQAAAAIAIdO4kCP8Fn4oAIAAHEFAAAOAAAAAAAAAAEAIAAAACsBAABkcnMvZTJvRG9j&#10;LnhtbFBLBQYAAAAABgAGAFkBAAA9BgAAAAA=&#10;">
                <v:fill type="pattern" on="t" color2="#FFFFFF [3212]" o:title="5%" focussize="0,0" r:id="rId14"/>
                <v:stroke weight="1pt" color="#A6A6A6 [2092]" joinstyle="round"/>
                <v:imagedata o:title=""/>
                <o:lock v:ext="edit" aspectratio="f"/>
                <v:textbo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第一部分  部门概况</w:t>
                      </w:r>
                    </w:p>
                  </w:txbxContent>
                </v:textbox>
              </v:shape>
            </w:pict>
          </mc:Fallback>
        </mc:AlternateContent>
      </w:r>
      <w:r>
        <w:br w:type="page"/>
      </w:r>
    </w:p>
    <w:p>
      <w:pPr>
        <w:pStyle w:val="2"/>
        <w:spacing w:before="0" w:after="0" w:line="580" w:lineRule="exact"/>
        <w:ind w:firstLine="640" w:firstLineChars="200"/>
        <w:jc w:val="left"/>
        <w:rPr>
          <w:rFonts w:ascii="黑体" w:eastAsia="黑体" w:cs="黑体"/>
          <w:b w:val="0"/>
          <w:bCs w:val="0"/>
          <w:kern w:val="0"/>
          <w:sz w:val="32"/>
          <w:szCs w:val="32"/>
        </w:rPr>
      </w:pPr>
      <w:r>
        <w:rPr>
          <w:rFonts w:hint="eastAsia" w:ascii="黑体" w:eastAsia="黑体" w:cs="黑体"/>
          <w:b w:val="0"/>
          <w:bCs w:val="0"/>
          <w:kern w:val="0"/>
          <w:sz w:val="32"/>
          <w:szCs w:val="32"/>
        </w:rPr>
        <w:t>一、部门职责</w:t>
      </w:r>
    </w:p>
    <w:p>
      <w:pPr>
        <w:widowControl/>
        <w:spacing w:line="580" w:lineRule="exact"/>
        <w:ind w:firstLine="640" w:firstLineChars="200"/>
        <w:rPr>
          <w:rFonts w:hint="eastAsia" w:ascii="仿宋_GB2312" w:hAnsi="Calibri" w:eastAsia="仿宋_GB2312" w:cs="Arial Black"/>
          <w:kern w:val="0"/>
          <w:sz w:val="32"/>
          <w:szCs w:val="32"/>
        </w:rPr>
      </w:pPr>
      <w:r>
        <w:rPr>
          <w:rFonts w:hint="eastAsia" w:ascii="仿宋_GB2312" w:hAnsi="Calibri" w:eastAsia="仿宋_GB2312" w:cs="Arial Black"/>
          <w:kern w:val="0"/>
          <w:sz w:val="32"/>
          <w:szCs w:val="32"/>
        </w:rPr>
        <w:t>１.承担区委领导交办的文件、讲话稿等文字材料的起草和修订工作；负责区委文件和区委办公室代区委行文的核审工作；承担为区委制定党内规则的服务工作；负责区委刊物的编辑工作。</w:t>
      </w:r>
    </w:p>
    <w:p>
      <w:pPr>
        <w:widowControl/>
        <w:spacing w:line="580" w:lineRule="exact"/>
        <w:ind w:firstLine="640" w:firstLineChars="200"/>
        <w:rPr>
          <w:rFonts w:hint="eastAsia" w:ascii="仿宋_GB2312" w:hAnsi="Calibri" w:eastAsia="仿宋_GB2312" w:cs="Arial Black"/>
          <w:kern w:val="0"/>
          <w:sz w:val="32"/>
          <w:szCs w:val="32"/>
        </w:rPr>
      </w:pPr>
      <w:r>
        <w:rPr>
          <w:rFonts w:hint="eastAsia" w:ascii="仿宋_GB2312" w:hAnsi="Calibri" w:eastAsia="仿宋_GB2312" w:cs="Arial Black"/>
          <w:kern w:val="0"/>
          <w:sz w:val="32"/>
          <w:szCs w:val="32"/>
        </w:rPr>
        <w:t>２.围绕省、市、区委总体工作部署，围绕党的中心工作，组织有关经济、政治、文化和党建等方面的方针、政策、问题的调查</w:t>
      </w:r>
      <w:r>
        <w:rPr>
          <w:rFonts w:hint="eastAsia" w:ascii="仿宋_GB2312" w:hAnsi="Calibri" w:eastAsia="仿宋_GB2312" w:cs="Arial Black"/>
          <w:kern w:val="0"/>
          <w:sz w:val="32"/>
          <w:szCs w:val="32"/>
          <w:lang w:eastAsia="zh-CN"/>
        </w:rPr>
        <w:t>研究，</w:t>
      </w:r>
      <w:r>
        <w:rPr>
          <w:rFonts w:hint="eastAsia" w:ascii="仿宋_GB2312" w:hAnsi="Calibri" w:eastAsia="仿宋_GB2312" w:cs="Arial Black"/>
          <w:kern w:val="0"/>
          <w:sz w:val="32"/>
          <w:szCs w:val="32"/>
        </w:rPr>
        <w:t>收集和处理信息、反映动态，为区委决策当好参谋。</w:t>
      </w:r>
    </w:p>
    <w:p>
      <w:pPr>
        <w:widowControl/>
        <w:spacing w:line="580" w:lineRule="exact"/>
        <w:ind w:firstLine="640" w:firstLineChars="200"/>
        <w:rPr>
          <w:rFonts w:hint="eastAsia" w:ascii="仿宋_GB2312" w:hAnsi="Calibri" w:eastAsia="仿宋_GB2312" w:cs="Arial Black"/>
          <w:kern w:val="0"/>
          <w:sz w:val="32"/>
          <w:szCs w:val="32"/>
        </w:rPr>
      </w:pPr>
      <w:r>
        <w:rPr>
          <w:rFonts w:hint="eastAsia" w:ascii="仿宋_GB2312" w:hAnsi="Calibri" w:eastAsia="仿宋_GB2312" w:cs="Arial Black"/>
          <w:kern w:val="0"/>
          <w:sz w:val="32"/>
          <w:szCs w:val="32"/>
        </w:rPr>
        <w:t>３.负责区委日常文书处理；负责区委各种会议和日常工作活动的组织安排。</w:t>
      </w:r>
    </w:p>
    <w:p>
      <w:pPr>
        <w:widowControl/>
        <w:spacing w:line="580" w:lineRule="exact"/>
        <w:ind w:firstLine="640" w:firstLineChars="200"/>
        <w:rPr>
          <w:rFonts w:hint="eastAsia" w:ascii="仿宋_GB2312" w:hAnsi="Calibri" w:eastAsia="仿宋_GB2312" w:cs="Arial Black"/>
          <w:kern w:val="0"/>
          <w:sz w:val="32"/>
          <w:szCs w:val="32"/>
        </w:rPr>
      </w:pPr>
      <w:r>
        <w:rPr>
          <w:rFonts w:hint="eastAsia" w:ascii="仿宋_GB2312" w:hAnsi="Calibri" w:eastAsia="仿宋_GB2312" w:cs="Arial Black"/>
          <w:kern w:val="0"/>
          <w:sz w:val="32"/>
          <w:szCs w:val="32"/>
        </w:rPr>
        <w:t>４.负责对区委重要工作部署和区委领导同志要求的督查督办工作。</w:t>
      </w:r>
    </w:p>
    <w:p>
      <w:pPr>
        <w:widowControl/>
        <w:spacing w:line="580" w:lineRule="exact"/>
        <w:ind w:firstLine="640" w:firstLineChars="200"/>
        <w:rPr>
          <w:rFonts w:hint="eastAsia" w:ascii="仿宋_GB2312" w:hAnsi="Calibri" w:eastAsia="仿宋_GB2312" w:cs="Arial Black"/>
          <w:kern w:val="0"/>
          <w:sz w:val="32"/>
          <w:szCs w:val="32"/>
        </w:rPr>
      </w:pPr>
      <w:r>
        <w:rPr>
          <w:rFonts w:hint="eastAsia" w:ascii="仿宋_GB2312" w:hAnsi="Calibri" w:eastAsia="仿宋_GB2312" w:cs="Arial Black"/>
          <w:kern w:val="0"/>
          <w:sz w:val="32"/>
          <w:szCs w:val="32"/>
        </w:rPr>
        <w:t>５.负责全区党政系统保密工作；负责机要文件传递、收发工作；承担</w:t>
      </w:r>
      <w:r>
        <w:rPr>
          <w:rFonts w:hint="eastAsia" w:ascii="仿宋_GB2312" w:hAnsi="Calibri" w:eastAsia="仿宋_GB2312" w:cs="Arial Black"/>
          <w:kern w:val="0"/>
          <w:sz w:val="32"/>
          <w:szCs w:val="32"/>
          <w:lang w:eastAsia="zh-CN"/>
        </w:rPr>
        <w:t>区委</w:t>
      </w:r>
      <w:r>
        <w:rPr>
          <w:rFonts w:hint="eastAsia" w:ascii="仿宋_GB2312" w:hAnsi="Calibri" w:eastAsia="仿宋_GB2312" w:cs="Arial Black"/>
          <w:kern w:val="0"/>
          <w:sz w:val="32"/>
          <w:szCs w:val="32"/>
        </w:rPr>
        <w:t>保密工作领导小组日常工作。</w:t>
      </w:r>
    </w:p>
    <w:p>
      <w:pPr>
        <w:widowControl/>
        <w:spacing w:line="580" w:lineRule="exact"/>
        <w:ind w:firstLine="640" w:firstLineChars="200"/>
        <w:rPr>
          <w:rFonts w:hint="eastAsia" w:ascii="仿宋_GB2312" w:hAnsi="Calibri" w:eastAsia="仿宋_GB2312" w:cs="Arial Black"/>
          <w:kern w:val="0"/>
          <w:sz w:val="32"/>
          <w:szCs w:val="32"/>
        </w:rPr>
      </w:pPr>
      <w:r>
        <w:rPr>
          <w:rFonts w:hint="eastAsia" w:ascii="仿宋_GB2312" w:hAnsi="Calibri" w:eastAsia="仿宋_GB2312" w:cs="Arial Black"/>
          <w:kern w:val="0"/>
          <w:sz w:val="32"/>
          <w:szCs w:val="32"/>
        </w:rPr>
        <w:t>６.负责区委领导同志的政务活动及生活服务工作。</w:t>
      </w:r>
    </w:p>
    <w:p>
      <w:pPr>
        <w:widowControl/>
        <w:spacing w:line="580" w:lineRule="exact"/>
        <w:ind w:firstLine="640" w:firstLineChars="200"/>
        <w:rPr>
          <w:rFonts w:hint="eastAsia" w:ascii="仿宋_GB2312" w:hAnsi="Calibri" w:eastAsia="仿宋_GB2312" w:cs="Arial Black"/>
          <w:kern w:val="0"/>
          <w:sz w:val="32"/>
          <w:szCs w:val="32"/>
        </w:rPr>
      </w:pPr>
      <w:r>
        <w:rPr>
          <w:rFonts w:hint="eastAsia" w:ascii="仿宋_GB2312" w:hAnsi="Calibri" w:eastAsia="仿宋_GB2312" w:cs="Arial Black"/>
          <w:kern w:val="0"/>
          <w:sz w:val="32"/>
          <w:szCs w:val="32"/>
        </w:rPr>
        <w:t>７.负责市以上党委系统领导的接待服务和协调工作，负责区委领导同志交办的其他接待工作。</w:t>
      </w:r>
    </w:p>
    <w:p>
      <w:pPr>
        <w:widowControl/>
        <w:spacing w:line="580" w:lineRule="exact"/>
        <w:ind w:firstLine="640" w:firstLineChars="200"/>
        <w:rPr>
          <w:rFonts w:hint="eastAsia" w:ascii="仿宋_GB2312" w:hAnsi="Calibri" w:eastAsia="仿宋_GB2312" w:cs="Arial Black"/>
          <w:kern w:val="0"/>
          <w:sz w:val="32"/>
          <w:szCs w:val="32"/>
        </w:rPr>
      </w:pPr>
      <w:r>
        <w:rPr>
          <w:rFonts w:hint="eastAsia" w:ascii="仿宋_GB2312" w:hAnsi="Calibri" w:eastAsia="仿宋_GB2312" w:cs="Arial Black"/>
          <w:kern w:val="0"/>
          <w:sz w:val="32"/>
          <w:szCs w:val="32"/>
        </w:rPr>
        <w:t>８.负责区委系统财务、安全保卫、机关事务协调和管理工作。</w:t>
      </w:r>
    </w:p>
    <w:p>
      <w:pPr>
        <w:widowControl/>
        <w:spacing w:line="580" w:lineRule="exact"/>
        <w:ind w:firstLine="640" w:firstLineChars="200"/>
        <w:rPr>
          <w:rFonts w:hint="eastAsia" w:ascii="仿宋_GB2312" w:hAnsi="Calibri" w:eastAsia="仿宋_GB2312" w:cs="Arial Black"/>
          <w:kern w:val="0"/>
          <w:sz w:val="32"/>
          <w:szCs w:val="32"/>
        </w:rPr>
      </w:pPr>
      <w:r>
        <w:rPr>
          <w:rFonts w:hint="eastAsia" w:ascii="仿宋_GB2312" w:hAnsi="Calibri" w:eastAsia="仿宋_GB2312" w:cs="Arial Black"/>
          <w:kern w:val="0"/>
          <w:sz w:val="32"/>
          <w:szCs w:val="32"/>
        </w:rPr>
        <w:t>９.负责全区党史研究工作。</w:t>
      </w:r>
    </w:p>
    <w:p>
      <w:pPr>
        <w:widowControl/>
        <w:spacing w:line="580" w:lineRule="exact"/>
        <w:ind w:firstLine="640" w:firstLineChars="200"/>
        <w:rPr>
          <w:rFonts w:ascii="仿宋_GB2312" w:hAnsi="Calibri" w:eastAsia="仿宋_GB2312" w:cs="Arial Black"/>
          <w:kern w:val="0"/>
          <w:sz w:val="32"/>
          <w:szCs w:val="32"/>
        </w:rPr>
      </w:pPr>
      <w:r>
        <w:rPr>
          <w:rFonts w:hint="eastAsia" w:ascii="仿宋_GB2312" w:hAnsi="Calibri" w:eastAsia="仿宋_GB2312" w:cs="Arial Black"/>
          <w:kern w:val="0"/>
          <w:sz w:val="32"/>
          <w:szCs w:val="32"/>
        </w:rPr>
        <w:t>１０.完成区委交办的其他任务。</w:t>
      </w:r>
    </w:p>
    <w:p>
      <w:pPr>
        <w:keepNext/>
        <w:keepLines/>
        <w:spacing w:line="580" w:lineRule="exact"/>
        <w:ind w:firstLine="640" w:firstLineChars="200"/>
        <w:jc w:val="left"/>
        <w:outlineLvl w:val="0"/>
        <w:rPr>
          <w:rFonts w:ascii="黑体" w:hAnsi="Calibri" w:eastAsia="黑体" w:cs="黑体"/>
          <w:kern w:val="0"/>
          <w:sz w:val="32"/>
          <w:szCs w:val="32"/>
        </w:rPr>
      </w:pPr>
      <w:r>
        <w:rPr>
          <w:rFonts w:hint="eastAsia" w:ascii="黑体" w:hAnsi="Calibri" w:eastAsia="黑体" w:cs="黑体"/>
          <w:kern w:val="0"/>
          <w:sz w:val="32"/>
          <w:szCs w:val="32"/>
        </w:rPr>
        <w:t>二、机构设置</w:t>
      </w:r>
    </w:p>
    <w:p>
      <w:pPr>
        <w:spacing w:line="580" w:lineRule="exact"/>
        <w:ind w:firstLine="640" w:firstLineChars="200"/>
        <w:rPr>
          <w:rFonts w:ascii="仿宋_GB2312" w:hAnsi="Calibri" w:eastAsia="仿宋_GB2312" w:cs="Arial Black"/>
          <w:kern w:val="0"/>
          <w:sz w:val="32"/>
          <w:szCs w:val="32"/>
        </w:rPr>
      </w:pPr>
      <w:r>
        <w:rPr>
          <w:rFonts w:hint="eastAsia" w:ascii="仿宋_GB2312" w:hAnsi="Calibri" w:eastAsia="仿宋_GB2312" w:cs="Arial Black"/>
          <w:kern w:val="0"/>
          <w:sz w:val="32"/>
          <w:szCs w:val="32"/>
        </w:rPr>
        <w:t>从决算编报单位构成看，纳入20</w:t>
      </w:r>
      <w:r>
        <w:rPr>
          <w:rFonts w:ascii="仿宋_GB2312" w:hAnsi="Calibri" w:eastAsia="仿宋_GB2312" w:cs="Arial Black"/>
          <w:kern w:val="0"/>
          <w:sz w:val="32"/>
          <w:szCs w:val="32"/>
        </w:rPr>
        <w:t>20</w:t>
      </w:r>
      <w:r>
        <w:rPr>
          <w:rFonts w:hint="eastAsia" w:ascii="仿宋_GB2312" w:hAnsi="Calibri" w:eastAsia="仿宋_GB2312" w:cs="Arial Black"/>
          <w:kern w:val="0"/>
          <w:sz w:val="32"/>
          <w:szCs w:val="32"/>
        </w:rPr>
        <w:t>年度本部门决算汇编范围的独立核算单位（以下简称“单位”）共</w:t>
      </w:r>
      <w:r>
        <w:rPr>
          <w:rFonts w:hint="eastAsia" w:ascii="仿宋_GB2312" w:hAnsi="Calibri" w:eastAsia="仿宋_GB2312" w:cs="Arial Black"/>
          <w:kern w:val="0"/>
          <w:sz w:val="32"/>
          <w:szCs w:val="32"/>
          <w:lang w:val="en-US" w:eastAsia="zh-CN"/>
        </w:rPr>
        <w:t>1</w:t>
      </w:r>
      <w:r>
        <w:rPr>
          <w:rFonts w:hint="eastAsia" w:ascii="仿宋_GB2312" w:hAnsi="Calibri" w:eastAsia="仿宋_GB2312" w:cs="Arial Black"/>
          <w:kern w:val="0"/>
          <w:sz w:val="32"/>
          <w:szCs w:val="32"/>
        </w:rPr>
        <w:t>个，具体情况如下：</w:t>
      </w:r>
    </w:p>
    <w:tbl>
      <w:tblPr>
        <w:tblStyle w:val="6"/>
        <w:tblpPr w:leftFromText="180" w:rightFromText="180" w:vertAnchor="text" w:horzAnchor="page" w:tblpXSpec="center" w:tblpY="10"/>
        <w:tblOverlap w:val="never"/>
        <w:tblW w:w="94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8"/>
        <w:gridCol w:w="3696"/>
        <w:gridCol w:w="2134"/>
        <w:gridCol w:w="2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968"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序号</w:t>
            </w:r>
          </w:p>
        </w:tc>
        <w:tc>
          <w:tcPr>
            <w:tcW w:w="3696"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单位名称</w:t>
            </w:r>
          </w:p>
        </w:tc>
        <w:tc>
          <w:tcPr>
            <w:tcW w:w="2134"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单位基本性质</w:t>
            </w:r>
          </w:p>
        </w:tc>
        <w:tc>
          <w:tcPr>
            <w:tcW w:w="2622"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968" w:type="dxa"/>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8"/>
                <w:szCs w:val="28"/>
              </w:rPr>
              <w:t>1</w:t>
            </w:r>
          </w:p>
        </w:tc>
        <w:tc>
          <w:tcPr>
            <w:tcW w:w="3696" w:type="dxa"/>
          </w:tcPr>
          <w:p>
            <w:pPr>
              <w:spacing w:line="560" w:lineRule="exact"/>
              <w:rPr>
                <w:rFonts w:ascii="仿宋_GB2312" w:hAnsi="Calibri" w:eastAsia="仿宋_GB2312" w:cs="Arial Black"/>
                <w:kern w:val="0"/>
                <w:sz w:val="28"/>
                <w:szCs w:val="28"/>
              </w:rPr>
            </w:pPr>
            <w:r>
              <w:rPr>
                <w:rFonts w:hint="eastAsia" w:ascii="仿宋_GB2312" w:hAnsi="Calibri" w:eastAsia="仿宋_GB2312" w:cs="Arial Black"/>
                <w:kern w:val="0"/>
                <w:sz w:val="28"/>
                <w:szCs w:val="28"/>
              </w:rPr>
              <w:t>中共保定市满城区委办公室</w:t>
            </w:r>
          </w:p>
        </w:tc>
        <w:tc>
          <w:tcPr>
            <w:tcW w:w="2134" w:type="dxa"/>
            <w:vAlign w:val="top"/>
          </w:tcPr>
          <w:p>
            <w:pPr>
              <w:spacing w:line="560" w:lineRule="exact"/>
              <w:jc w:val="center"/>
              <w:rPr>
                <w:rFonts w:ascii="仿宋_GB2312" w:hAnsi="Calibri" w:eastAsia="仿宋_GB2312" w:cs="ArialUnicodeMS"/>
                <w:kern w:val="0"/>
                <w:sz w:val="28"/>
                <w:szCs w:val="28"/>
                <w:lang w:val="en-US" w:eastAsia="zh-CN" w:bidi="ar-SA"/>
              </w:rPr>
            </w:pPr>
            <w:r>
              <w:rPr>
                <w:rFonts w:hint="eastAsia" w:ascii="仿宋_GB2312" w:hAnsi="Calibri" w:eastAsia="仿宋_GB2312" w:cs="ArialUnicodeMS"/>
                <w:kern w:val="0"/>
                <w:sz w:val="28"/>
                <w:szCs w:val="28"/>
              </w:rPr>
              <w:t>行政单位</w:t>
            </w:r>
          </w:p>
        </w:tc>
        <w:tc>
          <w:tcPr>
            <w:tcW w:w="2622" w:type="dxa"/>
            <w:vAlign w:val="top"/>
          </w:tcPr>
          <w:p>
            <w:pPr>
              <w:spacing w:line="560" w:lineRule="exact"/>
              <w:jc w:val="center"/>
              <w:rPr>
                <w:rFonts w:ascii="仿宋_GB2312" w:hAnsi="Calibri" w:eastAsia="仿宋_GB2312" w:cs="ArialUnicodeMS"/>
                <w:kern w:val="0"/>
                <w:sz w:val="28"/>
                <w:szCs w:val="28"/>
                <w:lang w:val="en-US" w:eastAsia="zh-CN" w:bidi="ar-SA"/>
              </w:rPr>
            </w:pPr>
            <w:r>
              <w:rPr>
                <w:rFonts w:hint="eastAsia" w:ascii="仿宋_GB2312" w:hAnsi="Calibri" w:eastAsia="仿宋_GB2312" w:cs="ArialUnicodeMS"/>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9420" w:type="dxa"/>
            <w:gridSpan w:val="4"/>
            <w:tcBorders>
              <w:top w:val="single" w:color="auto" w:sz="4" w:space="0"/>
              <w:left w:val="nil"/>
              <w:bottom w:val="nil"/>
              <w:right w:val="nil"/>
            </w:tcBorders>
          </w:tcPr>
          <w:p>
            <w:pPr>
              <w:spacing w:line="560" w:lineRule="exact"/>
              <w:jc w:val="left"/>
              <w:rPr>
                <w:rFonts w:ascii="仿宋_GB2312" w:hAnsi="Calibri" w:eastAsia="仿宋_GB2312" w:cs="Arial Black"/>
                <w:kern w:val="0"/>
                <w:sz w:val="28"/>
                <w:szCs w:val="28"/>
              </w:rPr>
            </w:pPr>
            <w:r>
              <w:rPr>
                <w:rFonts w:hint="eastAsia" w:ascii="仿宋_GB2312" w:hAnsi="Calibri" w:eastAsia="仿宋_GB2312" w:cs="Arial Black"/>
                <w:kern w:val="0"/>
                <w:sz w:val="28"/>
                <w:szCs w:val="28"/>
              </w:rPr>
              <w:t>注：1、单位基本性质分为行政单位、参公事业单位、财政补助事业单位、经费自理事业单位四类。</w:t>
            </w:r>
          </w:p>
          <w:p>
            <w:pPr>
              <w:spacing w:line="560" w:lineRule="exact"/>
              <w:ind w:firstLine="560" w:firstLineChars="200"/>
              <w:jc w:val="left"/>
              <w:rPr>
                <w:rFonts w:ascii="仿宋_GB2312" w:hAnsi="Calibri" w:eastAsia="仿宋_GB2312" w:cs="Arial Black"/>
                <w:kern w:val="0"/>
                <w:sz w:val="28"/>
                <w:szCs w:val="28"/>
              </w:rPr>
            </w:pPr>
            <w:r>
              <w:rPr>
                <w:rFonts w:hint="eastAsia" w:ascii="仿宋_GB2312" w:hAnsi="Calibri" w:eastAsia="仿宋_GB2312" w:cs="Arial Black"/>
                <w:kern w:val="0"/>
                <w:sz w:val="28"/>
                <w:szCs w:val="28"/>
              </w:rPr>
              <w:t>2、经费形式分为财政拨款、财政性资金基本保证、财政性资金定额或定项补助、财政性资金零补助四类。</w:t>
            </w:r>
          </w:p>
        </w:tc>
      </w:tr>
    </w:tbl>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640" w:firstLineChars="200"/>
        <w:rPr>
          <w:rFonts w:ascii="Times New Roman" w:hAnsi="Times New Roman" w:eastAsia="黑体" w:cs="Times New Roman"/>
          <w:sz w:val="32"/>
          <w:szCs w:val="32"/>
        </w:rPr>
      </w:pPr>
    </w:p>
    <w:p/>
    <w:p>
      <w:pPr>
        <w:widowControl/>
        <w:spacing w:after="160" w:line="580" w:lineRule="exact"/>
        <w:ind w:firstLine="1440" w:firstLineChars="200"/>
        <w:rPr>
          <w:rFonts w:ascii="Times New Roman" w:hAnsi="Times New Roman" w:eastAsia="黑体" w:cs="Times New Roman"/>
          <w:sz w:val="32"/>
          <w:szCs w:val="32"/>
        </w:rPr>
        <w:sectPr>
          <w:headerReference r:id="rId10" w:type="default"/>
          <w:pgSz w:w="11906" w:h="16838"/>
          <w:pgMar w:top="2098" w:right="1531" w:bottom="1984" w:left="1531" w:header="851" w:footer="992" w:gutter="0"/>
          <w:pgNumType w:fmt="numberInDash"/>
          <w:cols w:space="0" w:num="1"/>
          <w:titlePg/>
          <w:docGrid w:type="lines" w:linePitch="312" w:charSpace="0"/>
        </w:sectPr>
      </w:pPr>
      <w:r>
        <w:rPr>
          <w:sz w:val="72"/>
        </w:rPr>
        <mc:AlternateContent>
          <mc:Choice Requires="wps">
            <w:drawing>
              <wp:anchor distT="0" distB="0" distL="114300" distR="114300" simplePos="0" relativeHeight="251662336" behindDoc="0" locked="0" layoutInCell="1" allowOverlap="1">
                <wp:simplePos x="0" y="0"/>
                <wp:positionH relativeFrom="column">
                  <wp:posOffset>-1088390</wp:posOffset>
                </wp:positionH>
                <wp:positionV relativeFrom="paragraph">
                  <wp:posOffset>3024505</wp:posOffset>
                </wp:positionV>
                <wp:extent cx="7793355" cy="2200275"/>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7793355" cy="2200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 </w:t>
                            </w:r>
                          </w:p>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5.7pt;margin-top:238.15pt;height:173.25pt;width:613.65pt;z-index:251662336;mso-width-relative:page;mso-height-relative:page;" filled="f" stroked="f" coordsize="21600,21600" o:gfxdata="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uuj5PeAAAADQEAAA8AAAAAAAAAAQAgAAAA&#10;IgAAAGRycy9kb3ducmV2LnhtbFBLAQIUABQAAAAIAIdO4kBdpNn+PgIAAGsEAAAOAAAAAAAAAAEA&#10;IAAAAC0BAABkcnMvZTJvRG9jLnhtbFBLBQYAAAAABgAGAFkBAADdBQAAAAA=&#10;">
                <v:fill on="f" focussize="0,0"/>
                <v:stroke on="f" weight="0.5pt"/>
                <v:imagedata o:title=""/>
                <o:lock v:ext="edit" aspectratio="f"/>
                <v:textbo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 </w:t>
                      </w:r>
                    </w:p>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txbxContent>
                </v:textbox>
              </v:shape>
            </w:pict>
          </mc:Fallback>
        </mc:AlternateContent>
      </w:r>
    </w:p>
    <w:p>
      <w:pPr>
        <w:widowControl/>
        <w:spacing w:line="580" w:lineRule="exact"/>
        <w:ind w:firstLine="640" w:firstLineChars="200"/>
        <w:rPr>
          <w:rFonts w:eastAsia="黑体"/>
          <w:sz w:val="32"/>
          <w:szCs w:val="3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r>
        <w:rPr>
          <w:sz w:val="72"/>
        </w:rPr>
        <mc:AlternateContent>
          <mc:Choice Requires="wps">
            <w:drawing>
              <wp:anchor distT="0" distB="0" distL="114300" distR="114300" simplePos="0" relativeHeight="251663360" behindDoc="0" locked="0" layoutInCell="1" allowOverlap="1">
                <wp:simplePos x="0" y="0"/>
                <wp:positionH relativeFrom="column">
                  <wp:posOffset>-1028065</wp:posOffset>
                </wp:positionH>
                <wp:positionV relativeFrom="paragraph">
                  <wp:posOffset>-2637155</wp:posOffset>
                </wp:positionV>
                <wp:extent cx="7793355" cy="3341370"/>
                <wp:effectExtent l="6350" t="6350" r="18415" b="20320"/>
                <wp:wrapNone/>
                <wp:docPr id="2" name="文本框 2"/>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chemeClr val="bg1">
                              <a:lumMod val="50000"/>
                            </a:schemeClr>
                          </a:fgClr>
                          <a:bgClr>
                            <a:schemeClr val="bg1"/>
                          </a:bgClr>
                        </a:pattFill>
                        <a:ln w="12700" cmpd="sng">
                          <a:solidFill>
                            <a:schemeClr val="bg1">
                              <a:lumMod val="65000"/>
                            </a:schemeClr>
                          </a:solidFill>
                          <a:prstDash val="solid"/>
                        </a:ln>
                      </wps:spPr>
                      <wps:style>
                        <a:lnRef idx="0">
                          <a:schemeClr val="accent1"/>
                        </a:lnRef>
                        <a:fillRef idx="0">
                          <a:schemeClr val="accent1"/>
                        </a:fillRef>
                        <a:effectRef idx="0">
                          <a:schemeClr val="accent1"/>
                        </a:effectRef>
                        <a:fontRef idx="minor">
                          <a:schemeClr val="dk1"/>
                        </a:fontRef>
                      </wps:style>
                      <wps:txb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第二部分 </w:t>
                            </w:r>
                          </w:p>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2020年部门决算情况说明</w:t>
                            </w:r>
                          </w:p>
                          <w:p>
                            <w:pPr>
                              <w:widowControl/>
                              <w:jc w:val="center"/>
                              <w:rPr>
                                <w14:textOutline w14:w="9525" w14:cap="flat" w14:cmpd="sng" w14:algn="ctr">
                                  <w14:solidFill>
                                    <w14:schemeClr w14:val="tx1">
                                      <w14:lumMod w14:val="50000"/>
                                      <w14:lumOff w14:val="50000"/>
                                    </w14:schemeClr>
                                  </w14:solidFill>
                                  <w14:prstDash w14:val="solid"/>
                                  <w14:round/>
                                </w14:textOutline>
                              </w:rPr>
                            </w:pP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0.95pt;margin-top:-207.65pt;height:263.1pt;width:613.65pt;z-index:251663360;v-text-anchor:middle;mso-width-relative:page;mso-height-relative:page;" fillcolor="#7F7F7F [1612]" filled="t" stroked="t" coordsize="21600,21600" o:gfxdata="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vBcO0d0AAAAOAQAADwAAAAAAAAABACAAAAAiAAAAZHJzL2Rvd25yZXYueG1s&#10;UEsBAhQAFAAAAAgAh07iQFmkM3ieAgAAbQUAAA4AAAAAAAAAAQAgAAAALAEAAGRycy9lMm9Eb2Mu&#10;eG1sUEsFBgAAAAAGAAYAWQEAADwGAAAAAA==&#10;">
                <v:fill type="pattern" on="t" color2="#FFFFFF [3212]" o:title="5%" focussize="0,0" r:id="rId14"/>
                <v:stroke weight="1pt" color="#A6A6A6 [2092]" joinstyle="round"/>
                <v:imagedata o:title=""/>
                <o:lock v:ext="edit" aspectratio="f"/>
                <v:textbo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第二部分 </w:t>
                      </w:r>
                    </w:p>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2020年部门决算情况说明</w:t>
                      </w:r>
                    </w:p>
                    <w:p>
                      <w:pPr>
                        <w:widowControl/>
                        <w:jc w:val="center"/>
                        <w:rPr>
                          <w14:textOutline w14:w="9525" w14:cap="flat" w14:cmpd="sng" w14:algn="ctr">
                            <w14:solidFill>
                              <w14:schemeClr w14:val="tx1">
                                <w14:lumMod w14:val="50000"/>
                                <w14:lumOff w14:val="50000"/>
                              </w14:schemeClr>
                            </w14:solidFill>
                            <w14:prstDash w14:val="solid"/>
                            <w14:round/>
                          </w14:textOutline>
                        </w:rPr>
                      </w:pPr>
                    </w:p>
                    <w:p/>
                  </w:txbxContent>
                </v:textbox>
              </v:shape>
            </w:pict>
          </mc:Fallback>
        </mc:AlternateContent>
      </w:r>
    </w:p>
    <w:p>
      <w:pPr>
        <w:jc w:val="center"/>
        <w:rPr>
          <w:rFonts w:ascii="黑体" w:hAnsi="黑体" w:eastAsia="黑体" w:cs="黑体"/>
          <w:sz w:val="56"/>
          <w:szCs w:val="72"/>
        </w:rPr>
      </w:pPr>
    </w:p>
    <w:p>
      <w:pPr>
        <w:keepNext/>
        <w:keepLines/>
        <w:snapToGrid w:val="0"/>
        <w:spacing w:line="600" w:lineRule="exact"/>
        <w:ind w:firstLine="420" w:firstLineChars="200"/>
        <w:outlineLvl w:val="1"/>
        <w:rPr>
          <w:rFonts w:ascii="黑体" w:hAnsi="Calibri" w:eastAsia="黑体" w:cs="Times New Roman"/>
          <w:sz w:val="32"/>
          <w:szCs w:val="32"/>
        </w:rPr>
      </w:pPr>
      <w:r>
        <w:br w:type="page"/>
      </w:r>
      <w:r>
        <w:rPr>
          <w:rFonts w:hint="eastAsia" w:ascii="黑体" w:hAnsi="Calibri" w:eastAsia="黑体" w:cs="Times New Roman"/>
          <w:sz w:val="32"/>
          <w:szCs w:val="32"/>
        </w:rPr>
        <w:t>一、收入</w:t>
      </w:r>
      <w:r>
        <w:rPr>
          <w:rFonts w:hint="eastAsia" w:ascii="黑体" w:hAnsi="Cambria" w:eastAsia="黑体" w:cs="黑体"/>
          <w:kern w:val="0"/>
          <w:sz w:val="32"/>
          <w:szCs w:val="32"/>
        </w:rPr>
        <w:t>支出</w:t>
      </w:r>
      <w:r>
        <w:rPr>
          <w:rFonts w:hint="eastAsia" w:ascii="黑体" w:hAnsi="Calibri" w:eastAsia="黑体" w:cs="Times New Roman"/>
          <w:sz w:val="32"/>
          <w:szCs w:val="32"/>
        </w:rPr>
        <w:t>决算总体情况说明</w:t>
      </w:r>
    </w:p>
    <w:p>
      <w:pPr>
        <w:adjustRightInd w:val="0"/>
        <w:snapToGrid w:val="0"/>
        <w:spacing w:line="600" w:lineRule="exact"/>
        <w:ind w:firstLine="640" w:firstLineChars="200"/>
        <w:rPr>
          <w:rFonts w:hint="eastAsia" w:ascii="仿宋_GB2312" w:hAnsi="Times New Roman" w:eastAsia="仿宋_GB2312" w:cs="Wingdings"/>
          <w:sz w:val="32"/>
          <w:szCs w:val="32"/>
          <w:highlight w:val="yellow"/>
          <w:lang w:val="en-US" w:eastAsia="zh-CN"/>
        </w:rPr>
      </w:pPr>
      <w:r>
        <w:rPr>
          <w:rFonts w:hint="eastAsia" w:ascii="仿宋_GB2312" w:hAnsi="Times New Roman" w:eastAsia="仿宋_GB2312" w:cs="Wingdings"/>
          <w:sz w:val="32"/>
          <w:szCs w:val="32"/>
        </w:rPr>
        <w:t>本部门2020年度收、支总计（含结转和结余）739.58万元。与2019年度决算相比，收支各减少</w:t>
      </w:r>
      <w:r>
        <w:rPr>
          <w:rFonts w:hint="eastAsia" w:ascii="仿宋_GB2312" w:hAnsi="Times New Roman" w:eastAsia="仿宋_GB2312" w:cs="Wingdings"/>
          <w:sz w:val="32"/>
          <w:szCs w:val="32"/>
          <w:lang w:val="en-US" w:eastAsia="zh-CN"/>
        </w:rPr>
        <w:t>84.56</w:t>
      </w:r>
      <w:r>
        <w:rPr>
          <w:rFonts w:hint="eastAsia" w:ascii="仿宋_GB2312" w:hAnsi="Times New Roman" w:eastAsia="仿宋_GB2312" w:cs="Wingdings"/>
          <w:sz w:val="32"/>
          <w:szCs w:val="32"/>
        </w:rPr>
        <w:t>万元，下降</w:t>
      </w:r>
      <w:r>
        <w:rPr>
          <w:rFonts w:hint="eastAsia" w:ascii="仿宋_GB2312" w:hAnsi="Times New Roman" w:eastAsia="仿宋_GB2312" w:cs="Wingdings"/>
          <w:sz w:val="32"/>
          <w:szCs w:val="32"/>
          <w:lang w:val="en-US" w:eastAsia="zh-CN"/>
        </w:rPr>
        <w:t>10.26</w:t>
      </w:r>
      <w:r>
        <w:rPr>
          <w:rFonts w:hint="eastAsia" w:ascii="仿宋_GB2312" w:hAnsi="Times New Roman" w:eastAsia="仿宋_GB2312" w:cs="Wingdings"/>
          <w:sz w:val="32"/>
          <w:szCs w:val="32"/>
        </w:rPr>
        <w:t>%，主要原因是严格落实八项规定，压缩经费开支</w:t>
      </w:r>
      <w:r>
        <w:rPr>
          <w:rFonts w:hint="eastAsia" w:ascii="仿宋_GB2312" w:hAnsi="Times New Roman" w:eastAsia="仿宋_GB2312" w:cs="Wingdings"/>
          <w:sz w:val="32"/>
          <w:szCs w:val="32"/>
          <w:lang w:eastAsia="zh-CN"/>
        </w:rPr>
        <w:t>。</w:t>
      </w:r>
    </w:p>
    <w:p>
      <w:pPr>
        <w:adjustRightInd w:val="0"/>
        <w:snapToGrid w:val="0"/>
        <w:spacing w:line="600" w:lineRule="exact"/>
        <w:rPr>
          <w:rFonts w:ascii="仿宋_GB2312" w:hAnsi="Times New Roman" w:eastAsia="仿宋_GB2312" w:cs="Wingdings"/>
          <w:sz w:val="32"/>
          <w:szCs w:val="32"/>
        </w:rPr>
      </w:pPr>
      <w:r>
        <w:rPr>
          <w:rFonts w:hint="eastAsia" w:ascii="仿宋_GB2312" w:hAnsi="Times New Roman" w:eastAsia="仿宋_GB2312" w:cs="Wingdings"/>
          <w:sz w:val="32"/>
          <w:szCs w:val="32"/>
        </w:rPr>
        <w:drawing>
          <wp:anchor distT="0" distB="0" distL="114300" distR="114300" simplePos="0" relativeHeight="251664384" behindDoc="1" locked="0" layoutInCell="1" allowOverlap="1">
            <wp:simplePos x="0" y="0"/>
            <wp:positionH relativeFrom="column">
              <wp:posOffset>753110</wp:posOffset>
            </wp:positionH>
            <wp:positionV relativeFrom="paragraph">
              <wp:posOffset>62230</wp:posOffset>
            </wp:positionV>
            <wp:extent cx="4157980" cy="2273300"/>
            <wp:effectExtent l="0" t="0" r="2540" b="12700"/>
            <wp:wrapNone/>
            <wp:docPr id="27" name="图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pPr>
        <w:adjustRightInd w:val="0"/>
        <w:snapToGrid w:val="0"/>
        <w:spacing w:line="600" w:lineRule="exact"/>
        <w:ind w:firstLine="640" w:firstLineChars="200"/>
        <w:rPr>
          <w:rFonts w:ascii="仿宋_GB2312" w:hAnsi="Times New Roman" w:eastAsia="仿宋_GB2312" w:cs="Wingdings"/>
          <w:sz w:val="32"/>
          <w:szCs w:val="32"/>
        </w:rPr>
      </w:pPr>
    </w:p>
    <w:p>
      <w:pPr>
        <w:tabs>
          <w:tab w:val="left" w:pos="5800"/>
        </w:tabs>
        <w:adjustRightInd w:val="0"/>
        <w:snapToGrid w:val="0"/>
        <w:spacing w:line="600" w:lineRule="exact"/>
        <w:ind w:firstLine="640" w:firstLineChars="200"/>
        <w:rPr>
          <w:rFonts w:ascii="仿宋_GB2312" w:hAnsi="Times New Roman" w:eastAsia="仿宋_GB2312" w:cs="Wingdings"/>
          <w:sz w:val="18"/>
          <w:szCs w:val="18"/>
        </w:rPr>
      </w:pPr>
      <w:r>
        <w:rPr>
          <w:rFonts w:ascii="仿宋_GB2312" w:hAnsi="Times New Roman" w:eastAsia="仿宋_GB2312" w:cs="Wingdings"/>
          <w:sz w:val="32"/>
          <w:szCs w:val="32"/>
        </w:rPr>
        <w:tab/>
      </w:r>
    </w:p>
    <w:p>
      <w:pPr>
        <w:adjustRightInd w:val="0"/>
        <w:snapToGrid w:val="0"/>
        <w:spacing w:line="600" w:lineRule="exact"/>
        <w:ind w:firstLine="640" w:firstLineChars="200"/>
        <w:rPr>
          <w:rFonts w:ascii="仿宋_GB2312" w:hAnsi="Times New Roman" w:eastAsia="仿宋_GB2312" w:cs="Wingdings"/>
          <w:sz w:val="32"/>
          <w:szCs w:val="32"/>
        </w:rPr>
      </w:pPr>
    </w:p>
    <w:p>
      <w:pPr>
        <w:tabs>
          <w:tab w:val="left" w:pos="2820"/>
        </w:tabs>
        <w:adjustRightInd w:val="0"/>
        <w:snapToGrid w:val="0"/>
        <w:spacing w:line="600" w:lineRule="exact"/>
        <w:ind w:firstLine="640" w:firstLineChars="200"/>
        <w:rPr>
          <w:rFonts w:ascii="仿宋_GB2312" w:hAnsi="Times New Roman" w:eastAsia="仿宋_GB2312" w:cs="Wingdings"/>
          <w:sz w:val="20"/>
          <w:szCs w:val="20"/>
        </w:rPr>
      </w:pPr>
      <w:r>
        <w:rPr>
          <w:rFonts w:ascii="仿宋_GB2312" w:hAnsi="Times New Roman" w:eastAsia="仿宋_GB2312" w:cs="Wingdings"/>
          <w:sz w:val="32"/>
          <w:szCs w:val="32"/>
        </w:rPr>
        <w:tab/>
      </w:r>
    </w:p>
    <w:p>
      <w:pPr>
        <w:keepNext/>
        <w:keepLines/>
        <w:snapToGrid w:val="0"/>
        <w:spacing w:line="600" w:lineRule="exact"/>
        <w:ind w:firstLine="640" w:firstLineChars="200"/>
        <w:outlineLvl w:val="1"/>
        <w:rPr>
          <w:rFonts w:ascii="黑体" w:hAnsi="Calibri" w:eastAsia="黑体" w:cs="Times New Roman"/>
          <w:sz w:val="32"/>
          <w:szCs w:val="32"/>
        </w:rPr>
      </w:pPr>
    </w:p>
    <w:p>
      <w:pPr>
        <w:keepNext/>
        <w:keepLines/>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二、收入决算情况说明</w:t>
      </w:r>
    </w:p>
    <w:p>
      <w:pPr>
        <w:snapToGrid w:val="0"/>
        <w:spacing w:line="600" w:lineRule="exact"/>
        <w:ind w:firstLine="640" w:firstLineChars="200"/>
        <w:outlineLvl w:val="1"/>
        <w:rPr>
          <w:rFonts w:hint="eastAsia" w:ascii="黑体" w:hAnsi="Calibri" w:eastAsia="黑体" w:cs="Times New Roman"/>
          <w:sz w:val="32"/>
          <w:szCs w:val="32"/>
        </w:rPr>
      </w:pPr>
      <w:r>
        <w:rPr>
          <w:rFonts w:hint="eastAsia" w:ascii="仿宋_GB2312" w:hAnsi="Times New Roman" w:eastAsia="仿宋_GB2312" w:cs="Wingdings"/>
          <w:sz w:val="32"/>
          <w:szCs w:val="32"/>
        </w:rPr>
        <w:t>本部门2020年度本年收入合计739.58万元，其中：财政拨款收入739.58万元，占</w:t>
      </w:r>
      <w:r>
        <w:rPr>
          <w:rFonts w:hint="eastAsia" w:ascii="仿宋_GB2312" w:hAnsi="Times New Roman" w:eastAsia="仿宋_GB2312" w:cs="Wingdings"/>
          <w:sz w:val="32"/>
          <w:szCs w:val="32"/>
          <w:lang w:val="en-US" w:eastAsia="zh-CN"/>
        </w:rPr>
        <w:t>100</w:t>
      </w:r>
      <w:r>
        <w:rPr>
          <w:rFonts w:hint="eastAsia" w:ascii="仿宋_GB2312" w:hAnsi="Times New Roman" w:eastAsia="仿宋_GB2312" w:cs="Wingdings"/>
          <w:sz w:val="32"/>
          <w:szCs w:val="32"/>
        </w:rPr>
        <w:t>%；事业收入</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%；经营收入</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%；其他收入</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w:t>
      </w:r>
    </w:p>
    <w:p>
      <w:pPr>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三、支出决算情况说明</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本部门2020年度本年支出合计739.58万元，其中：基本支出</w:t>
      </w:r>
      <w:r>
        <w:rPr>
          <w:rFonts w:hint="eastAsia" w:ascii="仿宋_GB2312" w:hAnsi="Times New Roman" w:eastAsia="仿宋_GB2312" w:cs="Wingdings"/>
          <w:sz w:val="32"/>
          <w:szCs w:val="32"/>
          <w:lang w:val="en-US" w:eastAsia="zh-CN"/>
        </w:rPr>
        <w:t>647.97</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87.61</w:t>
      </w:r>
      <w:r>
        <w:rPr>
          <w:rFonts w:hint="eastAsia" w:ascii="仿宋_GB2312" w:hAnsi="Times New Roman" w:eastAsia="仿宋_GB2312" w:cs="Wingdings"/>
          <w:sz w:val="32"/>
          <w:szCs w:val="32"/>
        </w:rPr>
        <w:t>%；项目支出</w:t>
      </w:r>
      <w:r>
        <w:rPr>
          <w:rFonts w:hint="eastAsia" w:ascii="仿宋_GB2312" w:hAnsi="Times New Roman" w:eastAsia="仿宋_GB2312" w:cs="Wingdings"/>
          <w:sz w:val="32"/>
          <w:szCs w:val="32"/>
          <w:lang w:val="en-US" w:eastAsia="zh-CN"/>
        </w:rPr>
        <w:t>91.61</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12.39</w:t>
      </w:r>
      <w:r>
        <w:rPr>
          <w:rFonts w:hint="eastAsia" w:ascii="仿宋_GB2312" w:hAnsi="Times New Roman" w:eastAsia="仿宋_GB2312" w:cs="Wingdings"/>
          <w:sz w:val="32"/>
          <w:szCs w:val="32"/>
        </w:rPr>
        <w:t>%；经营支出</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w:t>
      </w:r>
    </w:p>
    <w:p>
      <w:pPr>
        <w:adjustRightInd w:val="0"/>
        <w:snapToGrid w:val="0"/>
        <w:spacing w:line="600" w:lineRule="exact"/>
        <w:ind w:firstLine="1920" w:firstLineChars="600"/>
        <w:rPr>
          <w:rFonts w:ascii="仿宋_GB2312" w:hAnsi="Times New Roman" w:eastAsia="仿宋_GB2312" w:cs="Wingdings"/>
          <w:sz w:val="32"/>
          <w:szCs w:val="32"/>
        </w:rPr>
      </w:pPr>
    </w:p>
    <w:p>
      <w:pPr>
        <w:adjustRightInd w:val="0"/>
        <w:snapToGrid w:val="0"/>
        <w:spacing w:line="600" w:lineRule="exact"/>
        <w:rPr>
          <w:rFonts w:ascii="仿宋_GB2312" w:hAnsi="Times New Roman" w:eastAsia="仿宋_GB2312" w:cs="Wingdings"/>
          <w:sz w:val="32"/>
          <w:szCs w:val="32"/>
        </w:rPr>
      </w:pPr>
    </w:p>
    <w:p>
      <w:pPr>
        <w:keepNext/>
        <w:keepLines/>
        <w:snapToGrid w:val="0"/>
        <w:spacing w:line="600" w:lineRule="exact"/>
        <w:outlineLvl w:val="1"/>
        <w:rPr>
          <w:rFonts w:ascii="黑体" w:hAnsi="Calibri" w:eastAsia="黑体" w:cs="Times New Roman"/>
          <w:b/>
          <w:bCs/>
          <w:sz w:val="32"/>
          <w:szCs w:val="32"/>
        </w:rPr>
      </w:pPr>
    </w:p>
    <w:p>
      <w:pPr>
        <w:keepNext/>
        <w:keepLines/>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四、</w:t>
      </w:r>
      <w:r>
        <w:rPr>
          <w:rFonts w:hint="eastAsia" w:ascii="黑体" w:hAnsi="Cambria" w:eastAsia="黑体" w:cs="黑体"/>
          <w:kern w:val="0"/>
          <w:sz w:val="32"/>
          <w:szCs w:val="32"/>
        </w:rPr>
        <w:t>财政</w:t>
      </w:r>
      <w:r>
        <w:rPr>
          <w:rFonts w:hint="eastAsia" w:ascii="黑体" w:hAnsi="Calibri" w:eastAsia="黑体" w:cs="Times New Roman"/>
          <w:sz w:val="32"/>
          <w:szCs w:val="32"/>
        </w:rPr>
        <w:t>拨款收入支出决算总体情况说明</w:t>
      </w:r>
    </w:p>
    <w:p>
      <w:pPr>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（一）财政拨款收支与2019年度决算对比情况</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本部门2020年度财政拨款收支均为一般公共预算财政拨款，其中本年收入739.58万元,比2019年度减少</w:t>
      </w:r>
      <w:r>
        <w:rPr>
          <w:rFonts w:hint="eastAsia" w:ascii="仿宋_GB2312" w:hAnsi="Times New Roman" w:eastAsia="仿宋_GB2312" w:cs="Wingdings"/>
          <w:sz w:val="32"/>
          <w:szCs w:val="32"/>
          <w:lang w:val="en-US" w:eastAsia="zh-CN"/>
        </w:rPr>
        <w:t>84.56</w:t>
      </w:r>
      <w:r>
        <w:rPr>
          <w:rFonts w:hint="eastAsia" w:ascii="仿宋_GB2312" w:hAnsi="Times New Roman" w:eastAsia="仿宋_GB2312" w:cs="Wingdings"/>
          <w:sz w:val="32"/>
          <w:szCs w:val="32"/>
        </w:rPr>
        <w:t>万元，</w:t>
      </w:r>
      <w:r>
        <w:rPr>
          <w:rFonts w:hint="eastAsia" w:ascii="仿宋_GB2312" w:hAnsi="Times New Roman" w:eastAsia="仿宋_GB2312" w:cs="Wingdings"/>
          <w:sz w:val="32"/>
          <w:szCs w:val="32"/>
          <w:lang w:eastAsia="zh-CN"/>
        </w:rPr>
        <w:t>降</w:t>
      </w:r>
      <w:r>
        <w:rPr>
          <w:rFonts w:hint="eastAsia" w:ascii="仿宋_GB2312" w:hAnsi="Times New Roman" w:eastAsia="仿宋_GB2312" w:cs="Wingdings"/>
          <w:sz w:val="32"/>
          <w:szCs w:val="32"/>
        </w:rPr>
        <w:t>低</w:t>
      </w:r>
      <w:r>
        <w:rPr>
          <w:rFonts w:hint="eastAsia" w:ascii="仿宋_GB2312" w:hAnsi="Times New Roman" w:eastAsia="仿宋_GB2312" w:cs="Wingdings"/>
          <w:sz w:val="32"/>
          <w:szCs w:val="32"/>
          <w:lang w:val="en-US" w:eastAsia="zh-CN"/>
        </w:rPr>
        <w:t>10.26</w:t>
      </w:r>
      <w:r>
        <w:rPr>
          <w:rFonts w:hint="eastAsia" w:ascii="仿宋_GB2312" w:hAnsi="Times New Roman" w:eastAsia="仿宋_GB2312" w:cs="Wingdings"/>
          <w:sz w:val="32"/>
          <w:szCs w:val="32"/>
        </w:rPr>
        <w:t>%，主要是严格落实八项规定，压缩经费开支；本年支出739.58万元，减少</w:t>
      </w:r>
      <w:r>
        <w:rPr>
          <w:rFonts w:hint="eastAsia" w:ascii="仿宋_GB2312" w:hAnsi="Times New Roman" w:eastAsia="仿宋_GB2312" w:cs="Wingdings"/>
          <w:sz w:val="32"/>
          <w:szCs w:val="32"/>
          <w:lang w:val="en-US" w:eastAsia="zh-CN"/>
        </w:rPr>
        <w:t>84.56</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10.26</w:t>
      </w:r>
      <w:r>
        <w:rPr>
          <w:rFonts w:hint="eastAsia" w:ascii="仿宋_GB2312" w:hAnsi="Times New Roman" w:eastAsia="仿宋_GB2312" w:cs="Wingdings"/>
          <w:sz w:val="32"/>
          <w:szCs w:val="32"/>
        </w:rPr>
        <w:t>%，主要是严格落实八项规定，压缩经费开支。</w:t>
      </w:r>
    </w:p>
    <w:p>
      <w:pPr>
        <w:snapToGrid w:val="0"/>
        <w:spacing w:line="600" w:lineRule="exact"/>
        <w:ind w:firstLine="643" w:firstLineChars="200"/>
        <w:rPr>
          <w:rFonts w:ascii="仿宋_GB2312" w:hAnsi="Times New Roman" w:eastAsia="仿宋_GB2312" w:cs="Mongolian Baiti"/>
          <w:b/>
          <w:bCs/>
          <w:sz w:val="32"/>
          <w:szCs w:val="32"/>
        </w:rPr>
      </w:pPr>
      <w:r>
        <w:rPr>
          <w:rFonts w:hint="eastAsia" w:ascii="楷体_GB2312" w:hAnsi="Times New Roman" w:eastAsia="楷体_GB2312" w:cs="Mongolian Baiti"/>
          <w:b/>
          <w:bCs/>
          <w:sz w:val="32"/>
          <w:szCs w:val="32"/>
        </w:rPr>
        <w:t>（二）财政拨款收支与年初预算数对比情况</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本部门2020年度一般公共预算财政拨款收入739.58万元，完成年初预算的</w:t>
      </w:r>
      <w:r>
        <w:rPr>
          <w:rFonts w:hint="eastAsia" w:ascii="仿宋_GB2312" w:hAnsi="Times New Roman" w:eastAsia="仿宋_GB2312" w:cs="Wingdings"/>
          <w:sz w:val="32"/>
          <w:szCs w:val="32"/>
          <w:lang w:val="en-US" w:eastAsia="zh-CN"/>
        </w:rPr>
        <w:t>107.20</w:t>
      </w:r>
      <w:r>
        <w:rPr>
          <w:rFonts w:hint="eastAsia" w:ascii="仿宋_GB2312" w:hAnsi="Times New Roman" w:eastAsia="仿宋_GB2312" w:cs="Wingdings"/>
          <w:sz w:val="32"/>
          <w:szCs w:val="32"/>
        </w:rPr>
        <w:t>%,比年初预算增加</w:t>
      </w:r>
      <w:r>
        <w:rPr>
          <w:rFonts w:hint="eastAsia" w:ascii="仿宋_GB2312" w:hAnsi="Times New Roman" w:eastAsia="仿宋_GB2312" w:cs="Wingdings"/>
          <w:sz w:val="32"/>
          <w:szCs w:val="32"/>
          <w:lang w:val="en-US" w:eastAsia="zh-CN"/>
        </w:rPr>
        <w:t>49.70</w:t>
      </w:r>
      <w:r>
        <w:rPr>
          <w:rFonts w:hint="eastAsia" w:ascii="仿宋_GB2312" w:hAnsi="Times New Roman" w:eastAsia="仿宋_GB2312" w:cs="Wingdings"/>
          <w:sz w:val="32"/>
          <w:szCs w:val="32"/>
        </w:rPr>
        <w:t>万元，决算数大于预算数主要原因是</w:t>
      </w:r>
      <w:r>
        <w:rPr>
          <w:rFonts w:hint="eastAsia" w:ascii="仿宋_GB2312" w:hAnsi="Times New Roman" w:eastAsia="仿宋_GB2312" w:cs="Wingdings"/>
          <w:sz w:val="32"/>
          <w:szCs w:val="32"/>
          <w:lang w:eastAsia="zh-CN"/>
        </w:rPr>
        <w:t>工资调整、保险费用增加</w:t>
      </w:r>
      <w:r>
        <w:rPr>
          <w:rFonts w:hint="eastAsia" w:ascii="仿宋_GB2312" w:hAnsi="Times New Roman" w:eastAsia="仿宋_GB2312" w:cs="Wingdings"/>
          <w:sz w:val="32"/>
          <w:szCs w:val="32"/>
        </w:rPr>
        <w:t>；本年支出739.58万元，完成年初预算的</w:t>
      </w:r>
      <w:r>
        <w:rPr>
          <w:rFonts w:hint="eastAsia" w:ascii="仿宋_GB2312" w:hAnsi="Times New Roman" w:eastAsia="仿宋_GB2312" w:cs="Wingdings"/>
          <w:sz w:val="32"/>
          <w:szCs w:val="32"/>
          <w:lang w:val="en-US" w:eastAsia="zh-CN"/>
        </w:rPr>
        <w:t>107.20</w:t>
      </w:r>
      <w:r>
        <w:rPr>
          <w:rFonts w:hint="eastAsia" w:ascii="仿宋_GB2312" w:hAnsi="Times New Roman" w:eastAsia="仿宋_GB2312" w:cs="Wingdings"/>
          <w:sz w:val="32"/>
          <w:szCs w:val="32"/>
        </w:rPr>
        <w:t>%,比年初预算增加</w:t>
      </w:r>
      <w:r>
        <w:rPr>
          <w:rFonts w:hint="eastAsia" w:ascii="仿宋_GB2312" w:hAnsi="Times New Roman" w:eastAsia="仿宋_GB2312" w:cs="Wingdings"/>
          <w:sz w:val="32"/>
          <w:szCs w:val="32"/>
          <w:lang w:val="en-US" w:eastAsia="zh-CN"/>
        </w:rPr>
        <w:t>49.70</w:t>
      </w:r>
      <w:r>
        <w:rPr>
          <w:rFonts w:hint="eastAsia" w:ascii="仿宋_GB2312" w:hAnsi="Times New Roman" w:eastAsia="仿宋_GB2312" w:cs="Wingdings"/>
          <w:sz w:val="32"/>
          <w:szCs w:val="32"/>
        </w:rPr>
        <w:t>万元，决算数大于预算数主要原因是</w:t>
      </w:r>
      <w:r>
        <w:rPr>
          <w:rFonts w:hint="eastAsia" w:ascii="仿宋_GB2312" w:hAnsi="Times New Roman" w:eastAsia="仿宋_GB2312" w:cs="Wingdings"/>
          <w:sz w:val="32"/>
          <w:szCs w:val="32"/>
          <w:lang w:eastAsia="zh-CN"/>
        </w:rPr>
        <w:t>工资调整、保险费用增加</w:t>
      </w:r>
      <w:r>
        <w:rPr>
          <w:rFonts w:hint="eastAsia" w:ascii="仿宋_GB2312" w:hAnsi="Times New Roman" w:eastAsia="仿宋_GB2312" w:cs="Wingdings"/>
          <w:sz w:val="32"/>
          <w:szCs w:val="32"/>
        </w:rPr>
        <w:t>。</w:t>
      </w:r>
    </w:p>
    <w:p>
      <w:pPr>
        <w:numPr>
          <w:ilvl w:val="0"/>
          <w:numId w:val="1"/>
        </w:numPr>
        <w:adjustRightInd w:val="0"/>
        <w:snapToGrid w:val="0"/>
        <w:spacing w:line="600" w:lineRule="exact"/>
        <w:ind w:left="420" w:left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财政拨款支出决算结构情况。</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2020年度财政拨款支出739.58万元，主要用于以下方面：一般公共服务支出631.60万元，占</w:t>
      </w:r>
      <w:r>
        <w:rPr>
          <w:rFonts w:hint="eastAsia" w:ascii="仿宋_GB2312" w:hAnsi="Times New Roman" w:eastAsia="仿宋_GB2312" w:cs="Wingdings"/>
          <w:sz w:val="32"/>
          <w:szCs w:val="32"/>
          <w:lang w:val="en-US" w:eastAsia="zh-CN"/>
        </w:rPr>
        <w:t>85.40</w:t>
      </w:r>
      <w:r>
        <w:rPr>
          <w:rFonts w:hint="eastAsia" w:ascii="仿宋_GB2312" w:hAnsi="Times New Roman" w:eastAsia="仿宋_GB2312" w:cs="Wingdings"/>
          <w:sz w:val="32"/>
          <w:szCs w:val="32"/>
        </w:rPr>
        <w:t>%，；社会保障和就业支出58.16万元，占</w:t>
      </w:r>
      <w:r>
        <w:rPr>
          <w:rFonts w:hint="eastAsia" w:ascii="仿宋_GB2312" w:hAnsi="Times New Roman" w:eastAsia="仿宋_GB2312" w:cs="Wingdings"/>
          <w:sz w:val="32"/>
          <w:szCs w:val="32"/>
          <w:lang w:val="en-US" w:eastAsia="zh-CN"/>
        </w:rPr>
        <w:t>7.86</w:t>
      </w:r>
      <w:r>
        <w:rPr>
          <w:rFonts w:hint="eastAsia" w:ascii="仿宋_GB2312" w:hAnsi="Times New Roman" w:eastAsia="仿宋_GB2312" w:cs="Wingdings"/>
          <w:sz w:val="32"/>
          <w:szCs w:val="32"/>
        </w:rPr>
        <w:t>%；</w:t>
      </w:r>
      <w:r>
        <w:rPr>
          <w:rFonts w:hint="eastAsia" w:ascii="仿宋_GB2312" w:hAnsi="Times New Roman" w:eastAsia="仿宋_GB2312" w:cs="Wingdings"/>
          <w:sz w:val="32"/>
          <w:szCs w:val="32"/>
          <w:lang w:eastAsia="zh-CN"/>
        </w:rPr>
        <w:t>卫生健康</w:t>
      </w:r>
      <w:r>
        <w:rPr>
          <w:rFonts w:hint="eastAsia" w:ascii="仿宋_GB2312" w:hAnsi="Times New Roman" w:eastAsia="仿宋_GB2312" w:cs="Wingdings"/>
          <w:sz w:val="32"/>
          <w:szCs w:val="32"/>
        </w:rPr>
        <w:t>支出19.9</w:t>
      </w:r>
      <w:r>
        <w:rPr>
          <w:rFonts w:hint="eastAsia" w:ascii="仿宋_GB2312" w:hAnsi="Times New Roman" w:eastAsia="仿宋_GB2312" w:cs="Wingdings"/>
          <w:sz w:val="32"/>
          <w:szCs w:val="32"/>
          <w:lang w:val="en-US" w:eastAsia="zh-CN"/>
        </w:rPr>
        <w:t>3</w:t>
      </w:r>
      <w:r>
        <w:rPr>
          <w:rFonts w:hint="eastAsia" w:ascii="仿宋_GB2312" w:hAnsi="Times New Roman" w:eastAsia="仿宋_GB2312" w:cs="Wingdings"/>
          <w:sz w:val="32"/>
          <w:szCs w:val="32"/>
        </w:rPr>
        <w:t>万元</w:t>
      </w:r>
      <w:r>
        <w:rPr>
          <w:rFonts w:hint="eastAsia" w:ascii="仿宋_GB2312" w:hAnsi="Times New Roman" w:eastAsia="仿宋_GB2312" w:cs="Wingdings"/>
          <w:sz w:val="32"/>
          <w:szCs w:val="32"/>
          <w:lang w:eastAsia="zh-CN"/>
        </w:rPr>
        <w:t>，占</w:t>
      </w:r>
      <w:r>
        <w:rPr>
          <w:rFonts w:hint="eastAsia" w:ascii="仿宋_GB2312" w:hAnsi="Times New Roman" w:eastAsia="仿宋_GB2312" w:cs="Wingdings"/>
          <w:sz w:val="32"/>
          <w:szCs w:val="32"/>
          <w:lang w:val="en-US" w:eastAsia="zh-CN"/>
        </w:rPr>
        <w:t>2.70%；</w:t>
      </w:r>
      <w:r>
        <w:rPr>
          <w:rFonts w:hint="eastAsia" w:ascii="仿宋_GB2312" w:hAnsi="Times New Roman" w:eastAsia="仿宋_GB2312" w:cs="Wingdings"/>
          <w:sz w:val="32"/>
          <w:szCs w:val="32"/>
        </w:rPr>
        <w:t>住房保障支出29.</w:t>
      </w:r>
      <w:r>
        <w:rPr>
          <w:rFonts w:hint="eastAsia" w:ascii="仿宋_GB2312" w:hAnsi="Times New Roman" w:eastAsia="仿宋_GB2312" w:cs="Wingdings"/>
          <w:sz w:val="32"/>
          <w:szCs w:val="32"/>
          <w:lang w:val="en-US" w:eastAsia="zh-CN"/>
        </w:rPr>
        <w:t>90</w:t>
      </w:r>
      <w:r>
        <w:rPr>
          <w:rFonts w:hint="eastAsia" w:ascii="仿宋_GB2312" w:hAnsi="Times New Roman" w:eastAsia="仿宋_GB2312" w:cs="Wingdings"/>
          <w:sz w:val="32"/>
          <w:szCs w:val="32"/>
        </w:rPr>
        <w:t xml:space="preserve">万元，占 </w:t>
      </w:r>
      <w:r>
        <w:rPr>
          <w:rFonts w:hint="eastAsia" w:ascii="仿宋_GB2312" w:hAnsi="Times New Roman" w:eastAsia="仿宋_GB2312" w:cs="Wingdings"/>
          <w:sz w:val="32"/>
          <w:szCs w:val="32"/>
          <w:lang w:val="en-US" w:eastAsia="zh-CN"/>
        </w:rPr>
        <w:t>4.04</w:t>
      </w:r>
      <w:r>
        <w:rPr>
          <w:rFonts w:hint="eastAsia" w:ascii="仿宋_GB2312" w:hAnsi="Times New Roman" w:eastAsia="仿宋_GB2312" w:cs="Wingdings"/>
          <w:sz w:val="32"/>
          <w:szCs w:val="32"/>
        </w:rPr>
        <w:t>%。</w:t>
      </w:r>
    </w:p>
    <w:p>
      <w:pPr>
        <w:adjustRightInd w:val="0"/>
        <w:snapToGrid w:val="0"/>
        <w:spacing w:line="600" w:lineRule="exact"/>
        <w:rPr>
          <w:rFonts w:hint="eastAsia" w:ascii="楷体_GB2312" w:hAnsi="Times New Roman" w:eastAsia="楷体_GB2312" w:cs="Mongolian Baiti"/>
          <w:b/>
          <w:bCs/>
          <w:sz w:val="32"/>
          <w:szCs w:val="32"/>
          <w:lang w:eastAsia="zh-CN"/>
        </w:rPr>
      </w:pPr>
    </w:p>
    <w:p>
      <w:pPr>
        <w:adjustRightInd w:val="0"/>
        <w:snapToGrid w:val="0"/>
        <w:spacing w:line="600" w:lineRule="exact"/>
        <w:rPr>
          <w:rFonts w:ascii="楷体_GB2312" w:hAnsi="Times New Roman" w:eastAsia="楷体_GB2312" w:cs="Mongolian Baiti"/>
          <w:b/>
          <w:bCs/>
          <w:sz w:val="32"/>
          <w:szCs w:val="32"/>
        </w:rPr>
      </w:pPr>
    </w:p>
    <w:p>
      <w:pPr>
        <w:adjustRightInd w:val="0"/>
        <w:snapToGrid w:val="0"/>
        <w:spacing w:line="600" w:lineRule="exact"/>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lang w:eastAsia="zh-CN"/>
        </w:rPr>
        <w:drawing>
          <wp:anchor distT="0" distB="0" distL="114300" distR="114300" simplePos="0" relativeHeight="251667456" behindDoc="0" locked="0" layoutInCell="1" allowOverlap="1">
            <wp:simplePos x="0" y="0"/>
            <wp:positionH relativeFrom="column">
              <wp:posOffset>772795</wp:posOffset>
            </wp:positionH>
            <wp:positionV relativeFrom="paragraph">
              <wp:posOffset>3175</wp:posOffset>
            </wp:positionV>
            <wp:extent cx="4337685" cy="3020060"/>
            <wp:effectExtent l="4445" t="4445" r="20320" b="61595"/>
            <wp:wrapSquare wrapText="bothSides"/>
            <wp:docPr id="4" name="图表 4" descr="7b0a202020202263686172745265734964223a20223230343731393839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pPr>
        <w:adjustRightInd w:val="0"/>
        <w:snapToGrid w:val="0"/>
        <w:spacing w:line="600" w:lineRule="exact"/>
        <w:rPr>
          <w:rFonts w:ascii="楷体_GB2312" w:hAnsi="Times New Roman" w:eastAsia="楷体_GB2312" w:cs="Mongolian Baiti"/>
          <w:b/>
          <w:bCs/>
          <w:sz w:val="32"/>
          <w:szCs w:val="32"/>
        </w:rPr>
      </w:pPr>
    </w:p>
    <w:p>
      <w:pPr>
        <w:adjustRightInd w:val="0"/>
        <w:snapToGrid w:val="0"/>
        <w:spacing w:line="600" w:lineRule="exact"/>
        <w:rPr>
          <w:rFonts w:ascii="楷体_GB2312" w:hAnsi="Times New Roman" w:eastAsia="楷体_GB2312" w:cs="Mongolian Baiti"/>
          <w:b/>
          <w:bCs/>
          <w:sz w:val="32"/>
          <w:szCs w:val="32"/>
        </w:rPr>
      </w:pPr>
    </w:p>
    <w:p>
      <w:pPr>
        <w:adjustRightInd w:val="0"/>
        <w:snapToGrid w:val="0"/>
        <w:spacing w:line="600" w:lineRule="exact"/>
        <w:rPr>
          <w:rFonts w:ascii="楷体_GB2312" w:hAnsi="Times New Roman" w:eastAsia="楷体_GB2312" w:cs="Mongolian Baiti"/>
          <w:b/>
          <w:bCs/>
          <w:sz w:val="32"/>
          <w:szCs w:val="32"/>
        </w:rPr>
      </w:pPr>
    </w:p>
    <w:p>
      <w:pPr>
        <w:adjustRightInd w:val="0"/>
        <w:snapToGrid w:val="0"/>
        <w:spacing w:line="600" w:lineRule="exact"/>
        <w:rPr>
          <w:rFonts w:ascii="楷体_GB2312" w:hAnsi="Times New Roman" w:eastAsia="楷体_GB2312" w:cs="Mongolian Baiti"/>
          <w:b/>
          <w:bCs/>
          <w:sz w:val="32"/>
          <w:szCs w:val="32"/>
        </w:rPr>
      </w:pPr>
    </w:p>
    <w:p>
      <w:pPr>
        <w:adjustRightInd w:val="0"/>
        <w:snapToGrid w:val="0"/>
        <w:spacing w:line="600" w:lineRule="exact"/>
        <w:rPr>
          <w:rFonts w:ascii="楷体_GB2312" w:hAnsi="Times New Roman" w:eastAsia="楷体_GB2312" w:cs="Mongolian Baiti"/>
          <w:b/>
          <w:bCs/>
          <w:sz w:val="32"/>
          <w:szCs w:val="32"/>
        </w:rPr>
      </w:pPr>
    </w:p>
    <w:p>
      <w:pPr>
        <w:adjustRightInd w:val="0"/>
        <w:snapToGrid w:val="0"/>
        <w:spacing w:line="600" w:lineRule="exact"/>
        <w:rPr>
          <w:rFonts w:ascii="楷体_GB2312" w:hAnsi="Times New Roman" w:eastAsia="楷体_GB2312" w:cs="Mongolian Baiti"/>
          <w:b/>
          <w:bCs/>
          <w:sz w:val="32"/>
          <w:szCs w:val="32"/>
        </w:rPr>
      </w:pPr>
    </w:p>
    <w:p>
      <w:pPr>
        <w:adjustRightInd w:val="0"/>
        <w:snapToGrid w:val="0"/>
        <w:spacing w:line="600" w:lineRule="exact"/>
        <w:rPr>
          <w:rFonts w:ascii="楷体_GB2312" w:hAnsi="Times New Roman" w:eastAsia="楷体_GB2312" w:cs="Mongolian Baiti"/>
          <w:b/>
          <w:bCs/>
          <w:sz w:val="32"/>
          <w:szCs w:val="32"/>
        </w:rPr>
      </w:pPr>
    </w:p>
    <w:p>
      <w:pPr>
        <w:adjustRightInd w:val="0"/>
        <w:snapToGrid w:val="0"/>
        <w:spacing w:line="600" w:lineRule="exact"/>
        <w:rPr>
          <w:rFonts w:ascii="楷体_GB2312" w:hAnsi="Times New Roman" w:eastAsia="楷体_GB2312" w:cs="Mongolian Baiti"/>
          <w:b/>
          <w:bCs/>
          <w:sz w:val="32"/>
          <w:szCs w:val="32"/>
        </w:rPr>
      </w:pPr>
    </w:p>
    <w:p>
      <w:pPr>
        <w:adjustRightInd w:val="0"/>
        <w:snapToGrid w:val="0"/>
        <w:spacing w:line="600" w:lineRule="exact"/>
        <w:ind w:left="420" w:left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（四）一般公共预算基本支出决算情况说明</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2020年度财政拨款基本支出</w:t>
      </w:r>
      <w:r>
        <w:rPr>
          <w:rFonts w:hint="eastAsia" w:ascii="仿宋_GB2312" w:hAnsi="Times New Roman" w:eastAsia="仿宋_GB2312" w:cs="Wingdings"/>
          <w:sz w:val="32"/>
          <w:szCs w:val="32"/>
          <w:lang w:val="en-US" w:eastAsia="zh-CN"/>
        </w:rPr>
        <w:t>647.97</w:t>
      </w:r>
      <w:r>
        <w:rPr>
          <w:rFonts w:hint="eastAsia" w:ascii="仿宋_GB2312" w:hAnsi="Times New Roman" w:eastAsia="仿宋_GB2312" w:cs="Wingdings"/>
          <w:sz w:val="32"/>
          <w:szCs w:val="32"/>
        </w:rPr>
        <w:t>万元，其中：人员经费 537.79万元，主要包括基本工资、津贴补贴、奖金、伙食补助费、绩效工资、机关事业单位基本养老保险缴费、职业年金缴费、职工基本医疗保险缴费、住房公积金、其他工资福利支出、退休费、生活补助、奖励金、其他对个人和家庭的补助支出；公用经费 110.1</w:t>
      </w:r>
      <w:r>
        <w:rPr>
          <w:rFonts w:hint="eastAsia" w:ascii="仿宋_GB2312" w:hAnsi="Times New Roman" w:eastAsia="仿宋_GB2312" w:cs="Wingdings"/>
          <w:sz w:val="32"/>
          <w:szCs w:val="32"/>
          <w:lang w:val="en-US" w:eastAsia="zh-CN"/>
        </w:rPr>
        <w:t>8</w:t>
      </w:r>
      <w:r>
        <w:rPr>
          <w:rFonts w:hint="eastAsia" w:ascii="仿宋_GB2312" w:hAnsi="Times New Roman" w:eastAsia="仿宋_GB2312" w:cs="Wingdings"/>
          <w:sz w:val="32"/>
          <w:szCs w:val="32"/>
        </w:rPr>
        <w:t>万元，主要包括办公费、印刷费、水费、电费、邮电费、差旅费、维修（护）费、公务接待费、公务用车运行维护费、其他交通费用、其他商品和服务支出、办公设备购置。</w:t>
      </w:r>
    </w:p>
    <w:p>
      <w:pPr>
        <w:keepNext/>
        <w:keepLines/>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五、一般公共预算“三公” 经费支出决算情况说明</w:t>
      </w:r>
    </w:p>
    <w:p>
      <w:pPr>
        <w:adjustRightInd w:val="0"/>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（一）“三公”经费财政拨款支出决算总体情况说明</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本部门2020年度“三公”经费财政拨款支出预算为</w:t>
      </w:r>
      <w:r>
        <w:rPr>
          <w:rFonts w:hint="eastAsia" w:ascii="仿宋_GB2312" w:hAnsi="Times New Roman" w:eastAsia="仿宋_GB2312" w:cs="Wingdings"/>
          <w:sz w:val="32"/>
          <w:szCs w:val="32"/>
          <w:lang w:val="en-US" w:eastAsia="zh-CN"/>
        </w:rPr>
        <w:t>25.19</w:t>
      </w:r>
      <w:r>
        <w:rPr>
          <w:rFonts w:hint="eastAsia" w:ascii="仿宋_GB2312" w:hAnsi="Times New Roman" w:eastAsia="仿宋_GB2312" w:cs="Wingdings"/>
          <w:sz w:val="32"/>
          <w:szCs w:val="32"/>
        </w:rPr>
        <w:t>万元，支出决算为</w:t>
      </w:r>
      <w:r>
        <w:rPr>
          <w:rFonts w:hint="eastAsia" w:ascii="仿宋_GB2312" w:hAnsi="Times New Roman" w:eastAsia="仿宋_GB2312" w:cs="Wingdings"/>
          <w:sz w:val="32"/>
          <w:szCs w:val="32"/>
          <w:lang w:val="en-US" w:eastAsia="zh-CN"/>
        </w:rPr>
        <w:t>23.90</w:t>
      </w:r>
      <w:r>
        <w:rPr>
          <w:rFonts w:hint="eastAsia" w:ascii="仿宋_GB2312" w:hAnsi="Times New Roman" w:eastAsia="仿宋_GB2312" w:cs="Wingdings"/>
          <w:sz w:val="32"/>
          <w:szCs w:val="32"/>
        </w:rPr>
        <w:t>元，完成预算的</w:t>
      </w:r>
      <w:r>
        <w:rPr>
          <w:rFonts w:hint="eastAsia" w:ascii="仿宋_GB2312" w:hAnsi="Times New Roman" w:eastAsia="仿宋_GB2312" w:cs="Wingdings"/>
          <w:sz w:val="32"/>
          <w:szCs w:val="32"/>
          <w:lang w:val="en-US" w:eastAsia="zh-CN"/>
        </w:rPr>
        <w:t>94.88</w:t>
      </w:r>
      <w:r>
        <w:rPr>
          <w:rFonts w:hint="eastAsia" w:ascii="仿宋_GB2312" w:hAnsi="Times New Roman" w:eastAsia="仿宋_GB2312" w:cs="Wingdings"/>
          <w:sz w:val="32"/>
          <w:szCs w:val="32"/>
        </w:rPr>
        <w:t>%,较预算减少</w:t>
      </w:r>
      <w:r>
        <w:rPr>
          <w:rFonts w:hint="eastAsia" w:ascii="仿宋_GB2312" w:hAnsi="Times New Roman" w:eastAsia="仿宋_GB2312" w:cs="Wingdings"/>
          <w:sz w:val="32"/>
          <w:szCs w:val="32"/>
          <w:lang w:val="en-US" w:eastAsia="zh-CN"/>
        </w:rPr>
        <w:t>1.29</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5.12</w:t>
      </w:r>
      <w:r>
        <w:rPr>
          <w:rFonts w:hint="eastAsia" w:ascii="仿宋_GB2312" w:hAnsi="Times New Roman" w:eastAsia="仿宋_GB2312" w:cs="Wingdings"/>
          <w:sz w:val="32"/>
          <w:szCs w:val="32"/>
        </w:rPr>
        <w:t>%，主要是严格落实八项规定，压缩经费开支；较2019年度减少</w:t>
      </w:r>
      <w:r>
        <w:rPr>
          <w:rFonts w:hint="eastAsia" w:ascii="仿宋_GB2312" w:hAnsi="Times New Roman" w:eastAsia="仿宋_GB2312" w:cs="Wingdings"/>
          <w:sz w:val="32"/>
          <w:szCs w:val="32"/>
          <w:lang w:val="en-US" w:eastAsia="zh-CN"/>
        </w:rPr>
        <w:t>1.83</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7.11</w:t>
      </w:r>
      <w:r>
        <w:rPr>
          <w:rFonts w:hint="eastAsia" w:ascii="仿宋_GB2312" w:hAnsi="Times New Roman" w:eastAsia="仿宋_GB2312" w:cs="Wingdings"/>
          <w:sz w:val="32"/>
          <w:szCs w:val="32"/>
        </w:rPr>
        <w:t>%，主要是严格落实八项规定，压缩经费开支</w:t>
      </w:r>
      <w:r>
        <w:rPr>
          <w:rFonts w:hint="eastAsia" w:ascii="仿宋_GB2312" w:hAnsi="Times New Roman" w:eastAsia="仿宋_GB2312" w:cs="Wingdings"/>
          <w:sz w:val="32"/>
          <w:szCs w:val="32"/>
          <w:lang w:eastAsia="zh-CN"/>
        </w:rPr>
        <w:t>，并且本年无因公出国经费开支</w:t>
      </w:r>
      <w:r>
        <w:rPr>
          <w:rFonts w:hint="eastAsia" w:ascii="仿宋_GB2312" w:hAnsi="Times New Roman" w:eastAsia="仿宋_GB2312" w:cs="Wingdings"/>
          <w:sz w:val="32"/>
          <w:szCs w:val="32"/>
        </w:rPr>
        <w:t>。</w:t>
      </w:r>
    </w:p>
    <w:p>
      <w:pPr>
        <w:adjustRightInd w:val="0"/>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（二）“三公”经费财政拨款支出决算具体情况说明</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楷体_GB2312" w:hAnsi="Times New Roman" w:eastAsia="楷体_GB2312" w:cs="Mongolian Baiti"/>
          <w:b/>
          <w:bCs/>
          <w:sz w:val="32"/>
          <w:szCs w:val="32"/>
        </w:rPr>
        <w:t>1.因公出国（境）费</w:t>
      </w:r>
      <w:r>
        <w:rPr>
          <w:rFonts w:hint="eastAsia" w:ascii="楷体_GB2312" w:hAnsi="Times New Roman" w:eastAsia="楷体_GB2312" w:cs="Mongolian Baiti"/>
          <w:b/>
          <w:bCs/>
          <w:sz w:val="32"/>
          <w:szCs w:val="32"/>
          <w:lang w:eastAsia="zh-CN"/>
        </w:rPr>
        <w:t>。</w:t>
      </w:r>
      <w:r>
        <w:rPr>
          <w:rFonts w:hint="eastAsia" w:ascii="仿宋_GB2312" w:hAnsi="仿宋_GB2312" w:eastAsia="仿宋_GB2312" w:cs="仿宋_GB2312"/>
          <w:b w:val="0"/>
          <w:bCs w:val="0"/>
          <w:sz w:val="32"/>
          <w:szCs w:val="32"/>
        </w:rPr>
        <w:t>本部门2020</w:t>
      </w:r>
      <w:r>
        <w:rPr>
          <w:rFonts w:hint="eastAsia" w:ascii="仿宋_GB2312" w:hAnsi="仿宋_GB2312" w:eastAsia="仿宋_GB2312" w:cs="仿宋_GB2312"/>
          <w:b w:val="0"/>
          <w:bCs w:val="0"/>
          <w:sz w:val="32"/>
          <w:szCs w:val="32"/>
          <w:lang w:val="en-US" w:eastAsia="zh-CN"/>
        </w:rPr>
        <w:t>年因公出国（境）费</w:t>
      </w:r>
      <w:r>
        <w:rPr>
          <w:rFonts w:hint="eastAsia" w:ascii="仿宋_GB2312" w:hAnsi="仿宋_GB2312" w:eastAsia="仿宋_GB2312" w:cs="仿宋_GB2312"/>
          <w:b w:val="0"/>
          <w:bCs w:val="0"/>
          <w:sz w:val="32"/>
          <w:szCs w:val="32"/>
        </w:rPr>
        <w:t>支出</w:t>
      </w:r>
      <w:r>
        <w:rPr>
          <w:rFonts w:hint="eastAsia" w:ascii="仿宋_GB2312" w:hAnsi="仿宋_GB2312" w:eastAsia="仿宋_GB2312" w:cs="仿宋_GB2312"/>
          <w:b w:val="0"/>
          <w:bCs w:val="0"/>
          <w:sz w:val="32"/>
          <w:szCs w:val="32"/>
          <w:lang w:val="en-US" w:eastAsia="zh-CN"/>
        </w:rPr>
        <w:t>0</w:t>
      </w:r>
      <w:r>
        <w:rPr>
          <w:rFonts w:hint="eastAsia" w:ascii="仿宋_GB2312" w:hAnsi="仿宋_GB2312" w:eastAsia="仿宋_GB2312" w:cs="仿宋_GB2312"/>
          <w:b w:val="0"/>
          <w:bCs w:val="0"/>
          <w:sz w:val="32"/>
          <w:szCs w:val="32"/>
        </w:rPr>
        <w:t>万元，完成预算的</w:t>
      </w:r>
      <w:r>
        <w:rPr>
          <w:rFonts w:hint="eastAsia" w:ascii="仿宋_GB2312" w:hAnsi="仿宋_GB2312" w:eastAsia="仿宋_GB2312" w:cs="仿宋_GB2312"/>
          <w:b w:val="0"/>
          <w:bCs w:val="0"/>
          <w:sz w:val="32"/>
          <w:szCs w:val="32"/>
          <w:lang w:val="en-US" w:eastAsia="zh-CN"/>
        </w:rPr>
        <w:t>100</w:t>
      </w:r>
      <w:r>
        <w:rPr>
          <w:rFonts w:hint="eastAsia" w:ascii="仿宋_GB2312" w:hAnsi="仿宋_GB2312" w:eastAsia="仿宋_GB2312" w:cs="仿宋_GB2312"/>
          <w:b w:val="0"/>
          <w:bCs w:val="0"/>
          <w:sz w:val="32"/>
          <w:szCs w:val="32"/>
        </w:rPr>
        <w:t>%。</w:t>
      </w:r>
      <w:r>
        <w:rPr>
          <w:rFonts w:hint="eastAsia" w:ascii="仿宋_GB2312" w:hAnsi="Times New Roman" w:eastAsia="仿宋_GB2312" w:cs="Wingdings"/>
          <w:sz w:val="32"/>
          <w:szCs w:val="32"/>
        </w:rPr>
        <w:t>因公出国（境）团组</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个、共</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人、参加其他单位组织的因公出国（境）团组</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个、共</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人</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rPr>
        <w:t>无本单位组织的出国（境）团组。因公出国（境）费支出较预算增加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eastAsia="zh-CN"/>
        </w:rPr>
        <w:t>本年无因公出国经费开支</w:t>
      </w:r>
      <w:r>
        <w:rPr>
          <w:rFonts w:hint="eastAsia" w:ascii="仿宋_GB2312" w:hAnsi="Times New Roman" w:eastAsia="仿宋_GB2312" w:cs="Wingdings"/>
          <w:sz w:val="32"/>
          <w:szCs w:val="32"/>
        </w:rPr>
        <w:t>；较上年</w:t>
      </w:r>
      <w:r>
        <w:rPr>
          <w:rFonts w:hint="eastAsia" w:ascii="仿宋_GB2312" w:hAnsi="Times New Roman" w:eastAsia="仿宋_GB2312" w:cs="Wingdings"/>
          <w:sz w:val="32"/>
          <w:szCs w:val="32"/>
          <w:lang w:eastAsia="zh-CN"/>
        </w:rPr>
        <w:t>减少</w:t>
      </w:r>
      <w:r>
        <w:rPr>
          <w:rFonts w:hint="eastAsia" w:ascii="仿宋_GB2312" w:hAnsi="Times New Roman" w:eastAsia="仿宋_GB2312" w:cs="Wingdings"/>
          <w:sz w:val="32"/>
          <w:szCs w:val="32"/>
          <w:lang w:val="en-US" w:eastAsia="zh-CN"/>
        </w:rPr>
        <w:t>1.81</w:t>
      </w:r>
      <w:r>
        <w:rPr>
          <w:rFonts w:hint="eastAsia" w:ascii="仿宋_GB2312" w:hAnsi="Times New Roman" w:eastAsia="仿宋_GB2312" w:cs="Wingdings"/>
          <w:sz w:val="32"/>
          <w:szCs w:val="32"/>
        </w:rPr>
        <w:t>万元，</w:t>
      </w:r>
      <w:r>
        <w:rPr>
          <w:rFonts w:hint="eastAsia" w:ascii="仿宋_GB2312" w:hAnsi="Times New Roman" w:eastAsia="仿宋_GB2312" w:cs="Wingdings"/>
          <w:sz w:val="32"/>
          <w:szCs w:val="32"/>
          <w:lang w:eastAsia="zh-CN"/>
        </w:rPr>
        <w:t>减少</w:t>
      </w:r>
      <w:r>
        <w:rPr>
          <w:rFonts w:hint="eastAsia" w:ascii="仿宋_GB2312" w:hAnsi="Times New Roman" w:eastAsia="仿宋_GB2312" w:cs="Wingdings"/>
          <w:sz w:val="32"/>
          <w:szCs w:val="32"/>
          <w:lang w:val="en-US" w:eastAsia="zh-CN"/>
        </w:rPr>
        <w:t>100</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eastAsia="zh-CN"/>
        </w:rPr>
        <w:t>本年无因公出国经费开支</w:t>
      </w:r>
      <w:r>
        <w:rPr>
          <w:rFonts w:hint="eastAsia" w:ascii="仿宋_GB2312" w:hAnsi="Times New Roman" w:eastAsia="仿宋_GB2312" w:cs="Wingdings"/>
          <w:sz w:val="32"/>
          <w:szCs w:val="32"/>
        </w:rPr>
        <w:t>。</w:t>
      </w:r>
    </w:p>
    <w:p>
      <w:pPr>
        <w:adjustRightInd w:val="0"/>
        <w:snapToGrid w:val="0"/>
        <w:spacing w:line="600" w:lineRule="exact"/>
        <w:ind w:firstLine="643" w:firstLineChars="200"/>
        <w:rPr>
          <w:rFonts w:hint="eastAsia" w:ascii="仿宋_GB2312" w:hAnsi="Times New Roman" w:eastAsia="仿宋_GB2312" w:cs="Wingdings"/>
          <w:sz w:val="32"/>
          <w:szCs w:val="32"/>
        </w:rPr>
      </w:pPr>
      <w:r>
        <w:rPr>
          <w:rFonts w:hint="eastAsia" w:ascii="楷体_GB2312" w:hAnsi="Times New Roman" w:eastAsia="楷体_GB2312" w:cs="Mongolian Baiti"/>
          <w:b/>
          <w:bCs/>
          <w:sz w:val="32"/>
          <w:szCs w:val="32"/>
        </w:rPr>
        <w:t>2.公务用车购置及运行维护费</w:t>
      </w:r>
      <w:r>
        <w:rPr>
          <w:rFonts w:hint="eastAsia" w:ascii="楷体_GB2312" w:hAnsi="Times New Roman" w:eastAsia="楷体_GB2312" w:cs="Mongolian Baiti"/>
          <w:b/>
          <w:bCs/>
          <w:sz w:val="32"/>
          <w:szCs w:val="32"/>
          <w:lang w:eastAsia="zh-CN"/>
        </w:rPr>
        <w:t>。</w:t>
      </w:r>
      <w:r>
        <w:rPr>
          <w:rFonts w:hint="eastAsia" w:ascii="仿宋_GB2312" w:hAnsi="仿宋_GB2312" w:eastAsia="仿宋_GB2312" w:cs="仿宋_GB2312"/>
          <w:b w:val="0"/>
          <w:bCs w:val="0"/>
          <w:sz w:val="32"/>
          <w:szCs w:val="32"/>
          <w:lang w:eastAsia="zh-CN"/>
        </w:rPr>
        <w:t>本部门2020</w:t>
      </w:r>
      <w:r>
        <w:rPr>
          <w:rFonts w:hint="eastAsia" w:ascii="仿宋_GB2312" w:hAnsi="仿宋_GB2312" w:eastAsia="仿宋_GB2312" w:cs="仿宋_GB2312"/>
          <w:b w:val="0"/>
          <w:bCs w:val="0"/>
          <w:sz w:val="32"/>
          <w:szCs w:val="32"/>
          <w:lang w:val="en-US" w:eastAsia="zh-CN"/>
        </w:rPr>
        <w:t>年</w:t>
      </w:r>
      <w:r>
        <w:rPr>
          <w:rFonts w:hint="eastAsia" w:ascii="仿宋_GB2312" w:hAnsi="仿宋_GB2312" w:eastAsia="仿宋_GB2312" w:cs="仿宋_GB2312"/>
          <w:b w:val="0"/>
          <w:bCs w:val="0"/>
          <w:sz w:val="32"/>
          <w:szCs w:val="32"/>
        </w:rPr>
        <w:t>公务用车购置及运行维护费</w:t>
      </w:r>
      <w:r>
        <w:rPr>
          <w:rFonts w:hint="eastAsia" w:ascii="仿宋_GB2312" w:hAnsi="仿宋_GB2312" w:eastAsia="仿宋_GB2312" w:cs="仿宋_GB2312"/>
          <w:b w:val="0"/>
          <w:bCs w:val="0"/>
          <w:sz w:val="32"/>
          <w:szCs w:val="32"/>
          <w:lang w:eastAsia="zh-CN"/>
        </w:rPr>
        <w:t>支出</w:t>
      </w:r>
      <w:r>
        <w:rPr>
          <w:rFonts w:hint="eastAsia" w:ascii="仿宋_GB2312" w:hAnsi="仿宋_GB2312" w:eastAsia="仿宋_GB2312" w:cs="仿宋_GB2312"/>
          <w:b w:val="0"/>
          <w:bCs w:val="0"/>
          <w:sz w:val="32"/>
          <w:szCs w:val="32"/>
          <w:lang w:val="en-US" w:eastAsia="zh-CN"/>
        </w:rPr>
        <w:t>23.33</w:t>
      </w:r>
      <w:r>
        <w:rPr>
          <w:rFonts w:hint="eastAsia" w:ascii="仿宋_GB2312" w:hAnsi="仿宋_GB2312" w:eastAsia="仿宋_GB2312" w:cs="仿宋_GB2312"/>
          <w:b w:val="0"/>
          <w:bCs w:val="0"/>
          <w:sz w:val="32"/>
          <w:szCs w:val="32"/>
          <w:lang w:eastAsia="zh-CN"/>
        </w:rPr>
        <w:t>万元，完成预算的</w:t>
      </w:r>
      <w:r>
        <w:rPr>
          <w:rFonts w:hint="eastAsia" w:ascii="仿宋_GB2312" w:hAnsi="仿宋_GB2312" w:eastAsia="仿宋_GB2312" w:cs="仿宋_GB2312"/>
          <w:b w:val="0"/>
          <w:bCs w:val="0"/>
          <w:sz w:val="32"/>
          <w:szCs w:val="32"/>
          <w:lang w:val="en-US" w:eastAsia="zh-CN"/>
        </w:rPr>
        <w:t>97.21</w:t>
      </w:r>
      <w:r>
        <w:rPr>
          <w:rFonts w:hint="eastAsia" w:ascii="仿宋_GB2312" w:hAnsi="仿宋_GB2312" w:eastAsia="仿宋_GB2312" w:cs="仿宋_GB2312"/>
          <w:b w:val="0"/>
          <w:bCs w:val="0"/>
          <w:sz w:val="32"/>
          <w:szCs w:val="32"/>
          <w:lang w:eastAsia="zh-CN"/>
        </w:rPr>
        <w:t>%，</w:t>
      </w:r>
      <w:r>
        <w:rPr>
          <w:rFonts w:hint="eastAsia" w:ascii="仿宋_GB2312" w:hAnsi="Times New Roman" w:eastAsia="仿宋_GB2312" w:cs="Wingdings"/>
          <w:sz w:val="32"/>
          <w:szCs w:val="32"/>
        </w:rPr>
        <w:t>较预算减少</w:t>
      </w:r>
      <w:r>
        <w:rPr>
          <w:rFonts w:hint="eastAsia" w:ascii="仿宋_GB2312" w:hAnsi="Times New Roman" w:eastAsia="仿宋_GB2312" w:cs="Wingdings"/>
          <w:sz w:val="32"/>
          <w:szCs w:val="32"/>
          <w:lang w:val="en-US" w:eastAsia="zh-CN"/>
        </w:rPr>
        <w:t>0.67</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2.79</w:t>
      </w:r>
      <w:r>
        <w:rPr>
          <w:rFonts w:hint="eastAsia" w:ascii="仿宋_GB2312" w:hAnsi="Times New Roman" w:eastAsia="仿宋_GB2312" w:cs="Wingdings"/>
          <w:sz w:val="32"/>
          <w:szCs w:val="32"/>
        </w:rPr>
        <w:t>%,主要是严格落实八项规定，压缩经费开支；较上年减少</w:t>
      </w:r>
      <w:r>
        <w:rPr>
          <w:rFonts w:hint="eastAsia" w:ascii="仿宋_GB2312" w:hAnsi="Times New Roman" w:eastAsia="仿宋_GB2312" w:cs="Wingdings"/>
          <w:sz w:val="32"/>
          <w:szCs w:val="32"/>
          <w:lang w:val="en-US" w:eastAsia="zh-CN"/>
        </w:rPr>
        <w:t>0.59</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2.47</w:t>
      </w:r>
      <w:r>
        <w:rPr>
          <w:rFonts w:hint="eastAsia" w:ascii="仿宋_GB2312" w:hAnsi="Times New Roman" w:eastAsia="仿宋_GB2312" w:cs="Wingdings"/>
          <w:sz w:val="32"/>
          <w:szCs w:val="32"/>
        </w:rPr>
        <w:t>%,主要是严格落实八项规定，压缩经费开支。</w:t>
      </w:r>
    </w:p>
    <w:p>
      <w:pPr>
        <w:adjustRightInd w:val="0"/>
        <w:snapToGrid w:val="0"/>
        <w:spacing w:line="600" w:lineRule="exact"/>
        <w:ind w:firstLine="643" w:firstLineChars="200"/>
        <w:rPr>
          <w:rFonts w:ascii="仿宋_GB2312" w:hAnsi="Times New Roman" w:eastAsia="仿宋_GB2312" w:cs="Mongolian Baiti"/>
          <w:b/>
          <w:bCs/>
          <w:sz w:val="32"/>
          <w:szCs w:val="32"/>
        </w:rPr>
      </w:pPr>
      <w:r>
        <w:rPr>
          <w:rFonts w:hint="eastAsia" w:ascii="仿宋_GB2312" w:hAnsi="Times New Roman" w:eastAsia="仿宋_GB2312" w:cs="Mongolian Baiti"/>
          <w:b/>
          <w:bCs/>
          <w:sz w:val="32"/>
          <w:szCs w:val="32"/>
        </w:rPr>
        <w:t>其中：</w:t>
      </w:r>
    </w:p>
    <w:p>
      <w:pPr>
        <w:adjustRightInd w:val="0"/>
        <w:snapToGrid w:val="0"/>
        <w:spacing w:line="600" w:lineRule="exact"/>
        <w:ind w:firstLine="643" w:firstLineChars="200"/>
        <w:rPr>
          <w:rFonts w:ascii="仿宋_GB2312" w:hAnsi="Times New Roman" w:eastAsia="仿宋_GB2312" w:cs="Wingdings"/>
          <w:color w:val="000000"/>
          <w:sz w:val="32"/>
          <w:szCs w:val="32"/>
          <w:highlight w:val="yellow"/>
        </w:rPr>
      </w:pPr>
      <w:r>
        <w:rPr>
          <w:rFonts w:hint="eastAsia" w:ascii="仿宋_GB2312" w:hAnsi="Times New Roman" w:eastAsia="仿宋_GB2312" w:cs="Wingdings"/>
          <w:b/>
          <w:sz w:val="32"/>
          <w:szCs w:val="32"/>
        </w:rPr>
        <w:t>公务用车购置费支出：</w:t>
      </w:r>
      <w:r>
        <w:rPr>
          <w:rFonts w:hint="eastAsia" w:ascii="仿宋_GB2312" w:hAnsi="Times New Roman" w:eastAsia="仿宋_GB2312" w:cs="Wingdings"/>
          <w:sz w:val="32"/>
          <w:szCs w:val="32"/>
        </w:rPr>
        <w:t>本部门2020年度公务用车购置量</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辆，发生“公务用车购置”经费支出</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万元。公务用车购置费支出较预算增加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万元，增长</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%；较上年增加</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万元，主要是</w:t>
      </w:r>
      <w:r>
        <w:rPr>
          <w:rFonts w:hint="eastAsia" w:ascii="仿宋_GB2312" w:hAnsi="Times New Roman" w:eastAsia="仿宋_GB2312" w:cs="Wingdings"/>
          <w:sz w:val="32"/>
          <w:szCs w:val="32"/>
          <w:lang w:eastAsia="zh-CN"/>
        </w:rPr>
        <w:t>未发生‘公务用车购置’经费支出；</w:t>
      </w:r>
      <w:r>
        <w:rPr>
          <w:rFonts w:hint="eastAsia" w:ascii="仿宋_GB2312" w:hAnsi="Times New Roman" w:eastAsia="仿宋_GB2312" w:cs="Wingdings"/>
          <w:sz w:val="32"/>
          <w:szCs w:val="32"/>
        </w:rPr>
        <w:t>增长</w:t>
      </w:r>
      <w:r>
        <w:rPr>
          <w:rFonts w:hint="eastAsia" w:ascii="仿宋_GB2312" w:hAnsi="Times New Roman" w:eastAsia="仿宋_GB2312" w:cs="Wingdings"/>
          <w:sz w:val="32"/>
          <w:szCs w:val="32"/>
          <w:lang w:val="en-US" w:eastAsia="zh-CN"/>
        </w:rPr>
        <w:t>0</w:t>
      </w:r>
      <w:r>
        <w:rPr>
          <w:rFonts w:hint="eastAsia" w:ascii="仿宋_GB2312" w:hAnsi="Times New Roman" w:eastAsia="仿宋_GB2312" w:cs="Wingdings"/>
          <w:sz w:val="32"/>
          <w:szCs w:val="32"/>
        </w:rPr>
        <w:t>%,主要是</w:t>
      </w:r>
      <w:r>
        <w:rPr>
          <w:rFonts w:hint="eastAsia" w:ascii="仿宋_GB2312" w:hAnsi="Times New Roman" w:eastAsia="仿宋_GB2312" w:cs="Wingdings"/>
          <w:sz w:val="32"/>
          <w:szCs w:val="32"/>
          <w:lang w:eastAsia="zh-CN"/>
        </w:rPr>
        <w:t>未发生“公务用车购置”经费支出</w:t>
      </w:r>
      <w:r>
        <w:rPr>
          <w:rFonts w:hint="eastAsia" w:ascii="仿宋_GB2312" w:hAnsi="Times New Roman" w:eastAsia="仿宋_GB2312" w:cs="Wingdings"/>
          <w:sz w:val="32"/>
          <w:szCs w:val="32"/>
        </w:rPr>
        <w:t>。</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仿宋_GB2312" w:hAnsi="Times New Roman" w:eastAsia="仿宋_GB2312" w:cs="Wingdings"/>
          <w:b/>
          <w:sz w:val="32"/>
          <w:szCs w:val="32"/>
        </w:rPr>
        <w:t>公务用车运行维护费支出：</w:t>
      </w:r>
      <w:r>
        <w:rPr>
          <w:rFonts w:hint="eastAsia" w:ascii="仿宋_GB2312" w:hAnsi="Times New Roman" w:eastAsia="仿宋_GB2312" w:cs="Wingdings"/>
          <w:sz w:val="32"/>
          <w:szCs w:val="32"/>
        </w:rPr>
        <w:t>本部门2020年度单位公务用车保有量</w:t>
      </w:r>
      <w:r>
        <w:rPr>
          <w:rFonts w:hint="eastAsia" w:ascii="仿宋_GB2312" w:hAnsi="Times New Roman" w:eastAsia="仿宋_GB2312" w:cs="Wingdings"/>
          <w:sz w:val="32"/>
          <w:szCs w:val="32"/>
          <w:lang w:val="en-US" w:eastAsia="zh-CN"/>
        </w:rPr>
        <w:t>8</w:t>
      </w:r>
      <w:r>
        <w:rPr>
          <w:rFonts w:hint="eastAsia" w:ascii="仿宋_GB2312" w:hAnsi="Times New Roman" w:eastAsia="仿宋_GB2312" w:cs="Wingdings"/>
          <w:sz w:val="32"/>
          <w:szCs w:val="32"/>
        </w:rPr>
        <w:t>辆</w:t>
      </w:r>
      <w:r>
        <w:rPr>
          <w:rFonts w:hint="eastAsia" w:ascii="仿宋_GB2312" w:hAnsi="Times New Roman" w:eastAsia="仿宋_GB2312" w:cs="Wingdings"/>
          <w:sz w:val="32"/>
          <w:szCs w:val="32"/>
          <w:lang w:val="en-US" w:eastAsia="zh-CN"/>
        </w:rPr>
        <w:t>,发生运行维护费支出23.33万元</w:t>
      </w:r>
      <w:r>
        <w:rPr>
          <w:rFonts w:hint="eastAsia" w:ascii="仿宋_GB2312" w:hAnsi="Times New Roman" w:eastAsia="仿宋_GB2312" w:cs="Wingdings"/>
          <w:sz w:val="32"/>
          <w:szCs w:val="32"/>
        </w:rPr>
        <w:t>。公车运行维护费支出较预算减少</w:t>
      </w:r>
      <w:r>
        <w:rPr>
          <w:rFonts w:hint="eastAsia" w:ascii="仿宋_GB2312" w:hAnsi="Times New Roman" w:eastAsia="仿宋_GB2312" w:cs="Wingdings"/>
          <w:sz w:val="32"/>
          <w:szCs w:val="32"/>
          <w:lang w:val="en-US" w:eastAsia="zh-CN"/>
        </w:rPr>
        <w:t>0.67</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2.79</w:t>
      </w:r>
      <w:r>
        <w:rPr>
          <w:rFonts w:hint="eastAsia" w:ascii="仿宋_GB2312" w:hAnsi="Times New Roman" w:eastAsia="仿宋_GB2312" w:cs="Wingdings"/>
          <w:sz w:val="32"/>
          <w:szCs w:val="32"/>
        </w:rPr>
        <w:t>%,主要是严格落实八项规定，压缩经费开支；较上年减少</w:t>
      </w:r>
      <w:r>
        <w:rPr>
          <w:rFonts w:hint="eastAsia" w:ascii="仿宋_GB2312" w:hAnsi="Times New Roman" w:eastAsia="仿宋_GB2312" w:cs="Wingdings"/>
          <w:sz w:val="32"/>
          <w:szCs w:val="32"/>
          <w:lang w:val="en-US" w:eastAsia="zh-CN"/>
        </w:rPr>
        <w:t>0.59</w:t>
      </w:r>
      <w:r>
        <w:rPr>
          <w:rFonts w:hint="eastAsia" w:ascii="仿宋_GB2312" w:hAnsi="Times New Roman" w:eastAsia="仿宋_GB2312" w:cs="Wingdings"/>
          <w:sz w:val="32"/>
          <w:szCs w:val="32"/>
        </w:rPr>
        <w:t>万元，降低</w:t>
      </w:r>
      <w:r>
        <w:rPr>
          <w:rFonts w:hint="eastAsia" w:ascii="仿宋_GB2312" w:hAnsi="Times New Roman" w:eastAsia="仿宋_GB2312" w:cs="Wingdings"/>
          <w:sz w:val="32"/>
          <w:szCs w:val="32"/>
          <w:lang w:val="en-US" w:eastAsia="zh-CN"/>
        </w:rPr>
        <w:t>2.47</w:t>
      </w:r>
      <w:r>
        <w:rPr>
          <w:rFonts w:hint="eastAsia" w:ascii="仿宋_GB2312" w:hAnsi="Times New Roman" w:eastAsia="仿宋_GB2312" w:cs="Wingdings"/>
          <w:sz w:val="32"/>
          <w:szCs w:val="32"/>
        </w:rPr>
        <w:t>%，主要是严格落实八项规定，压缩经费开支。</w:t>
      </w:r>
    </w:p>
    <w:p>
      <w:pPr>
        <w:adjustRightInd w:val="0"/>
        <w:snapToGrid w:val="0"/>
        <w:spacing w:line="600" w:lineRule="exact"/>
        <w:ind w:firstLine="643" w:firstLineChars="200"/>
        <w:rPr>
          <w:rFonts w:ascii="仿宋_GB2312" w:hAnsi="Times New Roman" w:eastAsia="仿宋_GB2312" w:cs="Wingdings"/>
          <w:sz w:val="32"/>
          <w:szCs w:val="32"/>
          <w:highlight w:val="none"/>
        </w:rPr>
      </w:pPr>
      <w:r>
        <w:rPr>
          <w:rFonts w:hint="eastAsia" w:ascii="楷体_GB2312" w:hAnsi="Times New Roman" w:eastAsia="楷体_GB2312" w:cs="Mongolian Baiti"/>
          <w:b/>
          <w:bCs/>
          <w:sz w:val="32"/>
          <w:szCs w:val="32"/>
          <w:highlight w:val="none"/>
        </w:rPr>
        <w:t>3.公务接待费</w:t>
      </w:r>
      <w:r>
        <w:rPr>
          <w:rFonts w:hint="eastAsia" w:ascii="楷体_GB2312" w:hAnsi="Times New Roman" w:eastAsia="楷体_GB2312" w:cs="Mongolian Baiti"/>
          <w:b/>
          <w:bCs/>
          <w:sz w:val="32"/>
          <w:szCs w:val="32"/>
          <w:highlight w:val="none"/>
          <w:lang w:eastAsia="zh-CN"/>
        </w:rPr>
        <w:t>。</w:t>
      </w:r>
      <w:r>
        <w:rPr>
          <w:rFonts w:hint="eastAsia" w:ascii="仿宋_GB2312" w:hAnsi="仿宋_GB2312" w:eastAsia="仿宋_GB2312" w:cs="仿宋_GB2312"/>
          <w:b w:val="0"/>
          <w:bCs w:val="0"/>
          <w:sz w:val="32"/>
          <w:szCs w:val="32"/>
          <w:highlight w:val="none"/>
        </w:rPr>
        <w:t>本部门2020年</w:t>
      </w:r>
      <w:r>
        <w:rPr>
          <w:rFonts w:hint="eastAsia" w:ascii="仿宋_GB2312" w:hAnsi="仿宋_GB2312" w:eastAsia="仿宋_GB2312" w:cs="仿宋_GB2312"/>
          <w:b w:val="0"/>
          <w:bCs w:val="0"/>
          <w:sz w:val="32"/>
          <w:szCs w:val="32"/>
          <w:highlight w:val="none"/>
          <w:lang w:eastAsia="zh-CN"/>
        </w:rPr>
        <w:t>公务接待费</w:t>
      </w:r>
      <w:r>
        <w:rPr>
          <w:rFonts w:hint="eastAsia" w:ascii="仿宋_GB2312" w:hAnsi="仿宋_GB2312" w:eastAsia="仿宋_GB2312" w:cs="仿宋_GB2312"/>
          <w:b w:val="0"/>
          <w:bCs w:val="0"/>
          <w:sz w:val="32"/>
          <w:szCs w:val="32"/>
          <w:highlight w:val="none"/>
        </w:rPr>
        <w:t>支出</w:t>
      </w:r>
      <w:r>
        <w:rPr>
          <w:rFonts w:hint="eastAsia" w:ascii="仿宋_GB2312" w:hAnsi="仿宋_GB2312" w:eastAsia="仿宋_GB2312" w:cs="仿宋_GB2312"/>
          <w:b w:val="0"/>
          <w:bCs w:val="0"/>
          <w:sz w:val="32"/>
          <w:szCs w:val="32"/>
          <w:highlight w:val="none"/>
          <w:lang w:val="en-US" w:eastAsia="zh-CN"/>
        </w:rPr>
        <w:t>0.57</w:t>
      </w:r>
      <w:r>
        <w:rPr>
          <w:rFonts w:hint="eastAsia" w:ascii="仿宋_GB2312" w:hAnsi="仿宋_GB2312" w:eastAsia="仿宋_GB2312" w:cs="仿宋_GB2312"/>
          <w:b w:val="0"/>
          <w:bCs w:val="0"/>
          <w:sz w:val="32"/>
          <w:szCs w:val="32"/>
          <w:highlight w:val="none"/>
        </w:rPr>
        <w:t>万元，完成预算的</w:t>
      </w:r>
      <w:r>
        <w:rPr>
          <w:rFonts w:hint="eastAsia" w:ascii="仿宋_GB2312" w:hAnsi="仿宋_GB2312" w:eastAsia="仿宋_GB2312" w:cs="仿宋_GB2312"/>
          <w:b w:val="0"/>
          <w:bCs w:val="0"/>
          <w:sz w:val="32"/>
          <w:szCs w:val="32"/>
          <w:highlight w:val="none"/>
          <w:lang w:val="en-US" w:eastAsia="zh-CN"/>
        </w:rPr>
        <w:t>47.90</w:t>
      </w:r>
      <w:r>
        <w:rPr>
          <w:rFonts w:hint="eastAsia" w:ascii="仿宋_GB2312" w:hAnsi="仿宋_GB2312" w:eastAsia="仿宋_GB2312" w:cs="仿宋_GB2312"/>
          <w:b w:val="0"/>
          <w:bCs w:val="0"/>
          <w:sz w:val="32"/>
          <w:szCs w:val="32"/>
          <w:highlight w:val="none"/>
        </w:rPr>
        <w:t>%</w:t>
      </w:r>
      <w:r>
        <w:rPr>
          <w:rFonts w:hint="eastAsia" w:ascii="仿宋_GB2312" w:hAnsi="仿宋_GB2312" w:eastAsia="仿宋_GB2312" w:cs="仿宋_GB2312"/>
          <w:b w:val="0"/>
          <w:bCs w:val="0"/>
          <w:sz w:val="32"/>
          <w:szCs w:val="32"/>
          <w:highlight w:val="none"/>
          <w:lang w:eastAsia="zh-CN"/>
        </w:rPr>
        <w:t>。</w:t>
      </w:r>
      <w:r>
        <w:rPr>
          <w:rFonts w:hint="eastAsia" w:ascii="仿宋_GB2312" w:hAnsi="仿宋_GB2312" w:eastAsia="仿宋_GB2312" w:cs="仿宋_GB2312"/>
          <w:b w:val="0"/>
          <w:bCs w:val="0"/>
          <w:sz w:val="32"/>
          <w:szCs w:val="32"/>
          <w:highlight w:val="none"/>
          <w:lang w:val="en-US" w:eastAsia="zh-CN"/>
        </w:rPr>
        <w:t>发生</w:t>
      </w:r>
      <w:r>
        <w:rPr>
          <w:rFonts w:hint="eastAsia" w:ascii="仿宋_GB2312" w:hAnsi="Times New Roman" w:eastAsia="仿宋_GB2312" w:cs="Wingdings"/>
          <w:sz w:val="32"/>
          <w:szCs w:val="32"/>
          <w:highlight w:val="none"/>
        </w:rPr>
        <w:t>公务接待共</w:t>
      </w:r>
      <w:r>
        <w:rPr>
          <w:rFonts w:hint="eastAsia" w:ascii="仿宋_GB2312" w:hAnsi="Times New Roman" w:eastAsia="仿宋_GB2312" w:cs="Wingdings"/>
          <w:sz w:val="32"/>
          <w:szCs w:val="32"/>
          <w:highlight w:val="none"/>
          <w:lang w:val="en-US" w:eastAsia="zh-CN"/>
        </w:rPr>
        <w:t>2</w:t>
      </w:r>
      <w:r>
        <w:rPr>
          <w:rFonts w:hint="eastAsia" w:ascii="仿宋_GB2312" w:hAnsi="Times New Roman" w:eastAsia="仿宋_GB2312" w:cs="Wingdings"/>
          <w:sz w:val="32"/>
          <w:szCs w:val="32"/>
          <w:highlight w:val="none"/>
        </w:rPr>
        <w:t>批次、</w:t>
      </w:r>
      <w:r>
        <w:rPr>
          <w:rFonts w:hint="eastAsia" w:ascii="仿宋_GB2312" w:hAnsi="Times New Roman" w:eastAsia="仿宋_GB2312" w:cs="Wingdings"/>
          <w:sz w:val="32"/>
          <w:szCs w:val="32"/>
          <w:highlight w:val="none"/>
          <w:lang w:val="en-US" w:eastAsia="zh-CN"/>
        </w:rPr>
        <w:t>16</w:t>
      </w:r>
      <w:r>
        <w:rPr>
          <w:rFonts w:hint="eastAsia" w:ascii="仿宋_GB2312" w:hAnsi="Times New Roman" w:eastAsia="仿宋_GB2312" w:cs="Wingdings"/>
          <w:sz w:val="32"/>
          <w:szCs w:val="32"/>
          <w:highlight w:val="none"/>
        </w:rPr>
        <w:t>人次。公务接待费支出较预算减少</w:t>
      </w:r>
      <w:r>
        <w:rPr>
          <w:rFonts w:hint="eastAsia" w:ascii="仿宋_GB2312" w:hAnsi="Times New Roman" w:eastAsia="仿宋_GB2312" w:cs="Wingdings"/>
          <w:sz w:val="32"/>
          <w:szCs w:val="32"/>
          <w:highlight w:val="none"/>
          <w:lang w:val="en-US" w:eastAsia="zh-CN"/>
        </w:rPr>
        <w:t>0.62</w:t>
      </w:r>
      <w:r>
        <w:rPr>
          <w:rFonts w:hint="eastAsia" w:ascii="仿宋_GB2312" w:hAnsi="Times New Roman" w:eastAsia="仿宋_GB2312" w:cs="Wingdings"/>
          <w:sz w:val="32"/>
          <w:szCs w:val="32"/>
          <w:highlight w:val="none"/>
        </w:rPr>
        <w:t>万元，降低</w:t>
      </w:r>
      <w:r>
        <w:rPr>
          <w:rFonts w:hint="eastAsia" w:ascii="仿宋_GB2312" w:hAnsi="Times New Roman" w:eastAsia="仿宋_GB2312" w:cs="Wingdings"/>
          <w:sz w:val="32"/>
          <w:szCs w:val="32"/>
          <w:highlight w:val="none"/>
          <w:lang w:val="en-US" w:eastAsia="zh-CN"/>
        </w:rPr>
        <w:t>52.10</w:t>
      </w:r>
      <w:r>
        <w:rPr>
          <w:rFonts w:hint="eastAsia" w:ascii="仿宋_GB2312" w:hAnsi="Times New Roman" w:eastAsia="仿宋_GB2312" w:cs="Wingdings"/>
          <w:sz w:val="32"/>
          <w:szCs w:val="32"/>
          <w:highlight w:val="none"/>
        </w:rPr>
        <w:t>%,主要是严格落实八项规定，压缩经费开支；较上年度</w:t>
      </w:r>
      <w:r>
        <w:rPr>
          <w:rFonts w:hint="eastAsia" w:ascii="仿宋_GB2312" w:hAnsi="Times New Roman" w:eastAsia="仿宋_GB2312" w:cs="Wingdings"/>
          <w:sz w:val="32"/>
          <w:szCs w:val="32"/>
          <w:highlight w:val="none"/>
          <w:lang w:eastAsia="zh-CN"/>
        </w:rPr>
        <w:t>增加</w:t>
      </w:r>
      <w:r>
        <w:rPr>
          <w:rFonts w:hint="eastAsia" w:ascii="仿宋_GB2312" w:hAnsi="Times New Roman" w:eastAsia="仿宋_GB2312" w:cs="Wingdings"/>
          <w:sz w:val="32"/>
          <w:szCs w:val="32"/>
          <w:highlight w:val="none"/>
          <w:lang w:val="en-US" w:eastAsia="zh-CN"/>
        </w:rPr>
        <w:t>0.57</w:t>
      </w:r>
      <w:r>
        <w:rPr>
          <w:rFonts w:hint="eastAsia" w:ascii="仿宋_GB2312" w:hAnsi="Times New Roman" w:eastAsia="仿宋_GB2312" w:cs="Wingdings"/>
          <w:sz w:val="32"/>
          <w:szCs w:val="32"/>
          <w:highlight w:val="none"/>
        </w:rPr>
        <w:t>万元，</w:t>
      </w:r>
      <w:r>
        <w:rPr>
          <w:rFonts w:hint="eastAsia" w:ascii="仿宋_GB2312" w:hAnsi="Times New Roman" w:eastAsia="仿宋_GB2312" w:cs="Wingdings"/>
          <w:sz w:val="32"/>
          <w:szCs w:val="32"/>
          <w:highlight w:val="none"/>
          <w:lang w:eastAsia="zh-CN"/>
        </w:rPr>
        <w:t>增加</w:t>
      </w:r>
      <w:r>
        <w:rPr>
          <w:rFonts w:hint="eastAsia" w:ascii="仿宋_GB2312" w:hAnsi="Times New Roman" w:eastAsia="仿宋_GB2312" w:cs="Wingdings"/>
          <w:sz w:val="32"/>
          <w:szCs w:val="32"/>
          <w:highlight w:val="none"/>
          <w:lang w:val="en-US" w:eastAsia="zh-CN"/>
        </w:rPr>
        <w:t>100</w:t>
      </w:r>
      <w:r>
        <w:rPr>
          <w:rFonts w:hint="eastAsia" w:ascii="仿宋_GB2312" w:hAnsi="Times New Roman" w:eastAsia="仿宋_GB2312" w:cs="Wingdings"/>
          <w:sz w:val="32"/>
          <w:szCs w:val="32"/>
          <w:highlight w:val="none"/>
        </w:rPr>
        <w:t>%,主要是</w:t>
      </w:r>
      <w:r>
        <w:rPr>
          <w:rFonts w:hint="eastAsia" w:ascii="仿宋_GB2312" w:hAnsi="Times New Roman" w:eastAsia="仿宋_GB2312" w:cs="Wingdings"/>
          <w:sz w:val="32"/>
          <w:szCs w:val="32"/>
          <w:highlight w:val="none"/>
          <w:lang w:eastAsia="zh-CN"/>
        </w:rPr>
        <w:t>督导</w:t>
      </w:r>
      <w:r>
        <w:rPr>
          <w:rFonts w:hint="eastAsia" w:ascii="仿宋_GB2312" w:hAnsi="Times New Roman" w:eastAsia="仿宋_GB2312" w:cs="Wingdings"/>
          <w:sz w:val="32"/>
          <w:szCs w:val="32"/>
          <w:highlight w:val="none"/>
        </w:rPr>
        <w:t>调研</w:t>
      </w:r>
      <w:r>
        <w:rPr>
          <w:rFonts w:hint="eastAsia" w:ascii="仿宋_GB2312" w:hAnsi="Times New Roman" w:eastAsia="仿宋_GB2312" w:cs="Wingdings"/>
          <w:sz w:val="32"/>
          <w:szCs w:val="32"/>
          <w:highlight w:val="none"/>
          <w:lang w:eastAsia="zh-CN"/>
        </w:rPr>
        <w:t>相关工作</w:t>
      </w:r>
      <w:r>
        <w:rPr>
          <w:rFonts w:hint="eastAsia" w:ascii="仿宋_GB2312" w:hAnsi="Times New Roman" w:eastAsia="仿宋_GB2312" w:cs="Wingdings"/>
          <w:sz w:val="32"/>
          <w:szCs w:val="32"/>
          <w:highlight w:val="none"/>
        </w:rPr>
        <w:t>增加。</w:t>
      </w:r>
    </w:p>
    <w:p>
      <w:pPr>
        <w:adjustRightInd w:val="0"/>
        <w:snapToGrid w:val="0"/>
        <w:spacing w:line="600" w:lineRule="exact"/>
        <w:ind w:firstLine="640" w:firstLineChars="200"/>
        <w:rPr>
          <w:rFonts w:ascii="黑体" w:hAnsi="Times New Roman" w:eastAsia="黑体" w:cs="Times New Roman"/>
          <w:sz w:val="32"/>
          <w:szCs w:val="40"/>
          <w:highlight w:val="none"/>
        </w:rPr>
      </w:pPr>
      <w:r>
        <w:rPr>
          <w:rFonts w:hint="eastAsia" w:ascii="黑体" w:hAnsi="Times New Roman" w:eastAsia="黑体" w:cs="Times New Roman"/>
          <w:sz w:val="32"/>
          <w:szCs w:val="40"/>
          <w:highlight w:val="none"/>
        </w:rPr>
        <w:t>六、预算绩效情况说明</w:t>
      </w:r>
    </w:p>
    <w:p>
      <w:pPr>
        <w:adjustRightInd w:val="0"/>
        <w:snapToGrid w:val="0"/>
        <w:spacing w:line="600" w:lineRule="exact"/>
        <w:ind w:firstLine="643" w:firstLineChars="200"/>
        <w:rPr>
          <w:rFonts w:ascii="楷体_GB2312" w:hAnsi="楷体_GB2312" w:eastAsia="楷体_GB2312" w:cs="楷体_GB2312"/>
          <w:b/>
          <w:bCs/>
          <w:sz w:val="32"/>
          <w:szCs w:val="32"/>
          <w:highlight w:val="none"/>
        </w:rPr>
      </w:pPr>
      <w:r>
        <w:rPr>
          <w:rFonts w:hint="eastAsia" w:ascii="楷体_GB2312" w:hAnsi="楷体_GB2312" w:eastAsia="楷体_GB2312" w:cs="楷体_GB2312"/>
          <w:b/>
          <w:bCs/>
          <w:sz w:val="32"/>
          <w:szCs w:val="32"/>
          <w:highlight w:val="none"/>
        </w:rPr>
        <w:t>（一）预算绩效管理工作开展情况。</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根据预算绩效管理要求，本部门组织对2020年度项目支出全面开展绩效自评，其中，一般公共预算一级项目</w:t>
      </w:r>
      <w:r>
        <w:rPr>
          <w:rFonts w:hint="eastAsia" w:ascii="仿宋_GB2312" w:hAnsi="仿宋_GB2312" w:eastAsia="仿宋_GB2312" w:cs="仿宋_GB2312"/>
          <w:sz w:val="32"/>
          <w:szCs w:val="32"/>
          <w:lang w:val="en-US" w:eastAsia="zh-CN"/>
        </w:rPr>
        <w:t>9</w:t>
      </w:r>
      <w:r>
        <w:rPr>
          <w:rFonts w:hint="eastAsia" w:ascii="仿宋_GB2312" w:hAnsi="仿宋_GB2312" w:eastAsia="仿宋_GB2312" w:cs="仿宋_GB2312"/>
          <w:sz w:val="32"/>
          <w:szCs w:val="32"/>
        </w:rPr>
        <w:t>个，二级项目</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个，共涉及资金</w:t>
      </w:r>
      <w:r>
        <w:rPr>
          <w:rFonts w:hint="eastAsia" w:ascii="仿宋_GB2312" w:hAnsi="仿宋_GB2312" w:eastAsia="仿宋_GB2312" w:cs="仿宋_GB2312"/>
          <w:sz w:val="32"/>
          <w:szCs w:val="32"/>
          <w:lang w:val="en-US" w:eastAsia="zh-CN"/>
        </w:rPr>
        <w:t>91.61</w:t>
      </w:r>
      <w:r>
        <w:rPr>
          <w:rFonts w:hint="eastAsia" w:ascii="仿宋_GB2312" w:hAnsi="仿宋_GB2312" w:eastAsia="仿宋_GB2312" w:cs="仿宋_GB2312"/>
          <w:sz w:val="32"/>
          <w:szCs w:val="32"/>
        </w:rPr>
        <w:t>万元，占一般公共预算项目支出总额的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；政府性基金预算一级项目</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个，二级项目</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个,共涉及资金</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万元，占政府性基金预算项目支出总额的</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w:t>
      </w:r>
    </w:p>
    <w:p>
      <w:pPr>
        <w:adjustRightInd w:val="0"/>
        <w:snapToGrid w:val="0"/>
        <w:spacing w:line="600" w:lineRule="exact"/>
        <w:ind w:firstLine="640" w:firstLineChars="200"/>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组织对“</w:t>
      </w:r>
      <w:r>
        <w:rPr>
          <w:rFonts w:hint="eastAsia" w:ascii="仿宋_GB2312" w:hAnsi="仿宋_GB2312" w:eastAsia="仿宋_GB2312" w:cs="仿宋_GB2312"/>
          <w:sz w:val="32"/>
          <w:szCs w:val="32"/>
          <w:lang w:eastAsia="zh-CN"/>
        </w:rPr>
        <w:t>党委值班室音视频指挥调度系统建设</w:t>
      </w:r>
      <w:r>
        <w:rPr>
          <w:rFonts w:hint="eastAsia" w:ascii="仿宋_GB2312" w:hAnsi="仿宋_GB2312" w:eastAsia="仿宋_GB2312" w:cs="仿宋_GB2312"/>
          <w:sz w:val="32"/>
          <w:szCs w:val="32"/>
        </w:rPr>
        <w:t>”一级项目开展了部门评价，涉及一般公共预算支出</w:t>
      </w:r>
      <w:r>
        <w:rPr>
          <w:rFonts w:hint="eastAsia" w:ascii="仿宋_GB2312" w:hAnsi="仿宋_GB2312" w:eastAsia="仿宋_GB2312" w:cs="仿宋_GB2312"/>
          <w:sz w:val="32"/>
          <w:szCs w:val="32"/>
          <w:lang w:val="en-US" w:eastAsia="zh-CN"/>
        </w:rPr>
        <w:t>6.82</w:t>
      </w:r>
      <w:r>
        <w:rPr>
          <w:rFonts w:hint="eastAsia" w:ascii="仿宋_GB2312" w:hAnsi="仿宋_GB2312" w:eastAsia="仿宋_GB2312" w:cs="仿宋_GB2312"/>
          <w:sz w:val="32"/>
          <w:szCs w:val="32"/>
        </w:rPr>
        <w:t>万元，政府性基金预算支出</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w:t>
      </w:r>
      <w:r>
        <w:rPr>
          <w:rFonts w:hint="eastAsia" w:ascii="仿宋_GB2312" w:hAnsi="仿宋_GB2312" w:eastAsia="仿宋_GB2312" w:cs="仿宋_GB2312"/>
          <w:sz w:val="32"/>
          <w:szCs w:val="32"/>
          <w:lang w:eastAsia="zh-CN"/>
        </w:rPr>
        <w:t>其中，</w:t>
      </w:r>
      <w:r>
        <w:rPr>
          <w:rFonts w:hint="eastAsia" w:ascii="仿宋_GB2312" w:hAnsi="仿宋_GB2312" w:eastAsia="仿宋_GB2312" w:cs="仿宋_GB2312"/>
          <w:sz w:val="32"/>
          <w:szCs w:val="32"/>
        </w:rPr>
        <w:t>对“</w:t>
      </w:r>
      <w:r>
        <w:rPr>
          <w:rFonts w:hint="eastAsia" w:ascii="仿宋_GB2312" w:hAnsi="仿宋_GB2312" w:eastAsia="仿宋_GB2312" w:cs="仿宋_GB2312"/>
          <w:sz w:val="32"/>
          <w:szCs w:val="32"/>
          <w:lang w:eastAsia="zh-CN"/>
        </w:rPr>
        <w:t>党委值班室音视频指挥调度系统建设</w:t>
      </w:r>
      <w:r>
        <w:rPr>
          <w:rFonts w:hint="eastAsia" w:ascii="仿宋_GB2312" w:hAnsi="仿宋_GB2312" w:eastAsia="仿宋_GB2312" w:cs="仿宋_GB2312"/>
          <w:sz w:val="32"/>
          <w:szCs w:val="32"/>
        </w:rPr>
        <w:t>”项目开展绩效评价</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从评价情况来看，不存在项目执行绩效与绩效目标发生偏离情况，能够使单位工作规范有序，顺利开展。</w:t>
      </w:r>
    </w:p>
    <w:p>
      <w:pPr>
        <w:adjustRightInd w:val="0"/>
        <w:snapToGrid w:val="0"/>
        <w:spacing w:line="600" w:lineRule="exact"/>
        <w:ind w:firstLine="643" w:firstLineChars="200"/>
        <w:rPr>
          <w:rFonts w:ascii="楷体_GB2312" w:hAnsi="楷体_GB2312" w:eastAsia="楷体_GB2312" w:cs="楷体_GB2312"/>
          <w:b/>
          <w:bCs/>
          <w:sz w:val="32"/>
          <w:szCs w:val="32"/>
          <w:highlight w:val="none"/>
        </w:rPr>
      </w:pPr>
      <w:r>
        <w:rPr>
          <w:rFonts w:hint="eastAsia" w:ascii="楷体_GB2312" w:hAnsi="楷体_GB2312" w:eastAsia="楷体_GB2312" w:cs="楷体_GB2312"/>
          <w:b/>
          <w:bCs/>
          <w:sz w:val="32"/>
          <w:szCs w:val="32"/>
          <w:highlight w:val="none"/>
        </w:rPr>
        <w:t>（二） 部门决算中项目绩效自评结果。</w:t>
      </w:r>
    </w:p>
    <w:p>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本部门在今年部门决算公开中反映区委区政府大院保洁</w:t>
      </w:r>
      <w:r>
        <w:rPr>
          <w:rFonts w:hint="eastAsia" w:ascii="仿宋_GB2312" w:hAnsi="仿宋_GB2312" w:eastAsia="仿宋_GB2312" w:cs="仿宋_GB2312"/>
          <w:sz w:val="32"/>
          <w:szCs w:val="32"/>
          <w:lang w:eastAsia="zh-CN"/>
        </w:rPr>
        <w:t>、文件印刷、党委值班室音视频指挥调度系统建设、</w:t>
      </w:r>
      <w:r>
        <w:rPr>
          <w:rFonts w:hint="eastAsia" w:ascii="仿宋_GB2312" w:hAnsi="仿宋_GB2312" w:eastAsia="仿宋_GB2312" w:cs="仿宋_GB2312"/>
          <w:sz w:val="32"/>
          <w:szCs w:val="32"/>
        </w:rPr>
        <w:t>区委大院西墙拆建</w:t>
      </w:r>
      <w:r>
        <w:rPr>
          <w:rFonts w:hint="eastAsia" w:ascii="仿宋_GB2312" w:hAnsi="仿宋_GB2312" w:eastAsia="仿宋_GB2312" w:cs="仿宋_GB2312"/>
          <w:sz w:val="32"/>
          <w:szCs w:val="32"/>
          <w:lang w:eastAsia="zh-CN"/>
        </w:rPr>
        <w:t>、区委</w:t>
      </w:r>
      <w:r>
        <w:rPr>
          <w:rFonts w:hint="eastAsia" w:ascii="仿宋_GB2312" w:hAnsi="仿宋_GB2312" w:eastAsia="仿宋_GB2312" w:cs="仿宋_GB2312"/>
          <w:sz w:val="32"/>
          <w:szCs w:val="32"/>
          <w:lang w:val="en-US" w:eastAsia="zh-CN"/>
        </w:rPr>
        <w:t>2号楼铺设瓷砖</w:t>
      </w:r>
      <w:r>
        <w:rPr>
          <w:rFonts w:hint="eastAsia" w:ascii="仿宋_GB2312" w:hAnsi="仿宋_GB2312" w:eastAsia="仿宋_GB2312" w:cs="仿宋_GB2312"/>
          <w:sz w:val="32"/>
          <w:szCs w:val="32"/>
          <w:lang w:eastAsia="zh-CN"/>
        </w:rPr>
        <w:t>、区委大院绿化</w:t>
      </w:r>
      <w:r>
        <w:rPr>
          <w:rFonts w:hint="eastAsia" w:ascii="仿宋_GB2312" w:hAnsi="仿宋_GB2312" w:eastAsia="仿宋_GB2312" w:cs="仿宋_GB2312"/>
          <w:sz w:val="32"/>
          <w:szCs w:val="32"/>
        </w:rPr>
        <w:t>等</w:t>
      </w: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个项目绩效自评结果。</w:t>
      </w:r>
    </w:p>
    <w:p>
      <w:pPr>
        <w:numPr>
          <w:ilvl w:val="0"/>
          <w:numId w:val="2"/>
        </w:num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区委区政府大院保洁项目自评综述：根据年初设定的绩效目标，区委区政府大院保洁项目绩效自评得分为</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分。全年预算数为</w:t>
      </w:r>
      <w:r>
        <w:rPr>
          <w:rFonts w:hint="eastAsia" w:ascii="仿宋_GB2312" w:hAnsi="仿宋_GB2312" w:eastAsia="仿宋_GB2312" w:cs="仿宋_GB2312"/>
          <w:sz w:val="32"/>
          <w:szCs w:val="32"/>
          <w:lang w:val="en-US" w:eastAsia="zh-CN"/>
        </w:rPr>
        <w:t>19.60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19.60</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。项目绩效目标完成情况：有效保障了</w:t>
      </w:r>
      <w:r>
        <w:rPr>
          <w:rFonts w:hint="eastAsia" w:ascii="仿宋_GB2312" w:hAnsi="仿宋_GB2312" w:eastAsia="仿宋_GB2312" w:cs="仿宋_GB2312"/>
          <w:sz w:val="32"/>
          <w:szCs w:val="32"/>
          <w:lang w:eastAsia="zh-CN"/>
        </w:rPr>
        <w:t>机关办公环境卫生</w:t>
      </w:r>
      <w:r>
        <w:rPr>
          <w:rFonts w:hint="eastAsia" w:ascii="仿宋_GB2312" w:hAnsi="仿宋_GB2312" w:eastAsia="仿宋_GB2312" w:cs="仿宋_GB2312"/>
          <w:sz w:val="32"/>
          <w:szCs w:val="32"/>
        </w:rPr>
        <w:t>干净。发现的主要问题及原因：</w:t>
      </w:r>
      <w:r>
        <w:rPr>
          <w:rFonts w:hint="eastAsia" w:ascii="仿宋_GB2312" w:hAnsi="仿宋_GB2312" w:eastAsia="仿宋_GB2312" w:cs="仿宋_GB2312"/>
          <w:sz w:val="32"/>
          <w:szCs w:val="32"/>
          <w:lang w:eastAsia="zh-CN"/>
        </w:rPr>
        <w:t>无</w:t>
      </w:r>
      <w:r>
        <w:rPr>
          <w:rFonts w:hint="eastAsia" w:ascii="仿宋_GB2312" w:hAnsi="仿宋_GB2312" w:eastAsia="仿宋_GB2312" w:cs="仿宋_GB2312"/>
          <w:sz w:val="32"/>
          <w:szCs w:val="32"/>
        </w:rPr>
        <w:t>。下一步改进措施：</w:t>
      </w:r>
      <w:r>
        <w:rPr>
          <w:rFonts w:hint="eastAsia" w:ascii="仿宋_GB2312" w:hAnsi="仿宋_GB2312" w:eastAsia="仿宋_GB2312" w:cs="仿宋_GB2312"/>
          <w:sz w:val="32"/>
          <w:szCs w:val="32"/>
          <w:lang w:eastAsia="zh-CN"/>
        </w:rPr>
        <w:t>无</w:t>
      </w:r>
      <w:r>
        <w:rPr>
          <w:rFonts w:hint="eastAsia" w:ascii="仿宋_GB2312" w:hAnsi="仿宋_GB2312" w:eastAsia="仿宋_GB2312" w:cs="仿宋_GB2312"/>
          <w:sz w:val="32"/>
          <w:szCs w:val="32"/>
        </w:rPr>
        <w:t>。</w:t>
      </w:r>
    </w:p>
    <w:p>
      <w:pPr>
        <w:numPr>
          <w:ilvl w:val="0"/>
          <w:numId w:val="2"/>
        </w:num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文件印刷</w:t>
      </w:r>
      <w:r>
        <w:rPr>
          <w:rFonts w:hint="eastAsia" w:ascii="仿宋_GB2312" w:hAnsi="仿宋_GB2312" w:eastAsia="仿宋_GB2312" w:cs="仿宋_GB2312"/>
          <w:sz w:val="32"/>
          <w:szCs w:val="32"/>
        </w:rPr>
        <w:t>项目自评综述：根据年初设定的绩效目标，</w:t>
      </w:r>
      <w:r>
        <w:rPr>
          <w:rFonts w:hint="eastAsia" w:ascii="仿宋_GB2312" w:hAnsi="仿宋_GB2312" w:eastAsia="仿宋_GB2312" w:cs="仿宋_GB2312"/>
          <w:sz w:val="32"/>
          <w:szCs w:val="32"/>
          <w:lang w:eastAsia="zh-CN"/>
        </w:rPr>
        <w:t>文件印刷</w:t>
      </w:r>
      <w:r>
        <w:rPr>
          <w:rFonts w:hint="eastAsia" w:ascii="仿宋_GB2312" w:hAnsi="仿宋_GB2312" w:eastAsia="仿宋_GB2312" w:cs="仿宋_GB2312"/>
          <w:sz w:val="32"/>
          <w:szCs w:val="32"/>
        </w:rPr>
        <w:t>项目绩效自评得分为</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分。全年预算数为</w:t>
      </w:r>
      <w:r>
        <w:rPr>
          <w:rFonts w:hint="eastAsia" w:ascii="仿宋_GB2312" w:hAnsi="仿宋_GB2312" w:eastAsia="仿宋_GB2312" w:cs="仿宋_GB2312"/>
          <w:sz w:val="32"/>
          <w:szCs w:val="32"/>
          <w:lang w:val="en-US" w:eastAsia="zh-CN"/>
        </w:rPr>
        <w:t>5.41</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5.41</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。项目绩效目标完成情况：保证了日常办公</w:t>
      </w:r>
      <w:r>
        <w:rPr>
          <w:rFonts w:hint="eastAsia" w:ascii="仿宋_GB2312" w:hAnsi="仿宋_GB2312" w:eastAsia="仿宋_GB2312" w:cs="仿宋_GB2312"/>
          <w:sz w:val="32"/>
          <w:szCs w:val="32"/>
          <w:lang w:eastAsia="zh-CN"/>
        </w:rPr>
        <w:t>正常有序</w:t>
      </w:r>
      <w:r>
        <w:rPr>
          <w:rFonts w:hint="eastAsia" w:ascii="仿宋_GB2312" w:hAnsi="仿宋_GB2312" w:eastAsia="仿宋_GB2312" w:cs="仿宋_GB2312"/>
          <w:sz w:val="32"/>
          <w:szCs w:val="32"/>
        </w:rPr>
        <w:t>运转。发现的主要问题及原因：</w:t>
      </w:r>
      <w:r>
        <w:rPr>
          <w:rFonts w:hint="eastAsia" w:ascii="仿宋_GB2312" w:hAnsi="仿宋_GB2312" w:eastAsia="仿宋_GB2312" w:cs="仿宋_GB2312"/>
          <w:sz w:val="32"/>
          <w:szCs w:val="32"/>
          <w:lang w:eastAsia="zh-CN"/>
        </w:rPr>
        <w:t>无</w:t>
      </w:r>
      <w:r>
        <w:rPr>
          <w:rFonts w:hint="eastAsia" w:ascii="仿宋_GB2312" w:hAnsi="仿宋_GB2312" w:eastAsia="仿宋_GB2312" w:cs="仿宋_GB2312"/>
          <w:sz w:val="32"/>
          <w:szCs w:val="32"/>
        </w:rPr>
        <w:t>。下一步改进措施：</w:t>
      </w:r>
      <w:r>
        <w:rPr>
          <w:rFonts w:hint="eastAsia" w:ascii="仿宋_GB2312" w:hAnsi="仿宋_GB2312" w:eastAsia="仿宋_GB2312" w:cs="仿宋_GB2312"/>
          <w:sz w:val="32"/>
          <w:szCs w:val="32"/>
          <w:lang w:eastAsia="zh-CN"/>
        </w:rPr>
        <w:t>无</w:t>
      </w:r>
      <w:r>
        <w:rPr>
          <w:rFonts w:hint="eastAsia" w:ascii="仿宋_GB2312" w:hAnsi="仿宋_GB2312" w:eastAsia="仿宋_GB2312" w:cs="仿宋_GB2312"/>
          <w:sz w:val="32"/>
          <w:szCs w:val="32"/>
        </w:rPr>
        <w:t>。</w:t>
      </w:r>
    </w:p>
    <w:p>
      <w:pPr>
        <w:numPr>
          <w:ilvl w:val="0"/>
          <w:numId w:val="2"/>
        </w:num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党委值班室音视频指挥调度系统建设</w:t>
      </w:r>
      <w:r>
        <w:rPr>
          <w:rFonts w:hint="eastAsia" w:ascii="仿宋_GB2312" w:hAnsi="仿宋_GB2312" w:eastAsia="仿宋_GB2312" w:cs="仿宋_GB2312"/>
          <w:sz w:val="32"/>
          <w:szCs w:val="32"/>
        </w:rPr>
        <w:t>项目自评综述：根据年初设定的绩效目标，</w:t>
      </w:r>
      <w:r>
        <w:rPr>
          <w:rFonts w:hint="eastAsia" w:ascii="仿宋_GB2312" w:hAnsi="仿宋_GB2312" w:eastAsia="仿宋_GB2312" w:cs="仿宋_GB2312"/>
          <w:sz w:val="32"/>
          <w:szCs w:val="32"/>
          <w:lang w:eastAsia="zh-CN"/>
        </w:rPr>
        <w:t>党委值班室音视频指挥调度系统建设</w:t>
      </w:r>
      <w:r>
        <w:rPr>
          <w:rFonts w:hint="eastAsia" w:ascii="仿宋_GB2312" w:hAnsi="仿宋_GB2312" w:eastAsia="仿宋_GB2312" w:cs="仿宋_GB2312"/>
          <w:sz w:val="32"/>
          <w:szCs w:val="32"/>
        </w:rPr>
        <w:t>项目绩效自评得分为</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分。全年预算数为</w:t>
      </w:r>
      <w:r>
        <w:rPr>
          <w:rFonts w:hint="eastAsia" w:ascii="仿宋_GB2312" w:hAnsi="仿宋_GB2312" w:eastAsia="仿宋_GB2312" w:cs="仿宋_GB2312"/>
          <w:sz w:val="32"/>
          <w:szCs w:val="32"/>
          <w:lang w:val="en-US" w:eastAsia="zh-CN"/>
        </w:rPr>
        <w:t>6.82</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6.82</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。项目绩效目标完成情况：实现了省、市、县三级值班室互联互通，有效保障了工作的正常开展。发现的主要问题及原因：</w:t>
      </w:r>
      <w:r>
        <w:rPr>
          <w:rFonts w:hint="eastAsia" w:ascii="仿宋_GB2312" w:hAnsi="仿宋_GB2312" w:eastAsia="仿宋_GB2312" w:cs="仿宋_GB2312"/>
          <w:sz w:val="32"/>
          <w:szCs w:val="32"/>
          <w:lang w:eastAsia="zh-CN"/>
        </w:rPr>
        <w:t>无</w:t>
      </w:r>
      <w:r>
        <w:rPr>
          <w:rFonts w:hint="eastAsia" w:ascii="仿宋_GB2312" w:hAnsi="仿宋_GB2312" w:eastAsia="仿宋_GB2312" w:cs="仿宋_GB2312"/>
          <w:sz w:val="32"/>
          <w:szCs w:val="32"/>
        </w:rPr>
        <w:t>。下一步改进措施：</w:t>
      </w:r>
      <w:r>
        <w:rPr>
          <w:rFonts w:hint="eastAsia" w:ascii="仿宋_GB2312" w:hAnsi="仿宋_GB2312" w:eastAsia="仿宋_GB2312" w:cs="仿宋_GB2312"/>
          <w:sz w:val="32"/>
          <w:szCs w:val="32"/>
          <w:lang w:eastAsia="zh-CN"/>
        </w:rPr>
        <w:t>无</w:t>
      </w:r>
      <w:r>
        <w:rPr>
          <w:rFonts w:hint="eastAsia" w:ascii="仿宋_GB2312" w:hAnsi="仿宋_GB2312" w:eastAsia="仿宋_GB2312" w:cs="仿宋_GB2312"/>
          <w:sz w:val="32"/>
          <w:szCs w:val="32"/>
        </w:rPr>
        <w:t>。</w:t>
      </w:r>
    </w:p>
    <w:p>
      <w:pPr>
        <w:numPr>
          <w:ilvl w:val="0"/>
          <w:numId w:val="2"/>
        </w:num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区委大院西墙拆建项目自评综述：根据年初设定的绩效目标，区委大院西墙拆建项目绩效自评得分为</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分。全年预算数为</w:t>
      </w:r>
      <w:r>
        <w:rPr>
          <w:rFonts w:hint="eastAsia" w:ascii="仿宋_GB2312" w:hAnsi="仿宋_GB2312" w:eastAsia="仿宋_GB2312" w:cs="仿宋_GB2312"/>
          <w:sz w:val="32"/>
          <w:szCs w:val="32"/>
          <w:lang w:val="en-US" w:eastAsia="zh-CN"/>
        </w:rPr>
        <w:t>16.00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16.00</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。项目绩效目标完成情况：</w:t>
      </w:r>
      <w:r>
        <w:rPr>
          <w:rFonts w:hint="eastAsia" w:ascii="仿宋_GB2312" w:hAnsi="仿宋_GB2312" w:eastAsia="仿宋_GB2312" w:cs="仿宋_GB2312"/>
          <w:sz w:val="32"/>
          <w:szCs w:val="32"/>
          <w:lang w:eastAsia="zh-CN"/>
        </w:rPr>
        <w:t>消除了安全隐患，</w:t>
      </w:r>
      <w:r>
        <w:rPr>
          <w:rFonts w:hint="eastAsia" w:ascii="仿宋_GB2312" w:hAnsi="仿宋_GB2312" w:eastAsia="仿宋_GB2312" w:cs="仿宋_GB2312"/>
          <w:sz w:val="32"/>
          <w:szCs w:val="32"/>
        </w:rPr>
        <w:t>有效保障</w:t>
      </w:r>
      <w:r>
        <w:rPr>
          <w:rFonts w:hint="eastAsia" w:ascii="仿宋_GB2312" w:hAnsi="仿宋_GB2312" w:eastAsia="仿宋_GB2312" w:cs="仿宋_GB2312"/>
          <w:sz w:val="32"/>
          <w:szCs w:val="32"/>
          <w:lang w:eastAsia="zh-CN"/>
        </w:rPr>
        <w:t>了</w:t>
      </w:r>
      <w:r>
        <w:rPr>
          <w:rFonts w:hint="eastAsia" w:ascii="仿宋_GB2312" w:hAnsi="仿宋_GB2312" w:eastAsia="仿宋_GB2312" w:cs="仿宋_GB2312"/>
          <w:sz w:val="32"/>
          <w:szCs w:val="32"/>
        </w:rPr>
        <w:t>区委大院的正常工作秩序。发现的主要问题及原因：</w:t>
      </w:r>
      <w:r>
        <w:rPr>
          <w:rFonts w:hint="eastAsia" w:ascii="仿宋_GB2312" w:hAnsi="仿宋_GB2312" w:eastAsia="仿宋_GB2312" w:cs="仿宋_GB2312"/>
          <w:sz w:val="32"/>
          <w:szCs w:val="32"/>
          <w:lang w:eastAsia="zh-CN"/>
        </w:rPr>
        <w:t>无</w:t>
      </w:r>
      <w:r>
        <w:rPr>
          <w:rFonts w:hint="eastAsia" w:ascii="仿宋_GB2312" w:hAnsi="仿宋_GB2312" w:eastAsia="仿宋_GB2312" w:cs="仿宋_GB2312"/>
          <w:sz w:val="32"/>
          <w:szCs w:val="32"/>
        </w:rPr>
        <w:t>。下一步改进措施：</w:t>
      </w:r>
      <w:r>
        <w:rPr>
          <w:rFonts w:hint="eastAsia" w:ascii="仿宋_GB2312" w:hAnsi="仿宋_GB2312" w:eastAsia="仿宋_GB2312" w:cs="仿宋_GB2312"/>
          <w:sz w:val="32"/>
          <w:szCs w:val="32"/>
          <w:lang w:eastAsia="zh-CN"/>
        </w:rPr>
        <w:t>无</w:t>
      </w:r>
      <w:r>
        <w:rPr>
          <w:rFonts w:hint="eastAsia" w:ascii="仿宋_GB2312" w:hAnsi="仿宋_GB2312" w:eastAsia="仿宋_GB2312" w:cs="仿宋_GB2312"/>
          <w:sz w:val="32"/>
          <w:szCs w:val="32"/>
        </w:rPr>
        <w:t>。</w:t>
      </w:r>
    </w:p>
    <w:p>
      <w:pPr>
        <w:numPr>
          <w:ilvl w:val="0"/>
          <w:numId w:val="2"/>
        </w:numPr>
        <w:spacing w:line="610" w:lineRule="exact"/>
        <w:ind w:left="0" w:leftChars="0"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区委</w:t>
      </w:r>
      <w:r>
        <w:rPr>
          <w:rFonts w:hint="eastAsia" w:ascii="仿宋_GB2312" w:hAnsi="仿宋_GB2312" w:eastAsia="仿宋_GB2312" w:cs="仿宋_GB2312"/>
          <w:sz w:val="32"/>
          <w:szCs w:val="32"/>
          <w:lang w:val="en-US" w:eastAsia="zh-CN"/>
        </w:rPr>
        <w:t>2号楼铺设瓷砖</w:t>
      </w:r>
      <w:r>
        <w:rPr>
          <w:rFonts w:hint="eastAsia" w:ascii="仿宋_GB2312" w:hAnsi="仿宋_GB2312" w:eastAsia="仿宋_GB2312" w:cs="仿宋_GB2312"/>
          <w:sz w:val="32"/>
          <w:szCs w:val="32"/>
        </w:rPr>
        <w:t>项目自评综述：根据年初设定的绩效目标，</w:t>
      </w:r>
      <w:r>
        <w:rPr>
          <w:rFonts w:hint="eastAsia" w:ascii="仿宋_GB2312" w:hAnsi="仿宋_GB2312" w:eastAsia="仿宋_GB2312" w:cs="仿宋_GB2312"/>
          <w:sz w:val="32"/>
          <w:szCs w:val="32"/>
          <w:lang w:eastAsia="zh-CN"/>
        </w:rPr>
        <w:t>区委</w:t>
      </w:r>
      <w:r>
        <w:rPr>
          <w:rFonts w:hint="eastAsia" w:ascii="仿宋_GB2312" w:hAnsi="仿宋_GB2312" w:eastAsia="仿宋_GB2312" w:cs="仿宋_GB2312"/>
          <w:sz w:val="32"/>
          <w:szCs w:val="32"/>
          <w:lang w:val="en-US" w:eastAsia="zh-CN"/>
        </w:rPr>
        <w:t>2号楼铺设瓷砖</w:t>
      </w:r>
      <w:r>
        <w:rPr>
          <w:rFonts w:hint="eastAsia" w:ascii="仿宋_GB2312" w:hAnsi="仿宋_GB2312" w:eastAsia="仿宋_GB2312" w:cs="仿宋_GB2312"/>
          <w:sz w:val="32"/>
          <w:szCs w:val="32"/>
        </w:rPr>
        <w:t>项目绩效自评得分为</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分。全年预算数为</w:t>
      </w:r>
      <w:r>
        <w:rPr>
          <w:rFonts w:hint="eastAsia" w:ascii="仿宋_GB2312" w:hAnsi="仿宋_GB2312" w:eastAsia="仿宋_GB2312" w:cs="仿宋_GB2312"/>
          <w:sz w:val="32"/>
          <w:szCs w:val="32"/>
          <w:lang w:val="en-US" w:eastAsia="zh-CN"/>
        </w:rPr>
        <w:t>3.22</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3.22</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。项目绩效目标完成情况：创造了安全整洁的办公环境</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发现的主要问题及原因：</w:t>
      </w:r>
      <w:r>
        <w:rPr>
          <w:rFonts w:hint="eastAsia" w:ascii="仿宋_GB2312" w:hAnsi="仿宋_GB2312" w:eastAsia="仿宋_GB2312" w:cs="仿宋_GB2312"/>
          <w:sz w:val="32"/>
          <w:szCs w:val="32"/>
          <w:lang w:eastAsia="zh-CN"/>
        </w:rPr>
        <w:t>无</w:t>
      </w:r>
      <w:r>
        <w:rPr>
          <w:rFonts w:hint="eastAsia" w:ascii="仿宋_GB2312" w:hAnsi="仿宋_GB2312" w:eastAsia="仿宋_GB2312" w:cs="仿宋_GB2312"/>
          <w:sz w:val="32"/>
          <w:szCs w:val="32"/>
        </w:rPr>
        <w:t>。下一步改进措施：</w:t>
      </w:r>
      <w:r>
        <w:rPr>
          <w:rFonts w:hint="eastAsia" w:ascii="仿宋_GB2312" w:hAnsi="仿宋_GB2312" w:eastAsia="仿宋_GB2312" w:cs="仿宋_GB2312"/>
          <w:sz w:val="32"/>
          <w:szCs w:val="32"/>
          <w:lang w:eastAsia="zh-CN"/>
        </w:rPr>
        <w:t>无</w:t>
      </w:r>
      <w:r>
        <w:rPr>
          <w:rFonts w:hint="eastAsia" w:ascii="仿宋_GB2312" w:hAnsi="仿宋_GB2312" w:eastAsia="仿宋_GB2312" w:cs="仿宋_GB2312"/>
          <w:sz w:val="32"/>
          <w:szCs w:val="32"/>
        </w:rPr>
        <w:t>。</w:t>
      </w:r>
    </w:p>
    <w:p>
      <w:pPr>
        <w:numPr>
          <w:ilvl w:val="0"/>
          <w:numId w:val="2"/>
        </w:numPr>
        <w:spacing w:line="610" w:lineRule="exact"/>
        <w:ind w:left="0" w:leftChars="0"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区委大院绿化</w:t>
      </w:r>
      <w:r>
        <w:rPr>
          <w:rFonts w:hint="eastAsia" w:ascii="仿宋_GB2312" w:hAnsi="仿宋_GB2312" w:eastAsia="仿宋_GB2312" w:cs="仿宋_GB2312"/>
          <w:sz w:val="32"/>
          <w:szCs w:val="32"/>
        </w:rPr>
        <w:t>项目自评综述：根据年初设定的绩效目标，</w:t>
      </w:r>
      <w:r>
        <w:rPr>
          <w:rFonts w:hint="eastAsia" w:ascii="仿宋_GB2312" w:hAnsi="仿宋_GB2312" w:eastAsia="仿宋_GB2312" w:cs="仿宋_GB2312"/>
          <w:sz w:val="32"/>
          <w:szCs w:val="32"/>
          <w:lang w:eastAsia="zh-CN"/>
        </w:rPr>
        <w:t>区委大院绿化</w:t>
      </w:r>
      <w:r>
        <w:rPr>
          <w:rFonts w:hint="eastAsia" w:ascii="仿宋_GB2312" w:hAnsi="仿宋_GB2312" w:eastAsia="仿宋_GB2312" w:cs="仿宋_GB2312"/>
          <w:sz w:val="32"/>
          <w:szCs w:val="32"/>
        </w:rPr>
        <w:t>项目绩效自评得分为</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分。全年预算数为</w:t>
      </w:r>
      <w:r>
        <w:rPr>
          <w:rFonts w:hint="eastAsia" w:ascii="仿宋_GB2312" w:hAnsi="仿宋_GB2312" w:eastAsia="仿宋_GB2312" w:cs="仿宋_GB2312"/>
          <w:sz w:val="32"/>
          <w:szCs w:val="32"/>
          <w:lang w:val="en-US" w:eastAsia="zh-CN"/>
        </w:rPr>
        <w:t>0.90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0.90</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。项目绩效目标完成情况：</w:t>
      </w:r>
      <w:r>
        <w:rPr>
          <w:rFonts w:hint="eastAsia" w:ascii="仿宋_GB2312" w:hAnsi="黑体" w:eastAsia="仿宋_GB2312" w:cs="仿宋_GB2312"/>
          <w:color w:val="000000"/>
          <w:spacing w:val="-8"/>
          <w:sz w:val="32"/>
          <w:szCs w:val="32"/>
          <w:lang w:eastAsia="zh-CN"/>
        </w:rPr>
        <w:t>有效保障了</w:t>
      </w:r>
      <w:r>
        <w:rPr>
          <w:rFonts w:hint="eastAsia" w:ascii="仿宋_GB2312" w:eastAsia="仿宋_GB2312" w:cs="仿宋_GB2312"/>
          <w:color w:val="000000"/>
          <w:spacing w:val="-8"/>
          <w:sz w:val="32"/>
          <w:szCs w:val="32"/>
          <w:lang w:eastAsia="zh-CN"/>
        </w:rPr>
        <w:t>办公环境生态化</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发现的主要问题及原因：</w:t>
      </w:r>
      <w:r>
        <w:rPr>
          <w:rFonts w:hint="eastAsia" w:ascii="仿宋_GB2312" w:hAnsi="仿宋_GB2312" w:eastAsia="仿宋_GB2312" w:cs="仿宋_GB2312"/>
          <w:sz w:val="32"/>
          <w:szCs w:val="32"/>
          <w:lang w:eastAsia="zh-CN"/>
        </w:rPr>
        <w:t>无</w:t>
      </w:r>
      <w:r>
        <w:rPr>
          <w:rFonts w:hint="eastAsia" w:ascii="仿宋_GB2312" w:hAnsi="仿宋_GB2312" w:eastAsia="仿宋_GB2312" w:cs="仿宋_GB2312"/>
          <w:sz w:val="32"/>
          <w:szCs w:val="32"/>
        </w:rPr>
        <w:t>。下一步改进措施：</w:t>
      </w:r>
      <w:r>
        <w:rPr>
          <w:rFonts w:hint="eastAsia" w:ascii="仿宋_GB2312" w:hAnsi="仿宋_GB2312" w:eastAsia="仿宋_GB2312" w:cs="仿宋_GB2312"/>
          <w:sz w:val="32"/>
          <w:szCs w:val="32"/>
          <w:lang w:eastAsia="zh-CN"/>
        </w:rPr>
        <w:t>无</w:t>
      </w:r>
      <w:r>
        <w:rPr>
          <w:rFonts w:hint="eastAsia" w:ascii="仿宋_GB2312" w:hAnsi="仿宋_GB2312" w:eastAsia="仿宋_GB2312" w:cs="仿宋_GB2312"/>
          <w:sz w:val="32"/>
          <w:szCs w:val="32"/>
        </w:rPr>
        <w:t>。</w:t>
      </w:r>
    </w:p>
    <w:p>
      <w:pPr>
        <w:adjustRightInd w:val="0"/>
        <w:snapToGrid w:val="0"/>
        <w:spacing w:line="600" w:lineRule="exact"/>
        <w:ind w:firstLine="643" w:firstLineChars="200"/>
        <w:rPr>
          <w:rFonts w:hint="eastAsia" w:ascii="楷体_GB2312" w:hAnsi="楷体_GB2312" w:eastAsia="楷体_GB2312" w:cs="楷体_GB2312"/>
          <w:b/>
          <w:bCs/>
          <w:color w:val="auto"/>
          <w:sz w:val="32"/>
          <w:szCs w:val="32"/>
          <w:highlight w:val="none"/>
        </w:rPr>
      </w:pPr>
      <w:r>
        <w:rPr>
          <w:rFonts w:hint="eastAsia" w:ascii="楷体_GB2312" w:hAnsi="楷体_GB2312" w:eastAsia="楷体_GB2312" w:cs="楷体_GB2312"/>
          <w:b/>
          <w:bCs/>
          <w:color w:val="auto"/>
          <w:sz w:val="32"/>
          <w:szCs w:val="32"/>
          <w:highlight w:val="none"/>
        </w:rPr>
        <w:t>（三）财政评价项目绩效评价结果</w:t>
      </w:r>
    </w:p>
    <w:p>
      <w:pPr>
        <w:adjustRightInd w:val="0"/>
        <w:snapToGrid w:val="0"/>
        <w:spacing w:line="60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无</w:t>
      </w:r>
    </w:p>
    <w:p>
      <w:pPr>
        <w:keepNext/>
        <w:keepLines/>
        <w:snapToGrid w:val="0"/>
        <w:spacing w:line="600" w:lineRule="exact"/>
        <w:ind w:firstLine="640" w:firstLineChars="200"/>
        <w:outlineLvl w:val="1"/>
        <w:rPr>
          <w:rFonts w:ascii="黑体" w:hAnsi="黑体" w:eastAsia="黑体" w:cs="黑体"/>
          <w:b/>
          <w:bCs/>
          <w:sz w:val="32"/>
          <w:szCs w:val="32"/>
        </w:rPr>
      </w:pPr>
      <w:r>
        <w:rPr>
          <w:rFonts w:hint="eastAsia" w:ascii="黑体" w:hAnsi="黑体" w:eastAsia="黑体" w:cs="黑体"/>
          <w:sz w:val="32"/>
          <w:szCs w:val="32"/>
        </w:rPr>
        <w:t>七、机关运行经费情况</w:t>
      </w:r>
    </w:p>
    <w:p>
      <w:pPr>
        <w:adjustRightInd w:val="0"/>
        <w:snapToGrid w:val="0"/>
        <w:spacing w:line="600" w:lineRule="exact"/>
        <w:ind w:firstLine="640" w:firstLineChars="200"/>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本部门2020年度机关运行经费支出</w:t>
      </w:r>
      <w:r>
        <w:rPr>
          <w:rFonts w:hint="eastAsia" w:ascii="仿宋_GB2312" w:hAnsi="仿宋_GB2312" w:eastAsia="仿宋_GB2312" w:cs="仿宋_GB2312"/>
          <w:sz w:val="32"/>
          <w:szCs w:val="32"/>
          <w:lang w:val="en-US" w:eastAsia="zh-CN"/>
        </w:rPr>
        <w:t>110.17</w:t>
      </w:r>
      <w:r>
        <w:rPr>
          <w:rFonts w:hint="eastAsia" w:ascii="仿宋_GB2312" w:hAnsi="仿宋_GB2312" w:eastAsia="仿宋_GB2312" w:cs="仿宋_GB2312"/>
          <w:sz w:val="32"/>
          <w:szCs w:val="32"/>
        </w:rPr>
        <w:t>万元，比2019年度减少</w:t>
      </w:r>
      <w:r>
        <w:rPr>
          <w:rFonts w:hint="eastAsia" w:ascii="仿宋_GB2312" w:hAnsi="仿宋_GB2312" w:eastAsia="仿宋_GB2312" w:cs="仿宋_GB2312"/>
          <w:sz w:val="32"/>
          <w:szCs w:val="32"/>
          <w:lang w:val="en-US" w:eastAsia="zh-CN"/>
        </w:rPr>
        <w:t>36.99</w:t>
      </w:r>
      <w:r>
        <w:rPr>
          <w:rFonts w:hint="eastAsia" w:ascii="仿宋_GB2312" w:hAnsi="仿宋_GB2312" w:eastAsia="仿宋_GB2312" w:cs="仿宋_GB2312"/>
          <w:sz w:val="32"/>
          <w:szCs w:val="32"/>
        </w:rPr>
        <w:t>万元，降低</w:t>
      </w:r>
      <w:r>
        <w:rPr>
          <w:rFonts w:hint="eastAsia" w:ascii="仿宋_GB2312" w:hAnsi="仿宋_GB2312" w:eastAsia="仿宋_GB2312" w:cs="仿宋_GB2312"/>
          <w:sz w:val="32"/>
          <w:szCs w:val="32"/>
          <w:lang w:val="en-US" w:eastAsia="zh-CN"/>
        </w:rPr>
        <w:t>25.13</w:t>
      </w:r>
      <w:r>
        <w:rPr>
          <w:rFonts w:hint="eastAsia" w:ascii="仿宋_GB2312" w:hAnsi="仿宋_GB2312" w:eastAsia="仿宋_GB2312" w:cs="仿宋_GB2312"/>
          <w:sz w:val="32"/>
          <w:szCs w:val="32"/>
        </w:rPr>
        <w:t>%。主要原因是严格落实八项规定，压缩经费开支。</w:t>
      </w:r>
    </w:p>
    <w:p>
      <w:pPr>
        <w:keepNext/>
        <w:keepLines/>
        <w:snapToGrid w:val="0"/>
        <w:spacing w:line="600" w:lineRule="exact"/>
        <w:ind w:firstLine="640" w:firstLineChars="200"/>
        <w:outlineLvl w:val="2"/>
        <w:rPr>
          <w:rFonts w:hint="eastAsia" w:ascii="黑体" w:hAnsi="黑体" w:eastAsia="黑体" w:cs="黑体"/>
          <w:sz w:val="32"/>
          <w:szCs w:val="32"/>
        </w:rPr>
      </w:pPr>
      <w:r>
        <w:rPr>
          <w:rFonts w:hint="eastAsia" w:ascii="黑体" w:hAnsi="黑体" w:eastAsia="黑体" w:cs="黑体"/>
          <w:sz w:val="32"/>
          <w:szCs w:val="32"/>
        </w:rPr>
        <w:t>八、政府采购情况</w:t>
      </w:r>
    </w:p>
    <w:p>
      <w:pPr>
        <w:snapToGrid w:val="0"/>
        <w:spacing w:line="600" w:lineRule="exact"/>
        <w:ind w:firstLine="640" w:firstLineChars="200"/>
        <w:jc w:val="left"/>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本部门2020年度政府采购支出总额</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万元，从采购类型来看，</w:t>
      </w:r>
      <w:r>
        <w:rPr>
          <w:rFonts w:hint="eastAsia" w:ascii="仿宋_GB2312" w:hAnsi="仿宋_GB2312" w:eastAsia="仿宋_GB2312" w:cs="仿宋_GB2312"/>
          <w:color w:val="000000"/>
          <w:kern w:val="0"/>
          <w:sz w:val="32"/>
          <w:szCs w:val="32"/>
          <w:lang w:bidi="ar"/>
        </w:rPr>
        <w:t>政府采购货物支出</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万元、政府采购工程支出</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万元、政府采购服务支出</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万元。授予中小企业合同金</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万元，占政府采购支出总额的</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%，其中授予小微企业合同金额</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万元，占政府采购支出总额的</w:t>
      </w:r>
      <w:r>
        <w:rPr>
          <w:rFonts w:hint="eastAsia" w:ascii="仿宋_GB2312" w:hAnsi="仿宋_GB2312" w:eastAsia="仿宋_GB2312" w:cs="仿宋_GB2312"/>
          <w:color w:val="000000"/>
          <w:kern w:val="0"/>
          <w:sz w:val="32"/>
          <w:szCs w:val="32"/>
          <w:lang w:val="en-US" w:eastAsia="zh-CN" w:bidi="ar"/>
        </w:rPr>
        <w:t>0</w:t>
      </w:r>
      <w:r>
        <w:rPr>
          <w:rFonts w:hint="eastAsia" w:ascii="仿宋_GB2312" w:hAnsi="仿宋_GB2312" w:eastAsia="仿宋_GB2312" w:cs="仿宋_GB2312"/>
          <w:color w:val="000000"/>
          <w:kern w:val="0"/>
          <w:sz w:val="32"/>
          <w:szCs w:val="32"/>
          <w:lang w:bidi="ar"/>
        </w:rPr>
        <w:t>%。</w:t>
      </w:r>
    </w:p>
    <w:p>
      <w:pPr>
        <w:keepNext/>
        <w:keepLines/>
        <w:snapToGrid w:val="0"/>
        <w:spacing w:line="600" w:lineRule="exact"/>
        <w:ind w:firstLine="640" w:firstLineChars="200"/>
        <w:outlineLvl w:val="2"/>
        <w:rPr>
          <w:rFonts w:ascii="黑体" w:hAnsi="黑体" w:eastAsia="黑体" w:cs="黑体"/>
          <w:sz w:val="32"/>
          <w:szCs w:val="32"/>
        </w:rPr>
      </w:pPr>
      <w:r>
        <w:rPr>
          <w:rFonts w:hint="eastAsia" w:ascii="黑体" w:hAnsi="黑体" w:eastAsia="黑体" w:cs="黑体"/>
          <w:sz w:val="32"/>
          <w:szCs w:val="32"/>
        </w:rPr>
        <w:t>九、国有资产占用情况</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截至2020年12月31日，本部门共有车辆</w:t>
      </w:r>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辆，比上年</w:t>
      </w:r>
      <w:r>
        <w:rPr>
          <w:rFonts w:hint="eastAsia" w:ascii="仿宋_GB2312" w:hAnsi="仿宋_GB2312" w:eastAsia="仿宋_GB2312" w:cs="仿宋_GB2312"/>
          <w:sz w:val="32"/>
          <w:szCs w:val="32"/>
          <w:lang w:eastAsia="zh-CN"/>
        </w:rPr>
        <w:t>持平</w:t>
      </w:r>
      <w:r>
        <w:rPr>
          <w:rFonts w:hint="eastAsia" w:ascii="仿宋_GB2312" w:hAnsi="仿宋_GB2312" w:eastAsia="仿宋_GB2312" w:cs="仿宋_GB2312"/>
          <w:sz w:val="32"/>
          <w:szCs w:val="32"/>
        </w:rPr>
        <w:t>，主要是</w:t>
      </w:r>
      <w:r>
        <w:rPr>
          <w:rFonts w:hint="eastAsia" w:ascii="仿宋_GB2312" w:hAnsi="仿宋_GB2312" w:eastAsia="仿宋_GB2312" w:cs="仿宋_GB2312"/>
          <w:sz w:val="32"/>
          <w:szCs w:val="32"/>
          <w:lang w:eastAsia="zh-CN"/>
        </w:rPr>
        <w:t>未购置公务用车</w:t>
      </w:r>
      <w:r>
        <w:rPr>
          <w:rFonts w:hint="eastAsia" w:ascii="仿宋_GB2312" w:hAnsi="仿宋_GB2312" w:eastAsia="仿宋_GB2312" w:cs="仿宋_GB2312"/>
          <w:sz w:val="32"/>
          <w:szCs w:val="32"/>
        </w:rPr>
        <w:t>。其中，副部（省）级及以上领导用车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辆，主要领导干部用车</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辆，机要通信用车</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辆，应急保障用车</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辆，执法执勤用车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辆，特种专业技术用车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辆，离退休干部用车</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辆，其他用车</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辆，其他用车主要是</w:t>
      </w:r>
      <w:r>
        <w:rPr>
          <w:rFonts w:hint="eastAsia" w:ascii="仿宋_GB2312" w:hAnsi="仿宋_GB2312" w:eastAsia="仿宋_GB2312" w:cs="仿宋_GB2312"/>
          <w:sz w:val="32"/>
          <w:szCs w:val="32"/>
          <w:lang w:eastAsia="zh-CN"/>
        </w:rPr>
        <w:t>公务用车</w:t>
      </w:r>
      <w:r>
        <w:rPr>
          <w:rFonts w:hint="eastAsia" w:ascii="仿宋_GB2312" w:hAnsi="仿宋_GB2312" w:eastAsia="仿宋_GB2312" w:cs="仿宋_GB2312"/>
          <w:sz w:val="32"/>
          <w:szCs w:val="32"/>
        </w:rPr>
        <w:t>；</w:t>
      </w:r>
    </w:p>
    <w:p>
      <w:pPr>
        <w:adjustRightInd w:val="0"/>
        <w:snapToGrid w:val="0"/>
        <w:spacing w:line="600" w:lineRule="exact"/>
        <w:ind w:firstLine="640" w:firstLineChars="200"/>
        <w:rPr>
          <w:rFonts w:ascii="仿宋_GB2312" w:hAnsi="仿宋_GB2312" w:eastAsia="仿宋_GB2312" w:cs="仿宋_GB2312"/>
          <w:b/>
          <w:bCs/>
          <w:sz w:val="32"/>
          <w:szCs w:val="32"/>
        </w:rPr>
      </w:pPr>
      <w:r>
        <w:rPr>
          <w:rFonts w:hint="eastAsia" w:ascii="仿宋_GB2312" w:hAnsi="仿宋_GB2312" w:eastAsia="仿宋_GB2312" w:cs="仿宋_GB2312"/>
          <w:sz w:val="32"/>
          <w:szCs w:val="32"/>
        </w:rPr>
        <w:t>单位价值50万元以上通用设备</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台（套），比上年</w:t>
      </w:r>
      <w:r>
        <w:rPr>
          <w:rFonts w:hint="eastAsia" w:ascii="仿宋_GB2312" w:hAnsi="仿宋_GB2312" w:eastAsia="仿宋_GB2312" w:cs="仿宋_GB2312"/>
          <w:sz w:val="32"/>
          <w:szCs w:val="32"/>
          <w:lang w:eastAsia="zh-CN"/>
        </w:rPr>
        <w:t>持平</w:t>
      </w:r>
      <w:r>
        <w:rPr>
          <w:rFonts w:hint="eastAsia" w:ascii="仿宋_GB2312" w:hAnsi="仿宋_GB2312" w:eastAsia="仿宋_GB2312" w:cs="仿宋_GB2312"/>
          <w:sz w:val="32"/>
          <w:szCs w:val="32"/>
        </w:rPr>
        <w:t>，主要是</w:t>
      </w:r>
      <w:r>
        <w:rPr>
          <w:rFonts w:hint="eastAsia" w:ascii="仿宋_GB2312" w:hAnsi="仿宋_GB2312" w:eastAsia="仿宋_GB2312" w:cs="仿宋_GB2312"/>
          <w:sz w:val="32"/>
          <w:szCs w:val="32"/>
          <w:lang w:eastAsia="zh-CN"/>
        </w:rPr>
        <w:t>未购置价值</w:t>
      </w:r>
      <w:r>
        <w:rPr>
          <w:rFonts w:hint="eastAsia" w:ascii="仿宋_GB2312" w:hAnsi="仿宋_GB2312" w:eastAsia="仿宋_GB2312" w:cs="仿宋_GB2312"/>
          <w:sz w:val="32"/>
          <w:szCs w:val="32"/>
          <w:lang w:val="en-US" w:eastAsia="zh-CN"/>
        </w:rPr>
        <w:t>50万元以上的通用设备</w:t>
      </w:r>
      <w:r>
        <w:rPr>
          <w:rFonts w:hint="eastAsia" w:ascii="仿宋_GB2312" w:hAnsi="仿宋_GB2312" w:eastAsia="仿宋_GB2312" w:cs="仿宋_GB2312"/>
          <w:sz w:val="32"/>
          <w:szCs w:val="32"/>
        </w:rPr>
        <w:t xml:space="preserve"> ，单位价值100万元以上专用设备</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台（套）比上年</w:t>
      </w:r>
      <w:r>
        <w:rPr>
          <w:rFonts w:hint="eastAsia" w:ascii="仿宋_GB2312" w:hAnsi="仿宋_GB2312" w:eastAsia="仿宋_GB2312" w:cs="仿宋_GB2312"/>
          <w:sz w:val="32"/>
          <w:szCs w:val="32"/>
          <w:lang w:eastAsia="zh-CN"/>
        </w:rPr>
        <w:t>持平</w:t>
      </w:r>
      <w:r>
        <w:rPr>
          <w:rFonts w:hint="eastAsia" w:ascii="仿宋_GB2312" w:hAnsi="仿宋_GB2312" w:eastAsia="仿宋_GB2312" w:cs="仿宋_GB2312"/>
          <w:sz w:val="32"/>
          <w:szCs w:val="32"/>
        </w:rPr>
        <w:t>，主要是</w:t>
      </w:r>
      <w:r>
        <w:rPr>
          <w:rFonts w:hint="eastAsia" w:ascii="仿宋_GB2312" w:hAnsi="仿宋_GB2312" w:eastAsia="仿宋_GB2312" w:cs="仿宋_GB2312"/>
          <w:sz w:val="32"/>
          <w:szCs w:val="32"/>
          <w:lang w:eastAsia="zh-CN"/>
        </w:rPr>
        <w:t>未购置价值</w:t>
      </w:r>
      <w:r>
        <w:rPr>
          <w:rFonts w:hint="eastAsia" w:ascii="仿宋_GB2312" w:hAnsi="仿宋_GB2312" w:eastAsia="仿宋_GB2312" w:cs="仿宋_GB2312"/>
          <w:sz w:val="32"/>
          <w:szCs w:val="32"/>
          <w:lang w:val="en-US" w:eastAsia="zh-CN"/>
        </w:rPr>
        <w:t>100万元以上的通用设备</w:t>
      </w:r>
      <w:r>
        <w:rPr>
          <w:rFonts w:hint="eastAsia" w:ascii="仿宋_GB2312" w:hAnsi="仿宋_GB2312" w:eastAsia="仿宋_GB2312" w:cs="仿宋_GB2312"/>
          <w:sz w:val="32"/>
          <w:szCs w:val="32"/>
        </w:rPr>
        <w:t>。</w:t>
      </w:r>
    </w:p>
    <w:p>
      <w:pPr>
        <w:keepNext/>
        <w:keepLines/>
        <w:snapToGrid w:val="0"/>
        <w:spacing w:line="600" w:lineRule="exact"/>
        <w:ind w:firstLine="640" w:firstLineChars="200"/>
        <w:outlineLvl w:val="2"/>
        <w:rPr>
          <w:rFonts w:ascii="黑体" w:hAnsi="黑体" w:eastAsia="黑体" w:cs="黑体"/>
          <w:sz w:val="32"/>
          <w:szCs w:val="32"/>
        </w:rPr>
      </w:pPr>
      <w:r>
        <w:rPr>
          <w:rFonts w:hint="eastAsia" w:ascii="黑体" w:hAnsi="黑体" w:eastAsia="黑体" w:cs="黑体"/>
          <w:sz w:val="32"/>
          <w:szCs w:val="32"/>
        </w:rPr>
        <w:t>十、其他需要说明的情况</w:t>
      </w:r>
    </w:p>
    <w:p>
      <w:pPr>
        <w:adjustRightInd w:val="0"/>
        <w:snapToGrid w:val="0"/>
        <w:spacing w:line="600" w:lineRule="exact"/>
        <w:ind w:firstLine="640" w:firstLineChars="200"/>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rPr>
        <w:t>1.本部门2020年度未发生</w:t>
      </w:r>
      <w:r>
        <w:rPr>
          <w:rFonts w:hint="eastAsia" w:ascii="仿宋_GB2312" w:hAnsi="仿宋_GB2312" w:eastAsia="仿宋_GB2312" w:cs="仿宋_GB2312"/>
          <w:sz w:val="32"/>
          <w:szCs w:val="32"/>
          <w:highlight w:val="none"/>
        </w:rPr>
        <w:t>政府性基金预算、国有资金经营预算）收支及结转结余情况，故政府性基金预算财政拨款收入支出决算表、国有资本经营预算财政拨款支出决算表以空表列示。</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2.由于决算公开表格中金额数值应当保留两位小数，公开数据为四舍五入计算结果，个别数据合计项与分项之和存在小数点后差额，特此说明。</w:t>
      </w: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hint="eastAsia"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r>
        <w:rPr>
          <w:sz w:val="72"/>
        </w:rPr>
        <mc:AlternateContent>
          <mc:Choice Requires="wps">
            <w:drawing>
              <wp:anchor distT="0" distB="0" distL="114300" distR="114300" simplePos="0" relativeHeight="251661312" behindDoc="0" locked="0" layoutInCell="1" allowOverlap="1">
                <wp:simplePos x="0" y="0"/>
                <wp:positionH relativeFrom="column">
                  <wp:posOffset>-1022350</wp:posOffset>
                </wp:positionH>
                <wp:positionV relativeFrom="paragraph">
                  <wp:posOffset>201930</wp:posOffset>
                </wp:positionV>
                <wp:extent cx="7793355" cy="3341370"/>
                <wp:effectExtent l="4445" t="4445" r="5080" b="6985"/>
                <wp:wrapNone/>
                <wp:docPr id="188" name="文本框 188"/>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chemeClr val="bg1">
                              <a:lumMod val="50000"/>
                            </a:schemeClr>
                          </a:fgClr>
                          <a:bgClr>
                            <a:schemeClr val="bg1"/>
                          </a:bgClr>
                        </a:pattFill>
                        <a:ln w="6350">
                          <a:solidFill>
                            <a:schemeClr val="bg1">
                              <a:lumMod val="50000"/>
                            </a:schemeClr>
                          </a:solidFill>
                        </a:ln>
                      </wps:spPr>
                      <wps:style>
                        <a:lnRef idx="0">
                          <a:schemeClr val="accent1"/>
                        </a:lnRef>
                        <a:fillRef idx="0">
                          <a:schemeClr val="accent1"/>
                        </a:fillRef>
                        <a:effectRef idx="0">
                          <a:schemeClr val="accent1"/>
                        </a:effectRef>
                        <a:fontRef idx="minor">
                          <a:schemeClr val="dk1"/>
                        </a:fontRef>
                      </wps:style>
                      <wps:txbx>
                        <w:txbxContent>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第三部分 相关名词解释</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0.5pt;margin-top:15.9pt;height:263.1pt;width:613.65pt;z-index:251661312;v-text-anchor:middle;mso-width-relative:page;mso-height-relative:page;" fillcolor="#7F7F7F [1612]" filled="t" stroked="t" coordsize="21600,21600" o:gfxdata="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P/0jT7ZAAAADAEAAA8A&#10;AAAAAAAAAQAgAAAAIgAAAGRycy9kb3ducmV2LnhtbFBLAQIUABQAAAAIAIdO4kDBnZ8JiAIAAEwF&#10;AAAOAAAAAAAAAAEAIAAAACgBAABkcnMvZTJvRG9jLnhtbFBLBQYAAAAABgAGAFkBAAAiBgAAAAA=&#10;">
                <v:fill type="pattern" on="t" color2="#FFFFFF [3212]" o:title="5%" focussize="0,0" r:id="rId14"/>
                <v:stroke weight="0.5pt" color="#7F7F7F [1612]" joinstyle="round"/>
                <v:imagedata o:title=""/>
                <o:lock v:ext="edit" aspectratio="f"/>
                <v:textbox>
                  <w:txbxContent>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第三部分 相关名词解释</w:t>
                      </w:r>
                    </w:p>
                  </w:txbxContent>
                </v:textbox>
              </v:shape>
            </w:pict>
          </mc:Fallback>
        </mc:AlternateContent>
      </w: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highlight w:val="yellow"/>
        </w:rPr>
      </w:pPr>
      <w:r>
        <w:rPr>
          <w:rFonts w:hint="eastAsia" w:ascii="仿宋_GB2312" w:hAnsi="宋体" w:eastAsia="仿宋_GB2312" w:cs="Arial Black"/>
          <w:sz w:val="32"/>
          <w:szCs w:val="32"/>
          <w:highlight w:val="yellow"/>
        </w:rPr>
        <w:br w:type="page"/>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（一）财政拨款收入：</w:t>
      </w:r>
      <w:r>
        <w:rPr>
          <w:rFonts w:hint="eastAsia" w:ascii="仿宋_GB2312" w:hAnsi="宋体" w:eastAsia="仿宋_GB2312" w:cs="Times New Roman"/>
          <w:color w:val="000000"/>
          <w:kern w:val="0"/>
          <w:sz w:val="32"/>
          <w:szCs w:val="32"/>
        </w:rPr>
        <w:t>本年度从本级财政部门取得的财政拨款，包括一般公共预算财政拨款和政府性基金预算财政拨款。</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（二）事业收入：</w:t>
      </w:r>
      <w:r>
        <w:rPr>
          <w:rFonts w:hint="eastAsia" w:ascii="仿宋_GB2312" w:hAnsi="宋体" w:eastAsia="仿宋_GB2312" w:cs="Times New Roman"/>
          <w:color w:val="000000"/>
          <w:kern w:val="0"/>
          <w:sz w:val="32"/>
          <w:szCs w:val="32"/>
        </w:rPr>
        <w:t>指事业单位开展专业业务活动及辅助活动所取得的收入。</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（三）其他收入：</w:t>
      </w:r>
      <w:r>
        <w:rPr>
          <w:rFonts w:hint="eastAsia" w:ascii="仿宋_GB2312" w:hAnsi="宋体" w:eastAsia="仿宋_GB2312" w:cs="Times New Roman"/>
          <w:color w:val="000000"/>
          <w:kern w:val="0"/>
          <w:sz w:val="32"/>
          <w:szCs w:val="32"/>
        </w:rPr>
        <w:t>指除上述“财政拨款收入”“事业收入”“经营收入”等以外的收入。</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（四）年初结转和结余：</w:t>
      </w:r>
      <w:r>
        <w:rPr>
          <w:rFonts w:hint="eastAsia" w:ascii="仿宋_GB2312" w:hAnsi="宋体" w:eastAsia="仿宋_GB2312" w:cs="Times New Roman"/>
          <w:color w:val="000000"/>
          <w:kern w:val="0"/>
          <w:sz w:val="32"/>
          <w:szCs w:val="32"/>
        </w:rPr>
        <w:t>指以前年度尚未完成、结转到本年仍按原规定用途继续使用的资金，或项目已完成等产生的结余资金。</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（五）结余分配：</w:t>
      </w:r>
      <w:r>
        <w:rPr>
          <w:rFonts w:hint="eastAsia" w:ascii="仿宋_GB2312" w:hAnsi="宋体" w:eastAsia="仿宋_GB2312" w:cs="Times New Roman"/>
          <w:color w:val="000000"/>
          <w:kern w:val="0"/>
          <w:sz w:val="32"/>
          <w:szCs w:val="32"/>
        </w:rPr>
        <w:t>指事业单位按照事业单位会计制度的规定从非财政补助结余中分配的事业基金和职工福利基金等。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（六）年末结转和结余：</w:t>
      </w:r>
      <w:r>
        <w:rPr>
          <w:rFonts w:hint="eastAsia" w:ascii="仿宋_GB2312" w:hAnsi="宋体" w:eastAsia="仿宋_GB2312" w:cs="Times New Roman"/>
          <w:color w:val="000000"/>
          <w:kern w:val="0"/>
          <w:sz w:val="32"/>
          <w:szCs w:val="32"/>
        </w:rPr>
        <w:t>指单位按有关规定结转到下年或以后年度继续使用的资金，或项目已完成等产生的结余资金。</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（七）基本支出：</w:t>
      </w:r>
      <w:r>
        <w:rPr>
          <w:rFonts w:hint="eastAsia" w:ascii="仿宋_GB2312" w:hAnsi="宋体" w:eastAsia="仿宋_GB2312" w:cs="Times New Roman"/>
          <w:color w:val="000000"/>
          <w:kern w:val="0"/>
          <w:sz w:val="32"/>
          <w:szCs w:val="32"/>
        </w:rPr>
        <w:t>填列单位为保障机构正常运转、完成日常工作任务而发生的各项支出。</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（八）项目支出：</w:t>
      </w:r>
      <w:r>
        <w:rPr>
          <w:rFonts w:hint="eastAsia" w:ascii="仿宋_GB2312" w:hAnsi="宋体" w:eastAsia="仿宋_GB2312" w:cs="Times New Roman"/>
          <w:color w:val="000000"/>
          <w:kern w:val="0"/>
          <w:sz w:val="32"/>
          <w:szCs w:val="32"/>
        </w:rPr>
        <w:t>填列单位为完成特定的行政工作任务或事业发展目标，在基本支出之外发生的各项支出</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（九）基本建设支出：</w:t>
      </w:r>
      <w:r>
        <w:rPr>
          <w:rFonts w:hint="eastAsia" w:ascii="仿宋_GB2312" w:hAnsi="宋体"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和政府性基金预算财政拨款支出，不包括财政专户管理资金以及各类拼盘自筹资金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（十）其他资本性支出：</w:t>
      </w:r>
      <w:r>
        <w:rPr>
          <w:rFonts w:hint="eastAsia" w:ascii="仿宋_GB2312" w:hAnsi="宋体"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（十一）“三公”经费：</w:t>
      </w:r>
      <w:r>
        <w:rPr>
          <w:rFonts w:hint="eastAsia" w:ascii="仿宋_GB2312" w:hAnsi="宋体"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（十二）其他交通费用：</w:t>
      </w:r>
      <w:r>
        <w:rPr>
          <w:rFonts w:hint="eastAsia" w:ascii="仿宋_GB2312" w:hAnsi="宋体" w:eastAsia="仿宋_GB2312" w:cs="Times New Roman"/>
          <w:color w:val="000000"/>
          <w:kern w:val="0"/>
          <w:sz w:val="32"/>
          <w:szCs w:val="32"/>
        </w:rPr>
        <w:t>填列单位除公务用车运行维护费以外的其他交通费用。如公务交通补贴、租车费用、出租车费用，飞机、船舶等燃料费、维修费、保险费等。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（十三）公务用车购置：</w:t>
      </w:r>
      <w:r>
        <w:rPr>
          <w:rFonts w:hint="eastAsia" w:ascii="仿宋_GB2312" w:hAnsi="宋体" w:eastAsia="仿宋_GB2312" w:cs="Times New Roman"/>
          <w:color w:val="000000"/>
          <w:kern w:val="0"/>
          <w:sz w:val="32"/>
          <w:szCs w:val="32"/>
        </w:rPr>
        <w:t>填列单位公务用车车辆购置支出（含车辆购置税、牌照费）。</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（十四）其他交通工具购置：</w:t>
      </w:r>
      <w:r>
        <w:rPr>
          <w:rFonts w:hint="eastAsia" w:ascii="仿宋_GB2312" w:hAnsi="宋体" w:eastAsia="仿宋_GB2312" w:cs="Times New Roman"/>
          <w:color w:val="000000"/>
          <w:kern w:val="0"/>
          <w:sz w:val="32"/>
          <w:szCs w:val="32"/>
        </w:rPr>
        <w:t>填列单位除公务用车外的其他各类交通工具（如船舶、飞机等）购置支出（含车辆购置税、牌照费）。</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（十五）机关运行经费：</w:t>
      </w:r>
      <w:r>
        <w:rPr>
          <w:rFonts w:hint="eastAsia" w:ascii="仿宋_GB2312" w:hAnsi="宋体"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spacing w:line="600" w:lineRule="exact"/>
        <w:ind w:firstLine="643" w:firstLineChars="200"/>
        <w:jc w:val="left"/>
        <w:rPr>
          <w:rFonts w:ascii="仿宋_GB2312" w:hAnsi="Cambria" w:eastAsia="仿宋_GB2312" w:cs="Arial Black"/>
          <w:kern w:val="0"/>
          <w:sz w:val="32"/>
          <w:szCs w:val="32"/>
        </w:rPr>
      </w:pPr>
      <w:r>
        <w:rPr>
          <w:rFonts w:hint="eastAsia" w:ascii="仿宋_GB2312" w:hAnsi="宋体" w:eastAsia="仿宋_GB2312" w:cs="Times New Roman"/>
          <w:b/>
          <w:bCs/>
          <w:color w:val="000000"/>
          <w:kern w:val="0"/>
          <w:sz w:val="32"/>
          <w:szCs w:val="32"/>
        </w:rPr>
        <w:t>（十六）经费形式:</w:t>
      </w:r>
      <w:r>
        <w:rPr>
          <w:rFonts w:hint="eastAsia" w:ascii="仿宋_GB2312" w:hAnsi="宋体" w:eastAsia="仿宋_GB2312" w:cs="Times New Roman"/>
          <w:color w:val="000000"/>
          <w:kern w:val="0"/>
          <w:sz w:val="32"/>
          <w:szCs w:val="32"/>
        </w:rPr>
        <w:t>按照经费来源，</w:t>
      </w:r>
      <w:r>
        <w:rPr>
          <w:rFonts w:hint="eastAsia" w:ascii="仿宋_GB2312" w:hAnsi="Cambria" w:eastAsia="仿宋_GB2312" w:cs="Arial Black"/>
          <w:kern w:val="0"/>
          <w:sz w:val="32"/>
          <w:szCs w:val="32"/>
        </w:rPr>
        <w:t>可分为财政拨款、财政性资金基本保证、财政性资金定额或定项补助、财政性资金零补助四类。</w:t>
      </w:r>
    </w:p>
    <w:p>
      <w:pPr>
        <w:tabs>
          <w:tab w:val="left" w:pos="235"/>
        </w:tabs>
        <w:spacing w:line="600" w:lineRule="exact"/>
        <w:ind w:firstLine="640" w:firstLineChars="200"/>
        <w:jc w:val="left"/>
        <w:rPr>
          <w:rFonts w:ascii="仿宋_GB2312" w:hAnsi="Cambria" w:eastAsia="仿宋_GB2312" w:cs="Arial Black"/>
          <w:kern w:val="0"/>
          <w:sz w:val="32"/>
          <w:szCs w:val="32"/>
        </w:rPr>
      </w:pPr>
      <w:bookmarkStart w:id="0" w:name="_GoBack"/>
      <w:bookmarkEnd w:id="0"/>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widowControl/>
        <w:spacing w:after="160" w:line="580" w:lineRule="exact"/>
        <w:rPr>
          <w:rFonts w:ascii="Times New Roman" w:hAnsi="Times New Roman" w:eastAsia="黑体" w:cs="Times New Roman"/>
          <w:sz w:val="32"/>
          <w:szCs w:val="32"/>
        </w:rPr>
        <w:sectPr>
          <w:headerReference r:id="rId11" w:type="default"/>
          <w:pgSz w:w="11906" w:h="16838"/>
          <w:pgMar w:top="2098" w:right="1531" w:bottom="1984" w:left="1531" w:header="851" w:footer="992" w:gutter="0"/>
          <w:pgNumType w:fmt="numberInDash"/>
          <w:cols w:space="0" w:num="1"/>
          <w:titlePg/>
          <w:docGrid w:type="lines" w:linePitch="312" w:charSpace="0"/>
        </w:sectPr>
      </w:pPr>
    </w:p>
    <w:p>
      <w:pPr>
        <w:rPr>
          <w:rFonts w:ascii="黑体" w:hAnsi="黑体" w:eastAsia="黑体" w:cs="黑体"/>
          <w:sz w:val="56"/>
          <w:szCs w:val="72"/>
        </w:rPr>
      </w:pPr>
    </w:p>
    <w:p>
      <w:pPr>
        <w:rPr>
          <w:rFonts w:ascii="黑体" w:hAnsi="黑体" w:eastAsia="黑体" w:cs="黑体"/>
          <w:sz w:val="56"/>
          <w:szCs w:val="72"/>
        </w:rPr>
        <w:sectPr>
          <w:type w:val="continuous"/>
          <w:pgSz w:w="11906" w:h="16838"/>
          <w:pgMar w:top="2098" w:right="1531" w:bottom="1984" w:left="1531" w:header="851" w:footer="992" w:gutter="0"/>
          <w:pgNumType w:fmt="numberInDash"/>
          <w:cols w:space="0" w:num="1"/>
          <w:titlePg/>
          <w:docGrid w:type="lines" w:linePitch="312" w:charSpace="0"/>
        </w:sectPr>
      </w:pPr>
      <w:r>
        <w:rPr>
          <w:sz w:val="72"/>
        </w:rPr>
        <mc:AlternateContent>
          <mc:Choice Requires="wps">
            <w:drawing>
              <wp:anchor distT="0" distB="0" distL="114300" distR="114300" simplePos="0" relativeHeight="251666432" behindDoc="0" locked="0" layoutInCell="1" allowOverlap="1">
                <wp:simplePos x="0" y="0"/>
                <wp:positionH relativeFrom="column">
                  <wp:posOffset>-1027430</wp:posOffset>
                </wp:positionH>
                <wp:positionV relativeFrom="paragraph">
                  <wp:posOffset>1151255</wp:posOffset>
                </wp:positionV>
                <wp:extent cx="7793355" cy="3341370"/>
                <wp:effectExtent l="6350" t="6350" r="18415" b="20320"/>
                <wp:wrapNone/>
                <wp:docPr id="1" name="文本框 1"/>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ysClr val="window" lastClr="FFFFFF">
                              <a:lumMod val="50000"/>
                            </a:sysClr>
                          </a:fgClr>
                          <a:bgClr>
                            <a:sysClr val="window" lastClr="FFFFFF"/>
                          </a:bgClr>
                        </a:pattFill>
                        <a:ln w="12700" cmpd="sng">
                          <a:solidFill>
                            <a:sysClr val="window" lastClr="FFFFFF">
                              <a:lumMod val="65000"/>
                            </a:sysClr>
                          </a:solidFill>
                          <a:prstDash val="solid"/>
                        </a:ln>
                        <a:effectLst/>
                      </wps:spPr>
                      <wps:txb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第四部分 </w:t>
                            </w:r>
                          </w:p>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2020年度部门决算报表</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0.9pt;margin-top:90.65pt;height:263.1pt;width:613.65pt;z-index:251666432;v-text-anchor:middle;mso-width-relative:page;mso-height-relative:page;" fillcolor="#7F7F7F" filled="t" stroked="t" coordsize="21600,21600" o:gfxdata="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ANhBuPcAAAADQEAAA8AAAAAAAAAAQAgAAAAIgAAAGRycy9kb3du&#10;cmV2LnhtbFBLAQIUABQAAAAIAIdO4kAJY6zCpgIAAKkFAAAOAAAAAAAAAAEAIAAAACsBAABkcnMv&#10;ZTJvRG9jLnhtbFBLBQYAAAAABgAGAFkBAABDBgAAAAA=&#10;">
                <v:fill type="pattern" on="t" color2="#FFFFFF" o:title="5%" focussize="0,0" r:id="rId14"/>
                <v:stroke weight="1pt" color="#A6A6A6" joinstyle="round"/>
                <v:imagedata o:title=""/>
                <o:lock v:ext="edit" aspectratio="f"/>
                <v:textbox>
                  <w:txbxContent>
                    <w:p>
                      <w:pPr>
                        <w:widowControl/>
                        <w:jc w:val="center"/>
                        <w:rPr>
                          <w:rFonts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第四部分 </w:t>
                      </w:r>
                    </w:p>
                    <w:p>
                      <w:pPr>
                        <w:widowControl/>
                        <w:jc w:val="center"/>
                        <w:rPr>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90"/>
                          <w:szCs w:val="90"/>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2020年度部门决算报表</w:t>
                      </w:r>
                    </w:p>
                    <w:p/>
                  </w:txbxContent>
                </v:textbox>
              </v:shape>
            </w:pict>
          </mc:Fallback>
        </mc:AlternateContent>
      </w:r>
    </w:p>
    <w:tbl>
      <w:tblPr>
        <w:tblStyle w:val="5"/>
        <w:tblpPr w:leftFromText="180" w:rightFromText="180" w:vertAnchor="text" w:horzAnchor="page" w:tblpXSpec="center" w:tblpY="31"/>
        <w:tblOverlap w:val="never"/>
        <w:tblW w:w="9434" w:type="dxa"/>
        <w:jc w:val="center"/>
        <w:tblLayout w:type="fixed"/>
        <w:tblCellMar>
          <w:top w:w="0" w:type="dxa"/>
          <w:left w:w="0" w:type="dxa"/>
          <w:bottom w:w="0" w:type="dxa"/>
          <w:right w:w="0" w:type="dxa"/>
        </w:tblCellMar>
      </w:tblPr>
      <w:tblGrid>
        <w:gridCol w:w="3207"/>
        <w:gridCol w:w="724"/>
        <w:gridCol w:w="686"/>
        <w:gridCol w:w="3443"/>
        <w:gridCol w:w="536"/>
        <w:gridCol w:w="838"/>
      </w:tblGrid>
      <w:tr>
        <w:tblPrEx>
          <w:tblCellMar>
            <w:top w:w="0" w:type="dxa"/>
            <w:left w:w="0" w:type="dxa"/>
            <w:bottom w:w="0" w:type="dxa"/>
            <w:right w:w="0" w:type="dxa"/>
          </w:tblCellMar>
        </w:tblPrEx>
        <w:trPr>
          <w:trHeight w:val="499" w:hRule="atLeast"/>
          <w:jc w:val="center"/>
        </w:trPr>
        <w:tc>
          <w:tcPr>
            <w:tcW w:w="9434" w:type="dxa"/>
            <w:gridSpan w:val="6"/>
            <w:tcBorders>
              <w:top w:val="nil"/>
              <w:left w:val="nil"/>
              <w:bottom w:val="nil"/>
              <w:right w:val="nil"/>
            </w:tcBorders>
            <w:shd w:val="clear" w:color="auto" w:fill="auto"/>
            <w:noWrap/>
            <w:tcMar>
              <w:top w:w="15" w:type="dxa"/>
              <w:left w:w="15" w:type="dxa"/>
              <w:right w:w="15" w:type="dxa"/>
            </w:tcMar>
            <w:vAlign w:val="bottom"/>
          </w:tcPr>
          <w:p>
            <w:pPr>
              <w:spacing w:line="400" w:lineRule="exact"/>
              <w:jc w:val="center"/>
              <w:rPr>
                <w:rFonts w:ascii="黑体" w:hAnsi="宋体" w:eastAsia="黑体" w:cs="黑体"/>
                <w:color w:val="000000"/>
                <w:sz w:val="28"/>
                <w:szCs w:val="28"/>
              </w:rPr>
            </w:pPr>
            <w:r>
              <w:rPr>
                <w:rFonts w:hint="eastAsia" w:ascii="黑体" w:hAnsi="宋体" w:eastAsia="黑体" w:cs="黑体"/>
                <w:color w:val="000000"/>
                <w:kern w:val="0"/>
                <w:sz w:val="28"/>
                <w:szCs w:val="28"/>
                <w:lang w:bidi="ar"/>
              </w:rPr>
              <w:t>收入支出决算总表</w:t>
            </w:r>
          </w:p>
        </w:tc>
      </w:tr>
      <w:tr>
        <w:tblPrEx>
          <w:tblCellMar>
            <w:top w:w="0" w:type="dxa"/>
            <w:left w:w="0" w:type="dxa"/>
            <w:bottom w:w="0" w:type="dxa"/>
            <w:right w:w="0" w:type="dxa"/>
          </w:tblCellMar>
        </w:tblPrEx>
        <w:trPr>
          <w:trHeight w:val="209" w:hRule="atLeast"/>
          <w:jc w:val="center"/>
        </w:trPr>
        <w:tc>
          <w:tcPr>
            <w:tcW w:w="320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724"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684"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4816" w:type="dxa"/>
            <w:gridSpan w:val="3"/>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公开01表</w:t>
            </w:r>
          </w:p>
        </w:tc>
      </w:tr>
      <w:tr>
        <w:tblPrEx>
          <w:tblCellMar>
            <w:top w:w="0" w:type="dxa"/>
            <w:left w:w="0" w:type="dxa"/>
            <w:bottom w:w="0" w:type="dxa"/>
            <w:right w:w="0" w:type="dxa"/>
          </w:tblCellMar>
        </w:tblPrEx>
        <w:trPr>
          <w:trHeight w:val="430" w:hRule="atLeast"/>
          <w:jc w:val="center"/>
        </w:trPr>
        <w:tc>
          <w:tcPr>
            <w:tcW w:w="3207"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部门：</w:t>
            </w:r>
          </w:p>
        </w:tc>
        <w:tc>
          <w:tcPr>
            <w:tcW w:w="724"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684"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4816" w:type="dxa"/>
            <w:gridSpan w:val="3"/>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blPrEx>
          <w:tblCellMar>
            <w:top w:w="0" w:type="dxa"/>
            <w:left w:w="0" w:type="dxa"/>
            <w:bottom w:w="0" w:type="dxa"/>
            <w:right w:w="0" w:type="dxa"/>
          </w:tblCellMar>
        </w:tblPrEx>
        <w:trPr>
          <w:trHeight w:val="290" w:hRule="atLeast"/>
          <w:jc w:val="center"/>
        </w:trPr>
        <w:tc>
          <w:tcPr>
            <w:tcW w:w="461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收入</w:t>
            </w:r>
          </w:p>
        </w:tc>
        <w:tc>
          <w:tcPr>
            <w:tcW w:w="4816" w:type="dxa"/>
            <w:gridSpan w:val="3"/>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支出</w:t>
            </w:r>
          </w:p>
        </w:tc>
      </w:tr>
      <w:tr>
        <w:tblPrEx>
          <w:tblCellMar>
            <w:top w:w="0" w:type="dxa"/>
            <w:left w:w="0" w:type="dxa"/>
            <w:bottom w:w="0" w:type="dxa"/>
            <w:right w:w="0" w:type="dxa"/>
          </w:tblCellMar>
        </w:tblPrEx>
        <w:trPr>
          <w:trHeight w:val="37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项目</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行次</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项目</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行次</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栏次</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栏次</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一、一般公共预算财政拨款收入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val="en-US" w:eastAsia="zh-CN" w:bidi="ar"/>
              </w:rPr>
              <w:t>739.58</w:t>
            </w: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一、一般公共服务支出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29</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val="en-US" w:eastAsia="zh-CN" w:bidi="ar"/>
              </w:rPr>
              <w:t>631.60</w:t>
            </w: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二、政府性基金预算财政拨款收入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二、外交支出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30</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185"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三、上级补助收入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三、国防支出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31</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四、事业收入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四、公共安全支出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32</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五、经营收入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五、教育支出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33</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六、附属单位上缴收入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6</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六、科学技术支出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34</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七、其他收入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7</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七、文化旅游体育与传媒支出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35</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8</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八、社会保障和就业支出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36</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val="en-US" w:eastAsia="zh-CN" w:bidi="ar"/>
              </w:rPr>
              <w:t>58.16</w:t>
            </w: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9</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九、卫生健康支出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37</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val="en-US" w:eastAsia="zh-CN" w:bidi="ar"/>
              </w:rPr>
              <w:t>19.93</w:t>
            </w: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10</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十、节能环保支出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38</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11</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十一、城乡社区支出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39</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12</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十二、农林水支出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40</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13</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十三、交通运输支出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41</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14</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十四、资源勘探信息等支出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42</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15</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十五、商业服务业等支出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43</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16</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十六、金融支出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44</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17</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十七、援助其他地区支出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45</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18</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十八、自然资源海洋气象等支出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46</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19</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十九、住房保障支出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47</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val="en-US" w:eastAsia="zh-CN" w:bidi="ar"/>
              </w:rPr>
              <w:t>29.90</w:t>
            </w: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20</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二十、粮油物资储备支出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48</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21</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二十一、灾害防治及应急管理支出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49</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22</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二十二、其他支出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50</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23</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二十四、债务付息支出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51</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本年收入合计</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24</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val="en-US" w:eastAsia="zh-CN" w:bidi="ar"/>
              </w:rPr>
              <w:t>739.58</w:t>
            </w: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本年支出合计</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52</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val="en-US" w:eastAsia="zh-CN" w:bidi="ar"/>
              </w:rPr>
              <w:t>739.58</w:t>
            </w: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使用非财政拨款结余</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25</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结余分配</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53</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年初结转和结余</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26</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年末结转和结余</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54</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27</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55</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总计</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28</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val="en-US" w:eastAsia="zh-CN" w:bidi="ar"/>
              </w:rPr>
              <w:t>739.58</w:t>
            </w:r>
            <w:r>
              <w:rPr>
                <w:rFonts w:hint="eastAsia" w:ascii="宋体" w:hAnsi="宋体" w:eastAsia="宋体" w:cs="宋体"/>
                <w:color w:val="000000"/>
                <w:kern w:val="0"/>
                <w:sz w:val="18"/>
                <w:szCs w:val="18"/>
                <w:lang w:bidi="ar"/>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lang w:bidi="ar"/>
              </w:rPr>
              <w:t>总计</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56</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val="en-US" w:eastAsia="zh-CN" w:bidi="ar"/>
              </w:rPr>
              <w:t>739.58</w:t>
            </w:r>
            <w:r>
              <w:rPr>
                <w:rFonts w:hint="eastAsia" w:ascii="宋体" w:hAnsi="宋体" w:eastAsia="宋体" w:cs="宋体"/>
                <w:color w:val="000000"/>
                <w:kern w:val="0"/>
                <w:sz w:val="18"/>
                <w:szCs w:val="18"/>
                <w:lang w:bidi="ar"/>
              </w:rPr>
              <w:t>　</w:t>
            </w:r>
          </w:p>
        </w:tc>
      </w:tr>
      <w:tr>
        <w:tblPrEx>
          <w:tblCellMar>
            <w:top w:w="0" w:type="dxa"/>
            <w:left w:w="0" w:type="dxa"/>
            <w:bottom w:w="0" w:type="dxa"/>
            <w:right w:w="0" w:type="dxa"/>
          </w:tblCellMar>
        </w:tblPrEx>
        <w:trPr>
          <w:trHeight w:val="217" w:hRule="atLeast"/>
          <w:jc w:val="center"/>
        </w:trPr>
        <w:tc>
          <w:tcPr>
            <w:tcW w:w="9434" w:type="dxa"/>
            <w:gridSpan w:val="6"/>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kern w:val="0"/>
                <w:sz w:val="18"/>
                <w:szCs w:val="18"/>
                <w:lang w:bidi="ar"/>
              </w:rPr>
            </w:pPr>
            <w:r>
              <w:rPr>
                <w:rFonts w:hint="eastAsia" w:ascii="宋体" w:hAnsi="宋体" w:eastAsia="宋体" w:cs="宋体"/>
                <w:color w:val="000000"/>
                <w:kern w:val="0"/>
                <w:sz w:val="18"/>
                <w:szCs w:val="18"/>
                <w:lang w:bidi="ar"/>
              </w:rPr>
              <w:t>注：本表反映部门本年度的总收支和年末结转结余情况。</w:t>
            </w:r>
          </w:p>
          <w:p>
            <w:pPr>
              <w:widowControl/>
              <w:jc w:val="left"/>
              <w:textAlignment w:val="center"/>
              <w:rPr>
                <w:rFonts w:ascii="宋体" w:hAnsi="宋体" w:eastAsia="宋体" w:cs="宋体"/>
                <w:color w:val="000000"/>
                <w:kern w:val="0"/>
                <w:sz w:val="18"/>
                <w:szCs w:val="18"/>
                <w:lang w:bidi="ar"/>
              </w:rPr>
            </w:pPr>
          </w:p>
        </w:tc>
      </w:tr>
    </w:tbl>
    <w:tbl>
      <w:tblPr>
        <w:tblStyle w:val="5"/>
        <w:tblW w:w="9920" w:type="dxa"/>
        <w:jc w:val="center"/>
        <w:tblLayout w:type="fixed"/>
        <w:tblCellMar>
          <w:top w:w="0" w:type="dxa"/>
          <w:left w:w="0" w:type="dxa"/>
          <w:bottom w:w="0" w:type="dxa"/>
          <w:right w:w="0" w:type="dxa"/>
        </w:tblCellMar>
      </w:tblPr>
      <w:tblGrid>
        <w:gridCol w:w="962"/>
        <w:gridCol w:w="56"/>
        <w:gridCol w:w="55"/>
        <w:gridCol w:w="2305"/>
        <w:gridCol w:w="1330"/>
        <w:gridCol w:w="1250"/>
        <w:gridCol w:w="1009"/>
        <w:gridCol w:w="821"/>
        <w:gridCol w:w="674"/>
        <w:gridCol w:w="588"/>
        <w:gridCol w:w="870"/>
      </w:tblGrid>
      <w:tr>
        <w:tblPrEx>
          <w:tblCellMar>
            <w:top w:w="0" w:type="dxa"/>
            <w:left w:w="0" w:type="dxa"/>
            <w:bottom w:w="0" w:type="dxa"/>
            <w:right w:w="0" w:type="dxa"/>
          </w:tblCellMar>
        </w:tblPrEx>
        <w:trPr>
          <w:trHeight w:val="670" w:hRule="atLeast"/>
          <w:jc w:val="center"/>
        </w:trPr>
        <w:tc>
          <w:tcPr>
            <w:tcW w:w="9920" w:type="dxa"/>
            <w:gridSpan w:val="11"/>
            <w:tcBorders>
              <w:top w:val="nil"/>
              <w:left w:val="nil"/>
              <w:bottom w:val="nil"/>
              <w:right w:val="nil"/>
            </w:tcBorders>
            <w:shd w:val="clear" w:color="auto" w:fill="auto"/>
            <w:noWrap/>
            <w:tcMar>
              <w:top w:w="15" w:type="dxa"/>
              <w:left w:w="15" w:type="dxa"/>
              <w:right w:w="15" w:type="dxa"/>
            </w:tcMar>
            <w:vAlign w:val="bottom"/>
          </w:tcPr>
          <w:p>
            <w:pPr>
              <w:widowControl/>
              <w:jc w:val="center"/>
              <w:textAlignment w:val="bottom"/>
              <w:rPr>
                <w:rFonts w:ascii="黑体" w:hAnsi="宋体" w:eastAsia="黑体" w:cs="黑体"/>
                <w:color w:val="000000"/>
                <w:sz w:val="28"/>
                <w:szCs w:val="28"/>
              </w:rPr>
            </w:pPr>
            <w:r>
              <w:rPr>
                <w:rFonts w:hint="eastAsia" w:ascii="黑体" w:hAnsi="宋体" w:eastAsia="黑体" w:cs="黑体"/>
                <w:color w:val="000000"/>
                <w:kern w:val="0"/>
                <w:sz w:val="28"/>
                <w:szCs w:val="28"/>
                <w:lang w:bidi="ar"/>
              </w:rPr>
              <w:t>收入决算表</w:t>
            </w:r>
          </w:p>
        </w:tc>
      </w:tr>
      <w:tr>
        <w:tblPrEx>
          <w:tblCellMar>
            <w:top w:w="0" w:type="dxa"/>
            <w:left w:w="0" w:type="dxa"/>
            <w:bottom w:w="0" w:type="dxa"/>
            <w:right w:w="0" w:type="dxa"/>
          </w:tblCellMar>
        </w:tblPrEx>
        <w:trPr>
          <w:trHeight w:val="357" w:hRule="atLeast"/>
          <w:jc w:val="center"/>
        </w:trPr>
        <w:tc>
          <w:tcPr>
            <w:tcW w:w="962"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56"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55"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2305"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33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25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00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82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674"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458" w:type="dxa"/>
            <w:gridSpan w:val="2"/>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公开02表</w:t>
            </w:r>
          </w:p>
        </w:tc>
      </w:tr>
      <w:tr>
        <w:tblPrEx>
          <w:tblCellMar>
            <w:top w:w="0" w:type="dxa"/>
            <w:left w:w="0" w:type="dxa"/>
            <w:bottom w:w="0" w:type="dxa"/>
            <w:right w:w="0" w:type="dxa"/>
          </w:tblCellMar>
        </w:tblPrEx>
        <w:trPr>
          <w:trHeight w:val="357" w:hRule="atLeast"/>
          <w:jc w:val="center"/>
        </w:trPr>
        <w:tc>
          <w:tcPr>
            <w:tcW w:w="962" w:type="dxa"/>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部门：</w:t>
            </w:r>
          </w:p>
        </w:tc>
        <w:tc>
          <w:tcPr>
            <w:tcW w:w="56"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55"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2305"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33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25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00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82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2132" w:type="dxa"/>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金额单位：万元</w:t>
            </w:r>
          </w:p>
        </w:tc>
      </w:tr>
      <w:tr>
        <w:tblPrEx>
          <w:tblCellMar>
            <w:top w:w="0" w:type="dxa"/>
            <w:left w:w="0" w:type="dxa"/>
            <w:bottom w:w="0" w:type="dxa"/>
            <w:right w:w="0" w:type="dxa"/>
          </w:tblCellMar>
        </w:tblPrEx>
        <w:trPr>
          <w:trHeight w:val="385" w:hRule="atLeast"/>
          <w:jc w:val="center"/>
        </w:trPr>
        <w:tc>
          <w:tcPr>
            <w:tcW w:w="3378"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项目</w:t>
            </w:r>
          </w:p>
        </w:tc>
        <w:tc>
          <w:tcPr>
            <w:tcW w:w="133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本年收入合计</w:t>
            </w:r>
          </w:p>
        </w:tc>
        <w:tc>
          <w:tcPr>
            <w:tcW w:w="125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财政拨款收入</w:t>
            </w:r>
          </w:p>
        </w:tc>
        <w:tc>
          <w:tcPr>
            <w:tcW w:w="1009"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上级补助收入</w:t>
            </w:r>
          </w:p>
        </w:tc>
        <w:tc>
          <w:tcPr>
            <w:tcW w:w="82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事业收入</w:t>
            </w:r>
          </w:p>
        </w:tc>
        <w:tc>
          <w:tcPr>
            <w:tcW w:w="674"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经营收入</w:t>
            </w:r>
          </w:p>
        </w:tc>
        <w:tc>
          <w:tcPr>
            <w:tcW w:w="588"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附属单位上缴收入</w:t>
            </w:r>
          </w:p>
        </w:tc>
        <w:tc>
          <w:tcPr>
            <w:tcW w:w="87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其他收入</w:t>
            </w:r>
          </w:p>
        </w:tc>
      </w:tr>
      <w:tr>
        <w:tblPrEx>
          <w:tblCellMar>
            <w:top w:w="0" w:type="dxa"/>
            <w:left w:w="0" w:type="dxa"/>
            <w:bottom w:w="0" w:type="dxa"/>
            <w:right w:w="0" w:type="dxa"/>
          </w:tblCellMar>
        </w:tblPrEx>
        <w:trPr>
          <w:trHeight w:val="380" w:hRule="atLeast"/>
          <w:jc w:val="center"/>
        </w:trPr>
        <w:tc>
          <w:tcPr>
            <w:tcW w:w="1073"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功能分类科目编码</w:t>
            </w:r>
          </w:p>
        </w:tc>
        <w:tc>
          <w:tcPr>
            <w:tcW w:w="2305"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科目名称</w:t>
            </w:r>
          </w:p>
        </w:tc>
        <w:tc>
          <w:tcPr>
            <w:tcW w:w="133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12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100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82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67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58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87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r>
      <w:tr>
        <w:tblPrEx>
          <w:tblCellMar>
            <w:top w:w="0" w:type="dxa"/>
            <w:left w:w="0" w:type="dxa"/>
            <w:bottom w:w="0" w:type="dxa"/>
            <w:right w:w="0" w:type="dxa"/>
          </w:tblCellMar>
        </w:tblPrEx>
        <w:trPr>
          <w:trHeight w:val="380" w:hRule="atLeast"/>
          <w:jc w:val="center"/>
        </w:trPr>
        <w:tc>
          <w:tcPr>
            <w:tcW w:w="107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2305"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133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2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00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82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67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58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87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80" w:hRule="atLeast"/>
          <w:jc w:val="center"/>
        </w:trPr>
        <w:tc>
          <w:tcPr>
            <w:tcW w:w="107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2305"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133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2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00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82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674"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58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87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337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栏次</w:t>
            </w:r>
          </w:p>
        </w:tc>
        <w:tc>
          <w:tcPr>
            <w:tcW w:w="13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w:t>
            </w:r>
          </w:p>
        </w:tc>
        <w:tc>
          <w:tcPr>
            <w:tcW w:w="12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w:t>
            </w:r>
          </w:p>
        </w:tc>
        <w:tc>
          <w:tcPr>
            <w:tcW w:w="100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c>
          <w:tcPr>
            <w:tcW w:w="82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4</w:t>
            </w:r>
          </w:p>
        </w:tc>
        <w:tc>
          <w:tcPr>
            <w:tcW w:w="67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5</w:t>
            </w:r>
          </w:p>
        </w:tc>
        <w:tc>
          <w:tcPr>
            <w:tcW w:w="5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6</w:t>
            </w:r>
          </w:p>
        </w:tc>
        <w:tc>
          <w:tcPr>
            <w:tcW w:w="87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7</w:t>
            </w:r>
          </w:p>
        </w:tc>
      </w:tr>
      <w:tr>
        <w:tblPrEx>
          <w:tblCellMar>
            <w:top w:w="0" w:type="dxa"/>
            <w:left w:w="0" w:type="dxa"/>
            <w:bottom w:w="0" w:type="dxa"/>
            <w:right w:w="0" w:type="dxa"/>
          </w:tblCellMar>
        </w:tblPrEx>
        <w:trPr>
          <w:trHeight w:val="385" w:hRule="atLeast"/>
          <w:jc w:val="center"/>
        </w:trPr>
        <w:tc>
          <w:tcPr>
            <w:tcW w:w="337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合计</w:t>
            </w:r>
          </w:p>
        </w:tc>
        <w:tc>
          <w:tcPr>
            <w:tcW w:w="13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b w:val="0"/>
                <w:bCs w:val="0"/>
                <w:color w:val="000000"/>
                <w:sz w:val="22"/>
                <w:szCs w:val="22"/>
              </w:rPr>
            </w:pPr>
            <w:r>
              <w:rPr>
                <w:rFonts w:hint="eastAsia" w:ascii="宋体" w:hAnsi="宋体" w:eastAsia="宋体" w:cs="宋体"/>
                <w:b w:val="0"/>
                <w:bCs w:val="0"/>
                <w:i w:val="0"/>
                <w:iCs w:val="0"/>
                <w:color w:val="000000"/>
                <w:kern w:val="0"/>
                <w:sz w:val="22"/>
                <w:szCs w:val="22"/>
                <w:u w:val="none"/>
                <w:lang w:val="en-US" w:eastAsia="zh-CN" w:bidi="ar"/>
              </w:rPr>
              <w:t>739.58</w:t>
            </w:r>
          </w:p>
        </w:tc>
        <w:tc>
          <w:tcPr>
            <w:tcW w:w="1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b w:val="0"/>
                <w:bCs w:val="0"/>
                <w:color w:val="000000"/>
                <w:sz w:val="22"/>
                <w:szCs w:val="22"/>
              </w:rPr>
            </w:pPr>
            <w:r>
              <w:rPr>
                <w:rFonts w:hint="eastAsia" w:ascii="宋体" w:hAnsi="宋体" w:eastAsia="宋体" w:cs="宋体"/>
                <w:b w:val="0"/>
                <w:bCs w:val="0"/>
                <w:i w:val="0"/>
                <w:iCs w:val="0"/>
                <w:color w:val="000000"/>
                <w:kern w:val="0"/>
                <w:sz w:val="22"/>
                <w:szCs w:val="22"/>
                <w:u w:val="none"/>
                <w:lang w:val="en-US" w:eastAsia="zh-CN" w:bidi="ar"/>
              </w:rPr>
              <w:t>739.58</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8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6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5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8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r>
      <w:tr>
        <w:tblPrEx>
          <w:tblCellMar>
            <w:top w:w="0" w:type="dxa"/>
            <w:left w:w="0" w:type="dxa"/>
            <w:bottom w:w="0" w:type="dxa"/>
            <w:right w:w="0" w:type="dxa"/>
          </w:tblCellMar>
        </w:tblPrEx>
        <w:trPr>
          <w:trHeight w:val="385" w:hRule="atLeast"/>
          <w:jc w:val="center"/>
        </w:trPr>
        <w:tc>
          <w:tcPr>
            <w:tcW w:w="107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201</w:t>
            </w:r>
          </w:p>
        </w:tc>
        <w:tc>
          <w:tcPr>
            <w:tcW w:w="23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一般公共服务支出</w:t>
            </w:r>
          </w:p>
        </w:tc>
        <w:tc>
          <w:tcPr>
            <w:tcW w:w="13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631.60</w:t>
            </w:r>
          </w:p>
        </w:tc>
        <w:tc>
          <w:tcPr>
            <w:tcW w:w="1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631.60</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07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20131</w:t>
            </w:r>
          </w:p>
        </w:tc>
        <w:tc>
          <w:tcPr>
            <w:tcW w:w="23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党委办公厅（室）及相关机构事务</w:t>
            </w:r>
          </w:p>
        </w:tc>
        <w:tc>
          <w:tcPr>
            <w:tcW w:w="13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631.60</w:t>
            </w:r>
          </w:p>
        </w:tc>
        <w:tc>
          <w:tcPr>
            <w:tcW w:w="1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631.60</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07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2013101</w:t>
            </w:r>
          </w:p>
        </w:tc>
        <w:tc>
          <w:tcPr>
            <w:tcW w:w="23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 xml:space="preserve">  行政运行</w:t>
            </w:r>
          </w:p>
        </w:tc>
        <w:tc>
          <w:tcPr>
            <w:tcW w:w="13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469.28</w:t>
            </w:r>
          </w:p>
        </w:tc>
        <w:tc>
          <w:tcPr>
            <w:tcW w:w="1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469.28</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07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2013102</w:t>
            </w:r>
          </w:p>
        </w:tc>
        <w:tc>
          <w:tcPr>
            <w:tcW w:w="23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 xml:space="preserve">  一般行政管理事务</w:t>
            </w:r>
          </w:p>
        </w:tc>
        <w:tc>
          <w:tcPr>
            <w:tcW w:w="13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162.32</w:t>
            </w:r>
          </w:p>
        </w:tc>
        <w:tc>
          <w:tcPr>
            <w:tcW w:w="1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162.32</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07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208</w:t>
            </w:r>
          </w:p>
        </w:tc>
        <w:tc>
          <w:tcPr>
            <w:tcW w:w="23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社会保障和就业支出</w:t>
            </w:r>
          </w:p>
        </w:tc>
        <w:tc>
          <w:tcPr>
            <w:tcW w:w="13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58.16</w:t>
            </w:r>
          </w:p>
        </w:tc>
        <w:tc>
          <w:tcPr>
            <w:tcW w:w="1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58.16</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07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20805</w:t>
            </w:r>
          </w:p>
        </w:tc>
        <w:tc>
          <w:tcPr>
            <w:tcW w:w="23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行政事业单位养老支出</w:t>
            </w:r>
          </w:p>
        </w:tc>
        <w:tc>
          <w:tcPr>
            <w:tcW w:w="13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58.16</w:t>
            </w:r>
          </w:p>
        </w:tc>
        <w:tc>
          <w:tcPr>
            <w:tcW w:w="1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58.16</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07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2080505</w:t>
            </w:r>
          </w:p>
        </w:tc>
        <w:tc>
          <w:tcPr>
            <w:tcW w:w="23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 xml:space="preserve">  机关事业单位基本养老保险缴费支出</w:t>
            </w:r>
          </w:p>
        </w:tc>
        <w:tc>
          <w:tcPr>
            <w:tcW w:w="13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58.06</w:t>
            </w:r>
          </w:p>
        </w:tc>
        <w:tc>
          <w:tcPr>
            <w:tcW w:w="1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58.06</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07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2080506</w:t>
            </w:r>
          </w:p>
        </w:tc>
        <w:tc>
          <w:tcPr>
            <w:tcW w:w="23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 xml:space="preserve">  机关事业单位职业年金缴费支出</w:t>
            </w:r>
          </w:p>
        </w:tc>
        <w:tc>
          <w:tcPr>
            <w:tcW w:w="13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0.10</w:t>
            </w:r>
          </w:p>
        </w:tc>
        <w:tc>
          <w:tcPr>
            <w:tcW w:w="1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0.10</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07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210</w:t>
            </w:r>
          </w:p>
        </w:tc>
        <w:tc>
          <w:tcPr>
            <w:tcW w:w="23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卫生健康支出</w:t>
            </w:r>
          </w:p>
        </w:tc>
        <w:tc>
          <w:tcPr>
            <w:tcW w:w="13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19.93</w:t>
            </w:r>
          </w:p>
        </w:tc>
        <w:tc>
          <w:tcPr>
            <w:tcW w:w="1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19.93</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07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21011</w:t>
            </w:r>
          </w:p>
        </w:tc>
        <w:tc>
          <w:tcPr>
            <w:tcW w:w="23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行政事业单位医疗</w:t>
            </w:r>
          </w:p>
        </w:tc>
        <w:tc>
          <w:tcPr>
            <w:tcW w:w="13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19.93</w:t>
            </w:r>
          </w:p>
        </w:tc>
        <w:tc>
          <w:tcPr>
            <w:tcW w:w="1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19.93</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07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2101101</w:t>
            </w:r>
          </w:p>
        </w:tc>
        <w:tc>
          <w:tcPr>
            <w:tcW w:w="23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 xml:space="preserve">  行政单位医疗</w:t>
            </w:r>
          </w:p>
        </w:tc>
        <w:tc>
          <w:tcPr>
            <w:tcW w:w="13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16.36</w:t>
            </w:r>
          </w:p>
        </w:tc>
        <w:tc>
          <w:tcPr>
            <w:tcW w:w="1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16.36</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07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2101102</w:t>
            </w:r>
          </w:p>
        </w:tc>
        <w:tc>
          <w:tcPr>
            <w:tcW w:w="23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 xml:space="preserve">  事业单位医疗</w:t>
            </w:r>
          </w:p>
        </w:tc>
        <w:tc>
          <w:tcPr>
            <w:tcW w:w="13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3.57</w:t>
            </w:r>
          </w:p>
        </w:tc>
        <w:tc>
          <w:tcPr>
            <w:tcW w:w="1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3.57</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07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221</w:t>
            </w:r>
          </w:p>
        </w:tc>
        <w:tc>
          <w:tcPr>
            <w:tcW w:w="23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住房保障支出</w:t>
            </w:r>
          </w:p>
        </w:tc>
        <w:tc>
          <w:tcPr>
            <w:tcW w:w="13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29.90</w:t>
            </w:r>
          </w:p>
        </w:tc>
        <w:tc>
          <w:tcPr>
            <w:tcW w:w="1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29.90</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07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22102</w:t>
            </w:r>
          </w:p>
        </w:tc>
        <w:tc>
          <w:tcPr>
            <w:tcW w:w="23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住房改革支出</w:t>
            </w:r>
          </w:p>
        </w:tc>
        <w:tc>
          <w:tcPr>
            <w:tcW w:w="13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29.90</w:t>
            </w:r>
          </w:p>
        </w:tc>
        <w:tc>
          <w:tcPr>
            <w:tcW w:w="1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29.90</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107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2210201</w:t>
            </w:r>
          </w:p>
        </w:tc>
        <w:tc>
          <w:tcPr>
            <w:tcW w:w="230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22"/>
              </w:rPr>
            </w:pPr>
            <w:r>
              <w:rPr>
                <w:rFonts w:hint="eastAsia" w:ascii="宋体" w:hAnsi="宋体" w:eastAsia="宋体" w:cs="宋体"/>
                <w:i w:val="0"/>
                <w:iCs w:val="0"/>
                <w:color w:val="000000"/>
                <w:kern w:val="0"/>
                <w:sz w:val="22"/>
                <w:szCs w:val="22"/>
                <w:u w:val="none"/>
                <w:lang w:val="en-US" w:eastAsia="zh-CN" w:bidi="ar"/>
              </w:rPr>
              <w:t xml:space="preserve">  住房公积金</w:t>
            </w:r>
          </w:p>
        </w:tc>
        <w:tc>
          <w:tcPr>
            <w:tcW w:w="13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29.90</w:t>
            </w:r>
          </w:p>
        </w:tc>
        <w:tc>
          <w:tcPr>
            <w:tcW w:w="12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22"/>
                <w:szCs w:val="22"/>
              </w:rPr>
            </w:pPr>
            <w:r>
              <w:rPr>
                <w:rFonts w:hint="eastAsia" w:ascii="宋体" w:hAnsi="宋体" w:eastAsia="宋体" w:cs="宋体"/>
                <w:i w:val="0"/>
                <w:iCs w:val="0"/>
                <w:color w:val="000000"/>
                <w:kern w:val="0"/>
                <w:sz w:val="22"/>
                <w:szCs w:val="22"/>
                <w:u w:val="none"/>
                <w:lang w:val="en-US" w:eastAsia="zh-CN" w:bidi="ar"/>
              </w:rPr>
              <w:t>29.90</w:t>
            </w:r>
          </w:p>
        </w:tc>
        <w:tc>
          <w:tcPr>
            <w:tcW w:w="10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67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58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87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9920" w:type="dxa"/>
            <w:gridSpan w:val="11"/>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lang w:bidi="ar"/>
              </w:rPr>
              <w:t>注：本表反映部门本年度取得的各项收入情况。</w:t>
            </w:r>
          </w:p>
        </w:tc>
      </w:tr>
    </w:tbl>
    <w:p>
      <w:pPr>
        <w:jc w:val="left"/>
      </w:pPr>
    </w:p>
    <w:p>
      <w:r>
        <w:br w:type="page"/>
      </w:r>
    </w:p>
    <w:tbl>
      <w:tblPr>
        <w:tblStyle w:val="5"/>
        <w:tblW w:w="9680" w:type="dxa"/>
        <w:jc w:val="center"/>
        <w:tblLayout w:type="fixed"/>
        <w:tblCellMar>
          <w:top w:w="0" w:type="dxa"/>
          <w:left w:w="0" w:type="dxa"/>
          <w:bottom w:w="0" w:type="dxa"/>
          <w:right w:w="0" w:type="dxa"/>
        </w:tblCellMar>
      </w:tblPr>
      <w:tblGrid>
        <w:gridCol w:w="941"/>
        <w:gridCol w:w="53"/>
        <w:gridCol w:w="111"/>
        <w:gridCol w:w="1722"/>
        <w:gridCol w:w="798"/>
        <w:gridCol w:w="1161"/>
        <w:gridCol w:w="1161"/>
        <w:gridCol w:w="1161"/>
        <w:gridCol w:w="1161"/>
        <w:gridCol w:w="1411"/>
      </w:tblGrid>
      <w:tr>
        <w:tblPrEx>
          <w:tblCellMar>
            <w:top w:w="0" w:type="dxa"/>
            <w:left w:w="0" w:type="dxa"/>
            <w:bottom w:w="0" w:type="dxa"/>
            <w:right w:w="0" w:type="dxa"/>
          </w:tblCellMar>
        </w:tblPrEx>
        <w:trPr>
          <w:trHeight w:val="612" w:hRule="atLeast"/>
          <w:jc w:val="center"/>
        </w:trPr>
        <w:tc>
          <w:tcPr>
            <w:tcW w:w="9680" w:type="dxa"/>
            <w:gridSpan w:val="10"/>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lang w:bidi="ar"/>
              </w:rPr>
              <w:t>支出决算表</w:t>
            </w:r>
          </w:p>
        </w:tc>
      </w:tr>
      <w:tr>
        <w:tblPrEx>
          <w:tblCellMar>
            <w:top w:w="0" w:type="dxa"/>
            <w:left w:w="0" w:type="dxa"/>
            <w:bottom w:w="0" w:type="dxa"/>
            <w:right w:w="0" w:type="dxa"/>
          </w:tblCellMar>
        </w:tblPrEx>
        <w:trPr>
          <w:trHeight w:val="313" w:hRule="atLeast"/>
          <w:jc w:val="center"/>
        </w:trPr>
        <w:tc>
          <w:tcPr>
            <w:tcW w:w="94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5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722"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798"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411" w:type="dxa"/>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公开03表</w:t>
            </w:r>
          </w:p>
        </w:tc>
      </w:tr>
      <w:tr>
        <w:tblPrEx>
          <w:tblCellMar>
            <w:top w:w="0" w:type="dxa"/>
            <w:left w:w="0" w:type="dxa"/>
            <w:bottom w:w="0" w:type="dxa"/>
            <w:right w:w="0" w:type="dxa"/>
          </w:tblCellMar>
        </w:tblPrEx>
        <w:trPr>
          <w:trHeight w:val="313" w:hRule="atLeast"/>
          <w:jc w:val="center"/>
        </w:trPr>
        <w:tc>
          <w:tcPr>
            <w:tcW w:w="941" w:type="dxa"/>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部门：</w:t>
            </w:r>
          </w:p>
        </w:tc>
        <w:tc>
          <w:tcPr>
            <w:tcW w:w="5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722"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798"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2572" w:type="dxa"/>
            <w:gridSpan w:val="2"/>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blPrEx>
          <w:tblCellMar>
            <w:top w:w="0" w:type="dxa"/>
            <w:left w:w="0" w:type="dxa"/>
            <w:bottom w:w="0" w:type="dxa"/>
            <w:right w:w="0" w:type="dxa"/>
          </w:tblCellMar>
        </w:tblPrEx>
        <w:trPr>
          <w:trHeight w:val="323" w:hRule="atLeast"/>
          <w:jc w:val="center"/>
        </w:trPr>
        <w:tc>
          <w:tcPr>
            <w:tcW w:w="2827"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项目</w:t>
            </w:r>
          </w:p>
        </w:tc>
        <w:tc>
          <w:tcPr>
            <w:tcW w:w="798"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本年支出合计</w:t>
            </w:r>
          </w:p>
        </w:tc>
        <w:tc>
          <w:tcPr>
            <w:tcW w:w="116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基本支出</w:t>
            </w:r>
          </w:p>
        </w:tc>
        <w:tc>
          <w:tcPr>
            <w:tcW w:w="116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项目支出</w:t>
            </w:r>
          </w:p>
        </w:tc>
        <w:tc>
          <w:tcPr>
            <w:tcW w:w="116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上缴上级支出</w:t>
            </w:r>
          </w:p>
        </w:tc>
        <w:tc>
          <w:tcPr>
            <w:tcW w:w="116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经营支出</w:t>
            </w:r>
          </w:p>
        </w:tc>
        <w:tc>
          <w:tcPr>
            <w:tcW w:w="141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对附属单位补助支出</w:t>
            </w:r>
          </w:p>
        </w:tc>
      </w:tr>
      <w:tr>
        <w:tblPrEx>
          <w:tblCellMar>
            <w:top w:w="0" w:type="dxa"/>
            <w:left w:w="0" w:type="dxa"/>
            <w:bottom w:w="0" w:type="dxa"/>
            <w:right w:w="0" w:type="dxa"/>
          </w:tblCellMar>
        </w:tblPrEx>
        <w:trPr>
          <w:trHeight w:val="319" w:hRule="atLeast"/>
          <w:jc w:val="center"/>
        </w:trPr>
        <w:tc>
          <w:tcPr>
            <w:tcW w:w="1105"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功能分类科目编码</w:t>
            </w:r>
          </w:p>
        </w:tc>
        <w:tc>
          <w:tcPr>
            <w:tcW w:w="1722"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科目名称</w:t>
            </w:r>
          </w:p>
        </w:tc>
        <w:tc>
          <w:tcPr>
            <w:tcW w:w="79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41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r>
      <w:tr>
        <w:tblPrEx>
          <w:tblCellMar>
            <w:top w:w="0" w:type="dxa"/>
            <w:left w:w="0" w:type="dxa"/>
            <w:bottom w:w="0" w:type="dxa"/>
            <w:right w:w="0" w:type="dxa"/>
          </w:tblCellMar>
        </w:tblPrEx>
        <w:trPr>
          <w:trHeight w:val="319" w:hRule="atLeast"/>
          <w:jc w:val="center"/>
        </w:trPr>
        <w:tc>
          <w:tcPr>
            <w:tcW w:w="1105"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722"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79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41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12" w:hRule="atLeast"/>
          <w:jc w:val="center"/>
        </w:trPr>
        <w:tc>
          <w:tcPr>
            <w:tcW w:w="1105"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722"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79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41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2827"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栏次</w:t>
            </w:r>
          </w:p>
        </w:tc>
        <w:tc>
          <w:tcPr>
            <w:tcW w:w="79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116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w:t>
            </w:r>
          </w:p>
        </w:tc>
        <w:tc>
          <w:tcPr>
            <w:tcW w:w="116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w:t>
            </w:r>
          </w:p>
        </w:tc>
        <w:tc>
          <w:tcPr>
            <w:tcW w:w="116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4</w:t>
            </w:r>
          </w:p>
        </w:tc>
        <w:tc>
          <w:tcPr>
            <w:tcW w:w="116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5</w:t>
            </w:r>
          </w:p>
        </w:tc>
        <w:tc>
          <w:tcPr>
            <w:tcW w:w="141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6</w:t>
            </w:r>
          </w:p>
        </w:tc>
      </w:tr>
      <w:tr>
        <w:tblPrEx>
          <w:tblCellMar>
            <w:top w:w="0" w:type="dxa"/>
            <w:left w:w="0" w:type="dxa"/>
            <w:bottom w:w="0" w:type="dxa"/>
            <w:right w:w="0" w:type="dxa"/>
          </w:tblCellMar>
        </w:tblPrEx>
        <w:trPr>
          <w:trHeight w:val="323" w:hRule="atLeast"/>
          <w:jc w:val="center"/>
        </w:trPr>
        <w:tc>
          <w:tcPr>
            <w:tcW w:w="2827"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合计</w:t>
            </w:r>
          </w:p>
        </w:tc>
        <w:tc>
          <w:tcPr>
            <w:tcW w:w="79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b w:val="0"/>
                <w:bCs w:val="0"/>
                <w:color w:val="000000"/>
                <w:sz w:val="18"/>
                <w:szCs w:val="18"/>
              </w:rPr>
            </w:pPr>
            <w:r>
              <w:rPr>
                <w:rFonts w:hint="eastAsia" w:ascii="宋体" w:hAnsi="宋体" w:eastAsia="宋体" w:cs="宋体"/>
                <w:b w:val="0"/>
                <w:bCs w:val="0"/>
                <w:i w:val="0"/>
                <w:iCs w:val="0"/>
                <w:color w:val="000000"/>
                <w:kern w:val="0"/>
                <w:sz w:val="18"/>
                <w:szCs w:val="18"/>
                <w:u w:val="none"/>
                <w:lang w:val="en-US" w:eastAsia="zh-CN" w:bidi="ar"/>
              </w:rPr>
              <w:t>739.58</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b w:val="0"/>
                <w:bCs w:val="0"/>
                <w:color w:val="000000"/>
                <w:sz w:val="18"/>
                <w:szCs w:val="18"/>
              </w:rPr>
            </w:pPr>
            <w:r>
              <w:rPr>
                <w:rFonts w:hint="eastAsia" w:ascii="宋体" w:hAnsi="宋体" w:eastAsia="宋体" w:cs="宋体"/>
                <w:b w:val="0"/>
                <w:bCs w:val="0"/>
                <w:i w:val="0"/>
                <w:iCs w:val="0"/>
                <w:color w:val="000000"/>
                <w:kern w:val="0"/>
                <w:sz w:val="18"/>
                <w:szCs w:val="18"/>
                <w:u w:val="none"/>
                <w:lang w:val="en-US" w:eastAsia="zh-CN" w:bidi="ar"/>
              </w:rPr>
              <w:t>647.97</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b w:val="0"/>
                <w:bCs w:val="0"/>
                <w:color w:val="000000"/>
                <w:sz w:val="18"/>
                <w:szCs w:val="18"/>
              </w:rPr>
            </w:pPr>
            <w:r>
              <w:rPr>
                <w:rFonts w:hint="eastAsia" w:ascii="宋体" w:hAnsi="宋体" w:eastAsia="宋体" w:cs="宋体"/>
                <w:b w:val="0"/>
                <w:bCs w:val="0"/>
                <w:i w:val="0"/>
                <w:iCs w:val="0"/>
                <w:color w:val="000000"/>
                <w:kern w:val="0"/>
                <w:sz w:val="18"/>
                <w:szCs w:val="18"/>
                <w:u w:val="none"/>
                <w:lang w:val="en-US" w:eastAsia="zh-CN" w:bidi="ar"/>
              </w:rPr>
              <w:t>91.61</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201</w:t>
            </w:r>
          </w:p>
        </w:tc>
        <w:tc>
          <w:tcPr>
            <w:tcW w:w="17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一般公共服务支出</w:t>
            </w:r>
          </w:p>
        </w:tc>
        <w:tc>
          <w:tcPr>
            <w:tcW w:w="79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631.60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539.99</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91.61</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20131</w:t>
            </w:r>
          </w:p>
        </w:tc>
        <w:tc>
          <w:tcPr>
            <w:tcW w:w="17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党委办公厅（室）及相关机构事务</w:t>
            </w:r>
          </w:p>
        </w:tc>
        <w:tc>
          <w:tcPr>
            <w:tcW w:w="79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631.60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539.99</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91.61</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2013101</w:t>
            </w:r>
          </w:p>
        </w:tc>
        <w:tc>
          <w:tcPr>
            <w:tcW w:w="17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 xml:space="preserve">  行政运行</w:t>
            </w:r>
          </w:p>
        </w:tc>
        <w:tc>
          <w:tcPr>
            <w:tcW w:w="79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469.28</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469.28</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2013102</w:t>
            </w:r>
          </w:p>
        </w:tc>
        <w:tc>
          <w:tcPr>
            <w:tcW w:w="17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 xml:space="preserve">  一般行政管理事务</w:t>
            </w:r>
          </w:p>
        </w:tc>
        <w:tc>
          <w:tcPr>
            <w:tcW w:w="79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162.32</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70.70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91.61</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208</w:t>
            </w:r>
          </w:p>
        </w:tc>
        <w:tc>
          <w:tcPr>
            <w:tcW w:w="17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社会保障和就业支出</w:t>
            </w:r>
          </w:p>
        </w:tc>
        <w:tc>
          <w:tcPr>
            <w:tcW w:w="79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58.16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58.16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20805</w:t>
            </w:r>
          </w:p>
        </w:tc>
        <w:tc>
          <w:tcPr>
            <w:tcW w:w="17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行政事业单位养老支出</w:t>
            </w:r>
          </w:p>
        </w:tc>
        <w:tc>
          <w:tcPr>
            <w:tcW w:w="79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58.16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58.16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2080505</w:t>
            </w:r>
          </w:p>
        </w:tc>
        <w:tc>
          <w:tcPr>
            <w:tcW w:w="17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 xml:space="preserve">  机关事业单位基本养老保险缴费支出</w:t>
            </w:r>
          </w:p>
        </w:tc>
        <w:tc>
          <w:tcPr>
            <w:tcW w:w="79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58.06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58.06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2080506</w:t>
            </w:r>
          </w:p>
        </w:tc>
        <w:tc>
          <w:tcPr>
            <w:tcW w:w="17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 xml:space="preserve">  机关事业单位职业年金缴费支出</w:t>
            </w:r>
          </w:p>
        </w:tc>
        <w:tc>
          <w:tcPr>
            <w:tcW w:w="79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0.10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0.10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210</w:t>
            </w:r>
          </w:p>
        </w:tc>
        <w:tc>
          <w:tcPr>
            <w:tcW w:w="17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卫生健康支出</w:t>
            </w:r>
          </w:p>
        </w:tc>
        <w:tc>
          <w:tcPr>
            <w:tcW w:w="79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19.93</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19.93</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21011</w:t>
            </w:r>
          </w:p>
        </w:tc>
        <w:tc>
          <w:tcPr>
            <w:tcW w:w="17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行政事业单位医疗</w:t>
            </w:r>
          </w:p>
        </w:tc>
        <w:tc>
          <w:tcPr>
            <w:tcW w:w="79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19.93</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19.93</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2101101</w:t>
            </w:r>
          </w:p>
        </w:tc>
        <w:tc>
          <w:tcPr>
            <w:tcW w:w="17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 xml:space="preserve">  行政单位医疗</w:t>
            </w:r>
          </w:p>
        </w:tc>
        <w:tc>
          <w:tcPr>
            <w:tcW w:w="79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16.36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16.36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2101102</w:t>
            </w:r>
          </w:p>
        </w:tc>
        <w:tc>
          <w:tcPr>
            <w:tcW w:w="17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 xml:space="preserve">  事业单位医疗</w:t>
            </w:r>
          </w:p>
        </w:tc>
        <w:tc>
          <w:tcPr>
            <w:tcW w:w="79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3.57</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3.57</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221</w:t>
            </w:r>
          </w:p>
        </w:tc>
        <w:tc>
          <w:tcPr>
            <w:tcW w:w="17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住房保障支出</w:t>
            </w:r>
          </w:p>
        </w:tc>
        <w:tc>
          <w:tcPr>
            <w:tcW w:w="79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29.90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29.90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22102</w:t>
            </w:r>
          </w:p>
        </w:tc>
        <w:tc>
          <w:tcPr>
            <w:tcW w:w="172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住房改革支出</w:t>
            </w:r>
          </w:p>
        </w:tc>
        <w:tc>
          <w:tcPr>
            <w:tcW w:w="79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29.90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29.90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41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23" w:hRule="atLeast"/>
          <w:jc w:val="center"/>
        </w:trPr>
        <w:tc>
          <w:tcPr>
            <w:tcW w:w="9680" w:type="dxa"/>
            <w:gridSpan w:val="10"/>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注：本表反映部门本年度各项支出情况。</w:t>
            </w:r>
          </w:p>
        </w:tc>
      </w:tr>
    </w:tbl>
    <w:p>
      <w:r>
        <w:br w:type="page"/>
      </w:r>
    </w:p>
    <w:tbl>
      <w:tblPr>
        <w:tblStyle w:val="5"/>
        <w:tblW w:w="9522" w:type="dxa"/>
        <w:jc w:val="center"/>
        <w:tblLayout w:type="fixed"/>
        <w:tblCellMar>
          <w:top w:w="0" w:type="dxa"/>
          <w:left w:w="0" w:type="dxa"/>
          <w:bottom w:w="0" w:type="dxa"/>
          <w:right w:w="0" w:type="dxa"/>
        </w:tblCellMar>
      </w:tblPr>
      <w:tblGrid>
        <w:gridCol w:w="1174"/>
        <w:gridCol w:w="67"/>
        <w:gridCol w:w="67"/>
        <w:gridCol w:w="3266"/>
        <w:gridCol w:w="1671"/>
        <w:gridCol w:w="1714"/>
        <w:gridCol w:w="1561"/>
        <w:gridCol w:w="2"/>
      </w:tblGrid>
      <w:tr>
        <w:tblPrEx>
          <w:tblCellMar>
            <w:top w:w="0" w:type="dxa"/>
            <w:left w:w="0" w:type="dxa"/>
            <w:bottom w:w="0" w:type="dxa"/>
            <w:right w:w="0" w:type="dxa"/>
          </w:tblCellMar>
        </w:tblPrEx>
        <w:trPr>
          <w:gridAfter w:val="1"/>
          <w:wAfter w:w="2" w:type="dxa"/>
          <w:trHeight w:val="406" w:hRule="atLeast"/>
          <w:jc w:val="center"/>
        </w:trPr>
        <w:tc>
          <w:tcPr>
            <w:tcW w:w="9520" w:type="dxa"/>
            <w:gridSpan w:val="7"/>
            <w:tcBorders>
              <w:top w:val="nil"/>
              <w:left w:val="nil"/>
              <w:bottom w:val="nil"/>
              <w:right w:val="nil"/>
            </w:tcBorders>
            <w:shd w:val="clear" w:color="auto" w:fill="auto"/>
            <w:noWrap/>
            <w:tcMar>
              <w:top w:w="15" w:type="dxa"/>
              <w:left w:w="15" w:type="dxa"/>
              <w:right w:w="15" w:type="dxa"/>
            </w:tcMar>
            <w:vAlign w:val="bottom"/>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黑体" w:hAnsi="宋体" w:eastAsia="黑体" w:cs="黑体"/>
                <w:color w:val="000000"/>
                <w:sz w:val="32"/>
                <w:szCs w:val="32"/>
              </w:rPr>
            </w:pPr>
            <w:r>
              <w:rPr>
                <w:rFonts w:hint="eastAsia" w:ascii="黑体" w:hAnsi="宋体" w:eastAsia="黑体" w:cs="黑体"/>
                <w:color w:val="000000"/>
                <w:kern w:val="0"/>
                <w:sz w:val="32"/>
                <w:szCs w:val="32"/>
                <w:lang w:bidi="ar"/>
              </w:rPr>
              <w:t>财政拨款收入支出决算总表</w:t>
            </w:r>
          </w:p>
        </w:tc>
      </w:tr>
      <w:tr>
        <w:tblPrEx>
          <w:tblCellMar>
            <w:top w:w="0" w:type="dxa"/>
            <w:left w:w="0" w:type="dxa"/>
            <w:bottom w:w="0" w:type="dxa"/>
            <w:right w:w="0" w:type="dxa"/>
          </w:tblCellMar>
        </w:tblPrEx>
        <w:trPr>
          <w:trHeight w:val="600" w:hRule="atLeast"/>
          <w:jc w:val="center"/>
        </w:trPr>
        <w:tc>
          <w:tcPr>
            <w:tcW w:w="9522" w:type="dxa"/>
            <w:gridSpan w:val="8"/>
            <w:tcBorders>
              <w:top w:val="nil"/>
              <w:left w:val="nil"/>
              <w:bottom w:val="nil"/>
              <w:right w:val="nil"/>
            </w:tcBorders>
            <w:shd w:val="clear" w:color="auto" w:fill="auto"/>
            <w:noWrap/>
            <w:tcMar>
              <w:top w:w="15" w:type="dxa"/>
              <w:left w:w="15" w:type="dxa"/>
              <w:right w:w="15" w:type="dxa"/>
            </w:tcMar>
            <w:vAlign w:val="center"/>
          </w:tcPr>
          <w:tbl>
            <w:tblPr>
              <w:tblStyle w:val="5"/>
              <w:tblW w:w="9736" w:type="dxa"/>
              <w:tblInd w:w="0" w:type="dxa"/>
              <w:tblLayout w:type="fixed"/>
              <w:tblCellMar>
                <w:top w:w="0" w:type="dxa"/>
                <w:left w:w="108" w:type="dxa"/>
                <w:bottom w:w="0" w:type="dxa"/>
                <w:right w:w="108" w:type="dxa"/>
              </w:tblCellMar>
            </w:tblPr>
            <w:tblGrid>
              <w:gridCol w:w="2125"/>
              <w:gridCol w:w="447"/>
              <w:gridCol w:w="672"/>
              <w:gridCol w:w="2315"/>
              <w:gridCol w:w="487"/>
              <w:gridCol w:w="884"/>
              <w:gridCol w:w="851"/>
              <w:gridCol w:w="850"/>
              <w:gridCol w:w="853"/>
              <w:gridCol w:w="252"/>
            </w:tblGrid>
            <w:tr>
              <w:tblPrEx>
                <w:tblCellMar>
                  <w:top w:w="0" w:type="dxa"/>
                  <w:left w:w="108" w:type="dxa"/>
                  <w:bottom w:w="0" w:type="dxa"/>
                  <w:right w:w="108" w:type="dxa"/>
                </w:tblCellMar>
              </w:tblPrEx>
              <w:trPr>
                <w:gridAfter w:val="1"/>
                <w:wAfter w:w="252" w:type="dxa"/>
                <w:trHeight w:val="279" w:hRule="atLeast"/>
              </w:trPr>
              <w:tc>
                <w:tcPr>
                  <w:tcW w:w="2125" w:type="dxa"/>
                  <w:tcBorders>
                    <w:top w:val="nil"/>
                    <w:left w:val="nil"/>
                    <w:bottom w:val="nil"/>
                    <w:right w:val="nil"/>
                  </w:tcBorders>
                  <w:shd w:val="clear" w:color="auto" w:fill="auto"/>
                  <w:vAlign w:val="bottom"/>
                </w:tcPr>
                <w:p>
                  <w:pPr>
                    <w:widowControl/>
                    <w:spacing w:line="240" w:lineRule="exact"/>
                    <w:jc w:val="left"/>
                    <w:rPr>
                      <w:rFonts w:ascii="宋体" w:hAnsi="宋体" w:eastAsia="宋体" w:cs="宋体"/>
                      <w:kern w:val="0"/>
                      <w:sz w:val="15"/>
                      <w:szCs w:val="15"/>
                    </w:rPr>
                  </w:pPr>
                </w:p>
              </w:tc>
              <w:tc>
                <w:tcPr>
                  <w:tcW w:w="447"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672"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2315"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487"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884"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2554" w:type="dxa"/>
                  <w:gridSpan w:val="3"/>
                  <w:tcBorders>
                    <w:top w:val="nil"/>
                    <w:left w:val="nil"/>
                    <w:bottom w:val="nil"/>
                    <w:right w:val="nil"/>
                  </w:tcBorders>
                  <w:shd w:val="clear" w:color="auto" w:fill="auto"/>
                  <w:vAlign w:val="bottom"/>
                </w:tcPr>
                <w:p>
                  <w:pPr>
                    <w:widowControl/>
                    <w:spacing w:line="240" w:lineRule="exact"/>
                    <w:ind w:right="300"/>
                    <w:jc w:val="right"/>
                    <w:rPr>
                      <w:rFonts w:ascii="宋体" w:hAnsi="宋体" w:eastAsia="宋体" w:cs="Arial"/>
                      <w:color w:val="000000"/>
                      <w:kern w:val="0"/>
                      <w:sz w:val="15"/>
                      <w:szCs w:val="15"/>
                    </w:rPr>
                  </w:pPr>
                  <w:r>
                    <w:rPr>
                      <w:rFonts w:hint="eastAsia" w:ascii="宋体" w:hAnsi="宋体" w:eastAsia="宋体" w:cs="Arial"/>
                      <w:color w:val="000000"/>
                      <w:kern w:val="0"/>
                      <w:sz w:val="15"/>
                      <w:szCs w:val="15"/>
                    </w:rPr>
                    <w:t>公开04表</w:t>
                  </w:r>
                </w:p>
              </w:tc>
            </w:tr>
            <w:tr>
              <w:tblPrEx>
                <w:tblCellMar>
                  <w:top w:w="0" w:type="dxa"/>
                  <w:left w:w="108" w:type="dxa"/>
                  <w:bottom w:w="0" w:type="dxa"/>
                  <w:right w:w="108" w:type="dxa"/>
                </w:tblCellMar>
              </w:tblPrEx>
              <w:trPr>
                <w:gridAfter w:val="1"/>
                <w:wAfter w:w="252" w:type="dxa"/>
                <w:trHeight w:val="90" w:hRule="atLeast"/>
              </w:trPr>
              <w:tc>
                <w:tcPr>
                  <w:tcW w:w="2125" w:type="dxa"/>
                  <w:tcBorders>
                    <w:top w:val="nil"/>
                    <w:left w:val="nil"/>
                    <w:bottom w:val="nil"/>
                    <w:right w:val="nil"/>
                  </w:tcBorders>
                  <w:shd w:val="clear" w:color="auto" w:fill="auto"/>
                  <w:vAlign w:val="bottom"/>
                </w:tcPr>
                <w:p>
                  <w:pPr>
                    <w:widowControl/>
                    <w:spacing w:line="240" w:lineRule="exact"/>
                    <w:jc w:val="left"/>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部门：</w:t>
                  </w:r>
                </w:p>
              </w:tc>
              <w:tc>
                <w:tcPr>
                  <w:tcW w:w="447" w:type="dxa"/>
                  <w:tcBorders>
                    <w:top w:val="nil"/>
                    <w:left w:val="nil"/>
                    <w:bottom w:val="nil"/>
                    <w:right w:val="nil"/>
                  </w:tcBorders>
                  <w:shd w:val="clear" w:color="auto" w:fill="auto"/>
                  <w:vAlign w:val="bottom"/>
                </w:tcPr>
                <w:p>
                  <w:pPr>
                    <w:widowControl/>
                    <w:spacing w:line="240" w:lineRule="exact"/>
                    <w:jc w:val="left"/>
                    <w:rPr>
                      <w:rFonts w:hint="eastAsia" w:ascii="宋体" w:hAnsi="宋体" w:eastAsia="宋体" w:cs="Arial"/>
                      <w:color w:val="000000"/>
                      <w:kern w:val="0"/>
                      <w:sz w:val="15"/>
                      <w:szCs w:val="15"/>
                    </w:rPr>
                  </w:pPr>
                </w:p>
              </w:tc>
              <w:tc>
                <w:tcPr>
                  <w:tcW w:w="672"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2315"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487"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884"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851"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1703" w:type="dxa"/>
                  <w:gridSpan w:val="2"/>
                  <w:tcBorders>
                    <w:top w:val="nil"/>
                    <w:left w:val="nil"/>
                    <w:bottom w:val="nil"/>
                    <w:right w:val="nil"/>
                  </w:tcBorders>
                  <w:shd w:val="clear" w:color="auto" w:fill="auto"/>
                  <w:vAlign w:val="bottom"/>
                </w:tcPr>
                <w:p>
                  <w:pPr>
                    <w:widowControl/>
                    <w:spacing w:line="24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金额单位：万元</w:t>
                  </w:r>
                </w:p>
              </w:tc>
            </w:tr>
            <w:tr>
              <w:tblPrEx>
                <w:tblCellMar>
                  <w:top w:w="0" w:type="dxa"/>
                  <w:left w:w="108" w:type="dxa"/>
                  <w:bottom w:w="0" w:type="dxa"/>
                  <w:right w:w="108" w:type="dxa"/>
                </w:tblCellMar>
              </w:tblPrEx>
              <w:trPr>
                <w:gridAfter w:val="1"/>
                <w:wAfter w:w="252" w:type="dxa"/>
                <w:trHeight w:val="90" w:hRule="atLeast"/>
              </w:trPr>
              <w:tc>
                <w:tcPr>
                  <w:tcW w:w="324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黑体" w:hAnsi="黑体" w:eastAsia="黑体" w:cs="Arial"/>
                      <w:color w:val="000000"/>
                      <w:kern w:val="0"/>
                      <w:sz w:val="20"/>
                      <w:szCs w:val="20"/>
                    </w:rPr>
                  </w:pPr>
                  <w:r>
                    <w:rPr>
                      <w:rFonts w:hint="eastAsia" w:ascii="黑体" w:hAnsi="黑体" w:eastAsia="黑体" w:cs="Arial"/>
                      <w:color w:val="000000"/>
                      <w:kern w:val="0"/>
                      <w:sz w:val="20"/>
                      <w:szCs w:val="20"/>
                    </w:rPr>
                    <w:t>收     入</w:t>
                  </w:r>
                </w:p>
              </w:tc>
              <w:tc>
                <w:tcPr>
                  <w:tcW w:w="6240" w:type="dxa"/>
                  <w:gridSpan w:val="6"/>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hint="eastAsia" w:ascii="黑体" w:hAnsi="黑体" w:eastAsia="黑体" w:cs="Arial"/>
                      <w:color w:val="000000"/>
                      <w:kern w:val="0"/>
                      <w:sz w:val="20"/>
                      <w:szCs w:val="20"/>
                    </w:rPr>
                  </w:pPr>
                  <w:r>
                    <w:rPr>
                      <w:rFonts w:hint="eastAsia" w:ascii="黑体" w:hAnsi="黑体" w:eastAsia="黑体" w:cs="Arial"/>
                      <w:color w:val="000000"/>
                      <w:kern w:val="0"/>
                      <w:sz w:val="20"/>
                      <w:szCs w:val="20"/>
                    </w:rPr>
                    <w:t>支     出</w:t>
                  </w:r>
                </w:p>
              </w:tc>
            </w:tr>
            <w:tr>
              <w:tblPrEx>
                <w:tblCellMar>
                  <w:top w:w="0" w:type="dxa"/>
                  <w:left w:w="108" w:type="dxa"/>
                  <w:bottom w:w="0" w:type="dxa"/>
                  <w:right w:w="108" w:type="dxa"/>
                </w:tblCellMar>
              </w:tblPrEx>
              <w:trPr>
                <w:gridAfter w:val="1"/>
                <w:wAfter w:w="252" w:type="dxa"/>
                <w:trHeight w:val="312" w:hRule="atLeast"/>
              </w:trPr>
              <w:tc>
                <w:tcPr>
                  <w:tcW w:w="2125" w:type="dxa"/>
                  <w:vMerge w:val="restart"/>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项目</w:t>
                  </w:r>
                </w:p>
              </w:tc>
              <w:tc>
                <w:tcPr>
                  <w:tcW w:w="447"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行次</w:t>
                  </w:r>
                </w:p>
              </w:tc>
              <w:tc>
                <w:tcPr>
                  <w:tcW w:w="672"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金额</w:t>
                  </w:r>
                </w:p>
              </w:tc>
              <w:tc>
                <w:tcPr>
                  <w:tcW w:w="2315"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项目</w:t>
                  </w:r>
                </w:p>
              </w:tc>
              <w:tc>
                <w:tcPr>
                  <w:tcW w:w="487"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行次</w:t>
                  </w:r>
                </w:p>
              </w:tc>
              <w:tc>
                <w:tcPr>
                  <w:tcW w:w="884"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合计</w:t>
                  </w:r>
                </w:p>
              </w:tc>
              <w:tc>
                <w:tcPr>
                  <w:tcW w:w="851"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一般公共预算财政拨款</w:t>
                  </w:r>
                </w:p>
              </w:tc>
              <w:tc>
                <w:tcPr>
                  <w:tcW w:w="850"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政府性基金预算财政拨款</w:t>
                  </w:r>
                </w:p>
              </w:tc>
              <w:tc>
                <w:tcPr>
                  <w:tcW w:w="853" w:type="dxa"/>
                  <w:vMerge w:val="restart"/>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180" w:lineRule="exact"/>
                    <w:jc w:val="center"/>
                    <w:textAlignment w:val="auto"/>
                    <w:rPr>
                      <w:rFonts w:hint="eastAsia" w:ascii="黑体" w:hAnsi="黑体" w:eastAsia="黑体" w:cs="Arial"/>
                      <w:color w:val="000000"/>
                      <w:kern w:val="0"/>
                      <w:sz w:val="15"/>
                      <w:szCs w:val="15"/>
                    </w:rPr>
                  </w:pPr>
                  <w:r>
                    <w:rPr>
                      <w:rFonts w:hint="eastAsia" w:ascii="黑体" w:hAnsi="黑体" w:eastAsia="黑体" w:cs="Arial"/>
                      <w:color w:val="000000"/>
                      <w:kern w:val="0"/>
                      <w:sz w:val="15"/>
                      <w:szCs w:val="15"/>
                    </w:rPr>
                    <w:t>国有资本经营预算财政拨款</w:t>
                  </w:r>
                </w:p>
              </w:tc>
            </w:tr>
            <w:tr>
              <w:tblPrEx>
                <w:tblCellMar>
                  <w:top w:w="0" w:type="dxa"/>
                  <w:left w:w="108" w:type="dxa"/>
                  <w:bottom w:w="0" w:type="dxa"/>
                  <w:right w:w="108" w:type="dxa"/>
                </w:tblCellMar>
              </w:tblPrEx>
              <w:trPr>
                <w:trHeight w:val="90" w:hRule="atLeast"/>
              </w:trPr>
              <w:tc>
                <w:tcPr>
                  <w:tcW w:w="2125" w:type="dxa"/>
                  <w:vMerge w:val="continue"/>
                  <w:tcBorders>
                    <w:top w:val="nil"/>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447"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672"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2315"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487"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884"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851"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850"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853" w:type="dxa"/>
                  <w:vMerge w:val="continue"/>
                  <w:tcBorders>
                    <w:top w:val="nil"/>
                    <w:left w:val="nil"/>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252" w:type="dxa"/>
                  <w:tcBorders>
                    <w:top w:val="nil"/>
                    <w:left w:val="nil"/>
                    <w:bottom w:val="nil"/>
                    <w:right w:val="nil"/>
                  </w:tcBorders>
                  <w:shd w:val="clear" w:color="auto" w:fill="auto"/>
                  <w:noWrap/>
                  <w:vAlign w:val="bottom"/>
                </w:tcPr>
                <w:p>
                  <w:pPr>
                    <w:widowControl/>
                    <w:jc w:val="center"/>
                    <w:rPr>
                      <w:rFonts w:hint="eastAsia" w:ascii="宋体" w:hAnsi="宋体" w:eastAsia="宋体" w:cs="Arial"/>
                      <w:color w:val="000000"/>
                      <w:kern w:val="0"/>
                      <w:sz w:val="15"/>
                      <w:szCs w:val="15"/>
                    </w:rPr>
                  </w:pPr>
                </w:p>
              </w:tc>
            </w:tr>
            <w:tr>
              <w:tblPrEx>
                <w:tblCellMar>
                  <w:top w:w="0" w:type="dxa"/>
                  <w:left w:w="108" w:type="dxa"/>
                  <w:bottom w:w="0" w:type="dxa"/>
                  <w:right w:w="108" w:type="dxa"/>
                </w:tblCellMar>
              </w:tblPrEx>
              <w:trPr>
                <w:trHeight w:val="90" w:hRule="atLeast"/>
              </w:trPr>
              <w:tc>
                <w:tcPr>
                  <w:tcW w:w="212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栏次</w:t>
                  </w:r>
                </w:p>
              </w:tc>
              <w:tc>
                <w:tcPr>
                  <w:tcW w:w="44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672"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w:t>
                  </w:r>
                </w:p>
              </w:tc>
              <w:tc>
                <w:tcPr>
                  <w:tcW w:w="23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栏次</w:t>
                  </w:r>
                </w:p>
              </w:tc>
              <w:tc>
                <w:tcPr>
                  <w:tcW w:w="48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884"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w:t>
                  </w:r>
                </w:p>
              </w:tc>
              <w:tc>
                <w:tcPr>
                  <w:tcW w:w="851"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w:t>
                  </w: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w:t>
                  </w: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w:t>
                  </w: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2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一、一般公共预算财政拨款</w:t>
                  </w:r>
                </w:p>
              </w:tc>
              <w:tc>
                <w:tcPr>
                  <w:tcW w:w="44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1</w:t>
                  </w:r>
                </w:p>
              </w:tc>
              <w:tc>
                <w:tcPr>
                  <w:tcW w:w="672"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r>
                    <w:rPr>
                      <w:rFonts w:hint="eastAsia" w:ascii="宋体" w:hAnsi="宋体" w:eastAsia="宋体" w:cs="宋体"/>
                      <w:i w:val="0"/>
                      <w:iCs w:val="0"/>
                      <w:color w:val="000000"/>
                      <w:kern w:val="0"/>
                      <w:sz w:val="15"/>
                      <w:szCs w:val="15"/>
                      <w:u w:val="none"/>
                      <w:lang w:val="en-US" w:eastAsia="zh-CN" w:bidi="ar"/>
                    </w:rPr>
                    <w:t>739.58</w:t>
                  </w:r>
                </w:p>
              </w:tc>
              <w:tc>
                <w:tcPr>
                  <w:tcW w:w="23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一、一般公共服务支出</w:t>
                  </w:r>
                </w:p>
              </w:tc>
              <w:tc>
                <w:tcPr>
                  <w:tcW w:w="48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33</w:t>
                  </w:r>
                </w:p>
              </w:tc>
              <w:tc>
                <w:tcPr>
                  <w:tcW w:w="884"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Arial"/>
                      <w:color w:val="000000"/>
                      <w:kern w:val="0"/>
                      <w:sz w:val="15"/>
                      <w:szCs w:val="15"/>
                      <w:lang w:val="en-US" w:eastAsia="zh-CN"/>
                    </w:rPr>
                  </w:pPr>
                  <w:r>
                    <w:rPr>
                      <w:rFonts w:hint="eastAsia" w:ascii="宋体" w:hAnsi="宋体" w:eastAsia="宋体" w:cs="宋体"/>
                      <w:i w:val="0"/>
                      <w:iCs w:val="0"/>
                      <w:color w:val="000000"/>
                      <w:kern w:val="0"/>
                      <w:sz w:val="15"/>
                      <w:szCs w:val="15"/>
                      <w:u w:val="none"/>
                      <w:lang w:val="en-US" w:eastAsia="zh-CN" w:bidi="ar"/>
                    </w:rPr>
                    <w:t>631.60</w:t>
                  </w:r>
                </w:p>
              </w:tc>
              <w:tc>
                <w:tcPr>
                  <w:tcW w:w="85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r>
                    <w:rPr>
                      <w:rFonts w:hint="eastAsia" w:ascii="宋体" w:hAnsi="宋体" w:eastAsia="宋体" w:cs="宋体"/>
                      <w:i w:val="0"/>
                      <w:iCs w:val="0"/>
                      <w:color w:val="000000"/>
                      <w:kern w:val="0"/>
                      <w:sz w:val="15"/>
                      <w:szCs w:val="15"/>
                      <w:u w:val="none"/>
                      <w:lang w:val="en-US" w:eastAsia="zh-CN" w:bidi="ar"/>
                    </w:rPr>
                    <w:t>631.60</w:t>
                  </w: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2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二、政府性基金预算财政拨款</w:t>
                  </w:r>
                </w:p>
              </w:tc>
              <w:tc>
                <w:tcPr>
                  <w:tcW w:w="44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2</w:t>
                  </w:r>
                </w:p>
              </w:tc>
              <w:tc>
                <w:tcPr>
                  <w:tcW w:w="672"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p>
              </w:tc>
              <w:tc>
                <w:tcPr>
                  <w:tcW w:w="23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二、外交支出</w:t>
                  </w:r>
                </w:p>
              </w:tc>
              <w:tc>
                <w:tcPr>
                  <w:tcW w:w="48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34</w:t>
                  </w:r>
                </w:p>
              </w:tc>
              <w:tc>
                <w:tcPr>
                  <w:tcW w:w="884"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2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三、国有资本经营财政拨款</w:t>
                  </w:r>
                </w:p>
              </w:tc>
              <w:tc>
                <w:tcPr>
                  <w:tcW w:w="44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w:t>
                  </w:r>
                </w:p>
              </w:tc>
              <w:tc>
                <w:tcPr>
                  <w:tcW w:w="672"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p>
              </w:tc>
              <w:tc>
                <w:tcPr>
                  <w:tcW w:w="23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三、国防支出</w:t>
                  </w:r>
                </w:p>
              </w:tc>
              <w:tc>
                <w:tcPr>
                  <w:tcW w:w="48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35</w:t>
                  </w:r>
                </w:p>
              </w:tc>
              <w:tc>
                <w:tcPr>
                  <w:tcW w:w="884"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2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4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4</w:t>
                  </w:r>
                </w:p>
              </w:tc>
              <w:tc>
                <w:tcPr>
                  <w:tcW w:w="672"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3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四、公共安全支出</w:t>
                  </w:r>
                </w:p>
              </w:tc>
              <w:tc>
                <w:tcPr>
                  <w:tcW w:w="48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36</w:t>
                  </w:r>
                </w:p>
              </w:tc>
              <w:tc>
                <w:tcPr>
                  <w:tcW w:w="884"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2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4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5</w:t>
                  </w:r>
                </w:p>
              </w:tc>
              <w:tc>
                <w:tcPr>
                  <w:tcW w:w="672"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3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五、教育支出</w:t>
                  </w:r>
                </w:p>
              </w:tc>
              <w:tc>
                <w:tcPr>
                  <w:tcW w:w="48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37</w:t>
                  </w:r>
                </w:p>
              </w:tc>
              <w:tc>
                <w:tcPr>
                  <w:tcW w:w="884"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2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4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6</w:t>
                  </w:r>
                </w:p>
              </w:tc>
              <w:tc>
                <w:tcPr>
                  <w:tcW w:w="672"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3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六、科学技术支出</w:t>
                  </w:r>
                </w:p>
              </w:tc>
              <w:tc>
                <w:tcPr>
                  <w:tcW w:w="48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38</w:t>
                  </w:r>
                </w:p>
              </w:tc>
              <w:tc>
                <w:tcPr>
                  <w:tcW w:w="884"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2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4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7</w:t>
                  </w:r>
                </w:p>
              </w:tc>
              <w:tc>
                <w:tcPr>
                  <w:tcW w:w="672"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3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七、文化旅游体育与传媒支出</w:t>
                  </w:r>
                </w:p>
              </w:tc>
              <w:tc>
                <w:tcPr>
                  <w:tcW w:w="48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39</w:t>
                  </w:r>
                </w:p>
              </w:tc>
              <w:tc>
                <w:tcPr>
                  <w:tcW w:w="884"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2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4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8</w:t>
                  </w:r>
                </w:p>
              </w:tc>
              <w:tc>
                <w:tcPr>
                  <w:tcW w:w="672"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3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八、社会保障和就业支出</w:t>
                  </w:r>
                </w:p>
              </w:tc>
              <w:tc>
                <w:tcPr>
                  <w:tcW w:w="48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40</w:t>
                  </w:r>
                </w:p>
              </w:tc>
              <w:tc>
                <w:tcPr>
                  <w:tcW w:w="884"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r>
                    <w:rPr>
                      <w:rFonts w:hint="eastAsia" w:ascii="宋体" w:hAnsi="宋体" w:eastAsia="宋体" w:cs="宋体"/>
                      <w:i w:val="0"/>
                      <w:iCs w:val="0"/>
                      <w:color w:val="000000"/>
                      <w:kern w:val="0"/>
                      <w:sz w:val="15"/>
                      <w:szCs w:val="15"/>
                      <w:u w:val="none"/>
                      <w:lang w:val="en-US" w:eastAsia="zh-CN" w:bidi="ar"/>
                    </w:rPr>
                    <w:t>58.16</w:t>
                  </w:r>
                </w:p>
              </w:tc>
              <w:tc>
                <w:tcPr>
                  <w:tcW w:w="85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r>
                    <w:rPr>
                      <w:rFonts w:hint="eastAsia" w:ascii="宋体" w:hAnsi="宋体" w:eastAsia="宋体" w:cs="宋体"/>
                      <w:i w:val="0"/>
                      <w:iCs w:val="0"/>
                      <w:color w:val="000000"/>
                      <w:kern w:val="0"/>
                      <w:sz w:val="15"/>
                      <w:szCs w:val="15"/>
                      <w:u w:val="none"/>
                      <w:lang w:val="en-US" w:eastAsia="zh-CN" w:bidi="ar"/>
                    </w:rPr>
                    <w:t>58.16</w:t>
                  </w: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2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4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9</w:t>
                  </w:r>
                </w:p>
              </w:tc>
              <w:tc>
                <w:tcPr>
                  <w:tcW w:w="672"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3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九、卫生健康支出</w:t>
                  </w:r>
                </w:p>
              </w:tc>
              <w:tc>
                <w:tcPr>
                  <w:tcW w:w="48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41</w:t>
                  </w:r>
                </w:p>
              </w:tc>
              <w:tc>
                <w:tcPr>
                  <w:tcW w:w="884"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r>
                    <w:rPr>
                      <w:rFonts w:hint="eastAsia" w:ascii="宋体" w:hAnsi="宋体" w:eastAsia="宋体" w:cs="宋体"/>
                      <w:i w:val="0"/>
                      <w:iCs w:val="0"/>
                      <w:color w:val="000000"/>
                      <w:kern w:val="0"/>
                      <w:sz w:val="15"/>
                      <w:szCs w:val="15"/>
                      <w:u w:val="none"/>
                      <w:lang w:val="en-US" w:eastAsia="zh-CN" w:bidi="ar"/>
                    </w:rPr>
                    <w:t>19.93</w:t>
                  </w:r>
                </w:p>
              </w:tc>
              <w:tc>
                <w:tcPr>
                  <w:tcW w:w="85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r>
                    <w:rPr>
                      <w:rFonts w:hint="eastAsia" w:ascii="宋体" w:hAnsi="宋体" w:eastAsia="宋体" w:cs="宋体"/>
                      <w:i w:val="0"/>
                      <w:iCs w:val="0"/>
                      <w:color w:val="000000"/>
                      <w:kern w:val="0"/>
                      <w:sz w:val="15"/>
                      <w:szCs w:val="15"/>
                      <w:u w:val="none"/>
                      <w:lang w:val="en-US" w:eastAsia="zh-CN" w:bidi="ar"/>
                    </w:rPr>
                    <w:t>19.93</w:t>
                  </w: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2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4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10</w:t>
                  </w:r>
                </w:p>
              </w:tc>
              <w:tc>
                <w:tcPr>
                  <w:tcW w:w="672"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3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十、节能环保支出</w:t>
                  </w:r>
                </w:p>
              </w:tc>
              <w:tc>
                <w:tcPr>
                  <w:tcW w:w="48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42</w:t>
                  </w:r>
                </w:p>
              </w:tc>
              <w:tc>
                <w:tcPr>
                  <w:tcW w:w="884"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2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4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11</w:t>
                  </w:r>
                </w:p>
              </w:tc>
              <w:tc>
                <w:tcPr>
                  <w:tcW w:w="672"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3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十一、城乡社区支出</w:t>
                  </w:r>
                </w:p>
              </w:tc>
              <w:tc>
                <w:tcPr>
                  <w:tcW w:w="48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43</w:t>
                  </w:r>
                </w:p>
              </w:tc>
              <w:tc>
                <w:tcPr>
                  <w:tcW w:w="884"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2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4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12</w:t>
                  </w:r>
                </w:p>
              </w:tc>
              <w:tc>
                <w:tcPr>
                  <w:tcW w:w="672"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3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十二、农林水支出</w:t>
                  </w:r>
                </w:p>
              </w:tc>
              <w:tc>
                <w:tcPr>
                  <w:tcW w:w="48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44</w:t>
                  </w:r>
                </w:p>
              </w:tc>
              <w:tc>
                <w:tcPr>
                  <w:tcW w:w="884"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2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4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13</w:t>
                  </w:r>
                </w:p>
              </w:tc>
              <w:tc>
                <w:tcPr>
                  <w:tcW w:w="672"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3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十三、交通运输支出</w:t>
                  </w:r>
                </w:p>
              </w:tc>
              <w:tc>
                <w:tcPr>
                  <w:tcW w:w="48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45</w:t>
                  </w:r>
                </w:p>
              </w:tc>
              <w:tc>
                <w:tcPr>
                  <w:tcW w:w="884"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2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4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14</w:t>
                  </w:r>
                </w:p>
              </w:tc>
              <w:tc>
                <w:tcPr>
                  <w:tcW w:w="672"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3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十四、资源勘探工业信息等支出</w:t>
                  </w:r>
                </w:p>
              </w:tc>
              <w:tc>
                <w:tcPr>
                  <w:tcW w:w="48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46</w:t>
                  </w:r>
                </w:p>
              </w:tc>
              <w:tc>
                <w:tcPr>
                  <w:tcW w:w="884"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2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4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15</w:t>
                  </w:r>
                </w:p>
              </w:tc>
              <w:tc>
                <w:tcPr>
                  <w:tcW w:w="672"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3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十五、商业服务业等支出</w:t>
                  </w:r>
                </w:p>
              </w:tc>
              <w:tc>
                <w:tcPr>
                  <w:tcW w:w="48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47</w:t>
                  </w:r>
                </w:p>
              </w:tc>
              <w:tc>
                <w:tcPr>
                  <w:tcW w:w="884"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2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4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16</w:t>
                  </w:r>
                </w:p>
              </w:tc>
              <w:tc>
                <w:tcPr>
                  <w:tcW w:w="672"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3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十六、金融支出</w:t>
                  </w:r>
                </w:p>
              </w:tc>
              <w:tc>
                <w:tcPr>
                  <w:tcW w:w="48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48</w:t>
                  </w:r>
                </w:p>
              </w:tc>
              <w:tc>
                <w:tcPr>
                  <w:tcW w:w="884"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2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4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17</w:t>
                  </w:r>
                </w:p>
              </w:tc>
              <w:tc>
                <w:tcPr>
                  <w:tcW w:w="672"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3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十七、援助其他地区支出</w:t>
                  </w:r>
                </w:p>
              </w:tc>
              <w:tc>
                <w:tcPr>
                  <w:tcW w:w="48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49</w:t>
                  </w:r>
                </w:p>
              </w:tc>
              <w:tc>
                <w:tcPr>
                  <w:tcW w:w="884"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2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4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18</w:t>
                  </w:r>
                </w:p>
              </w:tc>
              <w:tc>
                <w:tcPr>
                  <w:tcW w:w="672"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3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十八、自然资源海洋气象等支出</w:t>
                  </w:r>
                </w:p>
              </w:tc>
              <w:tc>
                <w:tcPr>
                  <w:tcW w:w="48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50</w:t>
                  </w:r>
                </w:p>
              </w:tc>
              <w:tc>
                <w:tcPr>
                  <w:tcW w:w="884"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2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4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19</w:t>
                  </w:r>
                </w:p>
              </w:tc>
              <w:tc>
                <w:tcPr>
                  <w:tcW w:w="672"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3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十九、住房保障支出</w:t>
                  </w:r>
                </w:p>
              </w:tc>
              <w:tc>
                <w:tcPr>
                  <w:tcW w:w="48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51</w:t>
                  </w:r>
                </w:p>
              </w:tc>
              <w:tc>
                <w:tcPr>
                  <w:tcW w:w="884"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r>
                    <w:rPr>
                      <w:rFonts w:hint="eastAsia" w:ascii="宋体" w:hAnsi="宋体" w:eastAsia="宋体" w:cs="宋体"/>
                      <w:i w:val="0"/>
                      <w:iCs w:val="0"/>
                      <w:color w:val="000000"/>
                      <w:kern w:val="0"/>
                      <w:sz w:val="15"/>
                      <w:szCs w:val="15"/>
                      <w:u w:val="none"/>
                      <w:lang w:val="en-US" w:eastAsia="zh-CN" w:bidi="ar"/>
                    </w:rPr>
                    <w:t>29.90</w:t>
                  </w:r>
                </w:p>
              </w:tc>
              <w:tc>
                <w:tcPr>
                  <w:tcW w:w="85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r>
                    <w:rPr>
                      <w:rFonts w:hint="eastAsia" w:ascii="宋体" w:hAnsi="宋体" w:eastAsia="宋体" w:cs="宋体"/>
                      <w:i w:val="0"/>
                      <w:iCs w:val="0"/>
                      <w:color w:val="000000"/>
                      <w:kern w:val="0"/>
                      <w:sz w:val="15"/>
                      <w:szCs w:val="15"/>
                      <w:u w:val="none"/>
                      <w:lang w:val="en-US" w:eastAsia="zh-CN" w:bidi="ar"/>
                    </w:rPr>
                    <w:t>29.90</w:t>
                  </w: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2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4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20</w:t>
                  </w:r>
                </w:p>
              </w:tc>
              <w:tc>
                <w:tcPr>
                  <w:tcW w:w="672"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3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二十、粮油物资储备支出</w:t>
                  </w:r>
                </w:p>
              </w:tc>
              <w:tc>
                <w:tcPr>
                  <w:tcW w:w="48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52</w:t>
                  </w:r>
                </w:p>
              </w:tc>
              <w:tc>
                <w:tcPr>
                  <w:tcW w:w="884"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2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4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21</w:t>
                  </w:r>
                </w:p>
              </w:tc>
              <w:tc>
                <w:tcPr>
                  <w:tcW w:w="672"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3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二十一、国有资本经营预算支出</w:t>
                  </w:r>
                </w:p>
              </w:tc>
              <w:tc>
                <w:tcPr>
                  <w:tcW w:w="48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53</w:t>
                  </w:r>
                </w:p>
              </w:tc>
              <w:tc>
                <w:tcPr>
                  <w:tcW w:w="884"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2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4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22</w:t>
                  </w:r>
                </w:p>
              </w:tc>
              <w:tc>
                <w:tcPr>
                  <w:tcW w:w="672"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3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3"/>
                      <w:szCs w:val="13"/>
                    </w:rPr>
                    <w:t>二十二、灾害防治及应急管理支出</w:t>
                  </w:r>
                </w:p>
              </w:tc>
              <w:tc>
                <w:tcPr>
                  <w:tcW w:w="48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54</w:t>
                  </w:r>
                </w:p>
              </w:tc>
              <w:tc>
                <w:tcPr>
                  <w:tcW w:w="884"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2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4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23</w:t>
                  </w:r>
                </w:p>
              </w:tc>
              <w:tc>
                <w:tcPr>
                  <w:tcW w:w="672"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3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二十三、其他支出</w:t>
                  </w:r>
                </w:p>
              </w:tc>
              <w:tc>
                <w:tcPr>
                  <w:tcW w:w="48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55</w:t>
                  </w:r>
                </w:p>
              </w:tc>
              <w:tc>
                <w:tcPr>
                  <w:tcW w:w="884"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2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4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25</w:t>
                  </w:r>
                </w:p>
              </w:tc>
              <w:tc>
                <w:tcPr>
                  <w:tcW w:w="672"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3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二十五、债务付息支出</w:t>
                  </w:r>
                </w:p>
              </w:tc>
              <w:tc>
                <w:tcPr>
                  <w:tcW w:w="48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57</w:t>
                  </w:r>
                </w:p>
              </w:tc>
              <w:tc>
                <w:tcPr>
                  <w:tcW w:w="884"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2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4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26</w:t>
                  </w:r>
                </w:p>
              </w:tc>
              <w:tc>
                <w:tcPr>
                  <w:tcW w:w="672"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p>
              </w:tc>
              <w:tc>
                <w:tcPr>
                  <w:tcW w:w="23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二十六、抗疫特别国债安排的支出</w:t>
                  </w:r>
                </w:p>
              </w:tc>
              <w:tc>
                <w:tcPr>
                  <w:tcW w:w="48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58</w:t>
                  </w:r>
                </w:p>
              </w:tc>
              <w:tc>
                <w:tcPr>
                  <w:tcW w:w="884"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2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Times New Roman" w:hAnsi="Times New Roman" w:eastAsia="Times New Roman" w:cs="Times New Roman"/>
                      <w:kern w:val="0"/>
                      <w:sz w:val="15"/>
                      <w:szCs w:val="15"/>
                    </w:rPr>
                  </w:pPr>
                  <w:r>
                    <w:rPr>
                      <w:rFonts w:hint="eastAsia" w:ascii="宋体" w:hAnsi="宋体" w:eastAsia="宋体" w:cs="Arial"/>
                      <w:b/>
                      <w:bCs/>
                      <w:color w:val="000000"/>
                      <w:kern w:val="0"/>
                      <w:sz w:val="15"/>
                      <w:szCs w:val="15"/>
                    </w:rPr>
                    <w:t>本年收入合计</w:t>
                  </w:r>
                </w:p>
              </w:tc>
              <w:tc>
                <w:tcPr>
                  <w:tcW w:w="44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27</w:t>
                  </w:r>
                </w:p>
              </w:tc>
              <w:tc>
                <w:tcPr>
                  <w:tcW w:w="672"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r>
                    <w:rPr>
                      <w:rFonts w:hint="eastAsia" w:ascii="宋体" w:hAnsi="宋体" w:eastAsia="宋体" w:cs="宋体"/>
                      <w:i w:val="0"/>
                      <w:iCs w:val="0"/>
                      <w:color w:val="000000"/>
                      <w:kern w:val="0"/>
                      <w:sz w:val="15"/>
                      <w:szCs w:val="15"/>
                      <w:u w:val="none"/>
                      <w:lang w:val="en-US" w:eastAsia="zh-CN" w:bidi="ar"/>
                    </w:rPr>
                    <w:t>739.58</w:t>
                  </w:r>
                </w:p>
              </w:tc>
              <w:tc>
                <w:tcPr>
                  <w:tcW w:w="23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b/>
                      <w:bCs/>
                      <w:color w:val="000000"/>
                      <w:kern w:val="0"/>
                      <w:sz w:val="15"/>
                      <w:szCs w:val="15"/>
                    </w:rPr>
                    <w:t>本年支出合计</w:t>
                  </w:r>
                </w:p>
              </w:tc>
              <w:tc>
                <w:tcPr>
                  <w:tcW w:w="48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59</w:t>
                  </w:r>
                </w:p>
              </w:tc>
              <w:tc>
                <w:tcPr>
                  <w:tcW w:w="884"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r>
                    <w:rPr>
                      <w:rFonts w:hint="eastAsia" w:ascii="宋体" w:hAnsi="宋体" w:eastAsia="宋体" w:cs="宋体"/>
                      <w:i w:val="0"/>
                      <w:iCs w:val="0"/>
                      <w:color w:val="000000"/>
                      <w:kern w:val="0"/>
                      <w:sz w:val="15"/>
                      <w:szCs w:val="15"/>
                      <w:u w:val="none"/>
                      <w:lang w:val="en-US" w:eastAsia="zh-CN" w:bidi="ar"/>
                    </w:rPr>
                    <w:t>739.58</w:t>
                  </w:r>
                </w:p>
              </w:tc>
              <w:tc>
                <w:tcPr>
                  <w:tcW w:w="85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r>
                    <w:rPr>
                      <w:rFonts w:hint="eastAsia" w:ascii="宋体" w:hAnsi="宋体" w:eastAsia="宋体" w:cs="宋体"/>
                      <w:i w:val="0"/>
                      <w:iCs w:val="0"/>
                      <w:color w:val="000000"/>
                      <w:kern w:val="0"/>
                      <w:sz w:val="15"/>
                      <w:szCs w:val="15"/>
                      <w:u w:val="none"/>
                      <w:lang w:val="en-US" w:eastAsia="zh-CN" w:bidi="ar"/>
                    </w:rPr>
                    <w:t>739.58</w:t>
                  </w: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2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b/>
                      <w:bCs/>
                      <w:color w:val="000000"/>
                      <w:kern w:val="0"/>
                      <w:sz w:val="15"/>
                      <w:szCs w:val="15"/>
                    </w:rPr>
                  </w:pPr>
                  <w:r>
                    <w:rPr>
                      <w:rFonts w:hint="eastAsia" w:ascii="宋体" w:hAnsi="宋体" w:eastAsia="宋体" w:cs="Arial"/>
                      <w:color w:val="000000"/>
                      <w:kern w:val="0"/>
                      <w:sz w:val="15"/>
                      <w:szCs w:val="15"/>
                    </w:rPr>
                    <w:t>年初财政拨款结转和结余</w:t>
                  </w:r>
                </w:p>
              </w:tc>
              <w:tc>
                <w:tcPr>
                  <w:tcW w:w="44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28</w:t>
                  </w:r>
                </w:p>
              </w:tc>
              <w:tc>
                <w:tcPr>
                  <w:tcW w:w="672"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p>
              </w:tc>
              <w:tc>
                <w:tcPr>
                  <w:tcW w:w="23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b/>
                      <w:bCs/>
                      <w:color w:val="000000"/>
                      <w:kern w:val="0"/>
                      <w:sz w:val="15"/>
                      <w:szCs w:val="15"/>
                    </w:rPr>
                  </w:pPr>
                  <w:r>
                    <w:rPr>
                      <w:rFonts w:hint="eastAsia" w:ascii="宋体" w:hAnsi="宋体" w:eastAsia="宋体" w:cs="Arial"/>
                      <w:color w:val="000000"/>
                      <w:kern w:val="0"/>
                      <w:sz w:val="15"/>
                      <w:szCs w:val="15"/>
                    </w:rPr>
                    <w:t>年末财政拨款结转和结余</w:t>
                  </w:r>
                </w:p>
              </w:tc>
              <w:tc>
                <w:tcPr>
                  <w:tcW w:w="48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60</w:t>
                  </w:r>
                </w:p>
              </w:tc>
              <w:tc>
                <w:tcPr>
                  <w:tcW w:w="884"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2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 xml:space="preserve">  一般公共预算财政拨款</w:t>
                  </w:r>
                </w:p>
              </w:tc>
              <w:tc>
                <w:tcPr>
                  <w:tcW w:w="44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29</w:t>
                  </w:r>
                </w:p>
              </w:tc>
              <w:tc>
                <w:tcPr>
                  <w:tcW w:w="672"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p>
              </w:tc>
              <w:tc>
                <w:tcPr>
                  <w:tcW w:w="23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宋体" w:hAnsi="宋体" w:eastAsia="宋体" w:cs="Arial"/>
                      <w:color w:val="000000"/>
                      <w:kern w:val="0"/>
                      <w:sz w:val="15"/>
                      <w:szCs w:val="15"/>
                    </w:rPr>
                  </w:pPr>
                </w:p>
              </w:tc>
              <w:tc>
                <w:tcPr>
                  <w:tcW w:w="48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61</w:t>
                  </w:r>
                </w:p>
              </w:tc>
              <w:tc>
                <w:tcPr>
                  <w:tcW w:w="884"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2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 xml:space="preserve">  政府性基金预算财政拨款</w:t>
                  </w:r>
                </w:p>
              </w:tc>
              <w:tc>
                <w:tcPr>
                  <w:tcW w:w="44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30</w:t>
                  </w:r>
                </w:p>
              </w:tc>
              <w:tc>
                <w:tcPr>
                  <w:tcW w:w="672"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p>
              </w:tc>
              <w:tc>
                <w:tcPr>
                  <w:tcW w:w="23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8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62</w:t>
                  </w:r>
                </w:p>
              </w:tc>
              <w:tc>
                <w:tcPr>
                  <w:tcW w:w="884"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jc w:val="right"/>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2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 xml:space="preserve">  国有资本经营预算财政拨款</w:t>
                  </w:r>
                </w:p>
              </w:tc>
              <w:tc>
                <w:tcPr>
                  <w:tcW w:w="44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31</w:t>
                  </w:r>
                </w:p>
              </w:tc>
              <w:tc>
                <w:tcPr>
                  <w:tcW w:w="672"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p>
              </w:tc>
              <w:tc>
                <w:tcPr>
                  <w:tcW w:w="23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48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63</w:t>
                  </w:r>
                </w:p>
              </w:tc>
              <w:tc>
                <w:tcPr>
                  <w:tcW w:w="884" w:type="dxa"/>
                  <w:tcBorders>
                    <w:top w:val="nil"/>
                    <w:left w:val="nil"/>
                    <w:bottom w:val="single" w:color="000000" w:sz="4" w:space="0"/>
                    <w:right w:val="single" w:color="000000" w:sz="4" w:space="0"/>
                  </w:tcBorders>
                  <w:shd w:val="clear" w:color="auto" w:fill="auto"/>
                  <w:vAlign w:val="center"/>
                </w:tcPr>
                <w:p>
                  <w:pPr>
                    <w:jc w:val="right"/>
                    <w:rPr>
                      <w:rFonts w:hint="eastAsia" w:ascii="宋体" w:hAnsi="宋体" w:eastAsia="宋体" w:cs="Arial"/>
                      <w:color w:val="000000"/>
                      <w:kern w:val="0"/>
                      <w:sz w:val="15"/>
                      <w:szCs w:val="15"/>
                    </w:rPr>
                  </w:pPr>
                </w:p>
              </w:tc>
              <w:tc>
                <w:tcPr>
                  <w:tcW w:w="851" w:type="dxa"/>
                  <w:tcBorders>
                    <w:top w:val="nil"/>
                    <w:left w:val="nil"/>
                    <w:bottom w:val="single" w:color="000000" w:sz="4" w:space="0"/>
                    <w:right w:val="single" w:color="000000" w:sz="4" w:space="0"/>
                  </w:tcBorders>
                  <w:shd w:val="clear" w:color="auto" w:fill="auto"/>
                  <w:vAlign w:val="center"/>
                </w:tcPr>
                <w:p>
                  <w:pPr>
                    <w:jc w:val="right"/>
                    <w:rPr>
                      <w:rFonts w:ascii="Times New Roman" w:hAnsi="Times New Roman" w:eastAsia="Times New Roman" w:cs="Times New Roman"/>
                      <w:kern w:val="0"/>
                      <w:sz w:val="15"/>
                      <w:szCs w:val="15"/>
                    </w:rPr>
                  </w:pP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12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b/>
                      <w:bCs/>
                      <w:color w:val="000000"/>
                      <w:kern w:val="0"/>
                      <w:sz w:val="15"/>
                      <w:szCs w:val="15"/>
                    </w:rPr>
                    <w:t>总计</w:t>
                  </w:r>
                </w:p>
              </w:tc>
              <w:tc>
                <w:tcPr>
                  <w:tcW w:w="447" w:type="dxa"/>
                  <w:tcBorders>
                    <w:top w:val="nil"/>
                    <w:left w:val="nil"/>
                    <w:bottom w:val="single" w:color="000000" w:sz="8"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hint="eastAsia" w:ascii="宋体" w:hAnsi="宋体" w:eastAsia="宋体" w:cs="Arial"/>
                      <w:color w:val="000000"/>
                      <w:kern w:val="0"/>
                      <w:sz w:val="15"/>
                      <w:szCs w:val="15"/>
                    </w:rPr>
                  </w:pPr>
                  <w:r>
                    <w:rPr>
                      <w:rFonts w:hint="eastAsia" w:ascii="宋体" w:hAnsi="宋体" w:eastAsia="宋体" w:cs="Arial"/>
                      <w:color w:val="000000"/>
                      <w:kern w:val="0"/>
                      <w:sz w:val="15"/>
                      <w:szCs w:val="15"/>
                    </w:rPr>
                    <w:t>32</w:t>
                  </w:r>
                </w:p>
              </w:tc>
              <w:tc>
                <w:tcPr>
                  <w:tcW w:w="672" w:type="dxa"/>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Arial"/>
                      <w:color w:val="000000"/>
                      <w:kern w:val="0"/>
                      <w:sz w:val="15"/>
                      <w:szCs w:val="15"/>
                    </w:rPr>
                  </w:pPr>
                  <w:r>
                    <w:rPr>
                      <w:rFonts w:hint="eastAsia" w:ascii="宋体" w:hAnsi="宋体" w:eastAsia="宋体" w:cs="宋体"/>
                      <w:i w:val="0"/>
                      <w:iCs w:val="0"/>
                      <w:color w:val="000000"/>
                      <w:kern w:val="0"/>
                      <w:sz w:val="15"/>
                      <w:szCs w:val="15"/>
                      <w:u w:val="none"/>
                      <w:lang w:val="en-US" w:eastAsia="zh-CN" w:bidi="ar"/>
                    </w:rPr>
                    <w:t>739.58</w:t>
                  </w:r>
                </w:p>
              </w:tc>
              <w:tc>
                <w:tcPr>
                  <w:tcW w:w="2315"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Times New Roman" w:hAnsi="Times New Roman" w:eastAsia="Times New Roman" w:cs="Times New Roman"/>
                      <w:kern w:val="0"/>
                      <w:sz w:val="15"/>
                      <w:szCs w:val="15"/>
                    </w:rPr>
                  </w:pPr>
                  <w:r>
                    <w:rPr>
                      <w:rFonts w:hint="eastAsia" w:ascii="宋体" w:hAnsi="宋体" w:eastAsia="宋体" w:cs="Arial"/>
                      <w:b/>
                      <w:bCs/>
                      <w:color w:val="000000"/>
                      <w:kern w:val="0"/>
                      <w:sz w:val="15"/>
                      <w:szCs w:val="15"/>
                    </w:rPr>
                    <w:t>总计</w:t>
                  </w:r>
                </w:p>
              </w:tc>
              <w:tc>
                <w:tcPr>
                  <w:tcW w:w="487"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center"/>
                    <w:textAlignment w:val="auto"/>
                    <w:rPr>
                      <w:rFonts w:ascii="宋体" w:hAnsi="宋体" w:eastAsia="宋体" w:cs="Arial"/>
                      <w:color w:val="000000"/>
                      <w:kern w:val="0"/>
                      <w:sz w:val="15"/>
                      <w:szCs w:val="15"/>
                    </w:rPr>
                  </w:pPr>
                  <w:r>
                    <w:rPr>
                      <w:rFonts w:hint="eastAsia" w:ascii="宋体" w:hAnsi="宋体" w:eastAsia="宋体" w:cs="Arial"/>
                      <w:color w:val="000000"/>
                      <w:kern w:val="0"/>
                      <w:sz w:val="15"/>
                      <w:szCs w:val="15"/>
                    </w:rPr>
                    <w:t>64</w:t>
                  </w:r>
                </w:p>
              </w:tc>
              <w:tc>
                <w:tcPr>
                  <w:tcW w:w="884" w:type="dxa"/>
                  <w:tcBorders>
                    <w:top w:val="nil"/>
                    <w:left w:val="nil"/>
                    <w:bottom w:val="single" w:color="000000" w:sz="4" w:space="0"/>
                    <w:right w:val="single" w:color="000000" w:sz="4" w:space="0"/>
                  </w:tcBorders>
                  <w:shd w:val="clear" w:color="auto" w:fill="auto"/>
                  <w:vAlign w:val="center"/>
                </w:tcPr>
                <w:p>
                  <w:pPr>
                    <w:jc w:val="right"/>
                    <w:rPr>
                      <w:rFonts w:hint="default" w:ascii="宋体" w:hAnsi="宋体" w:eastAsia="宋体" w:cs="Arial"/>
                      <w:color w:val="000000"/>
                      <w:kern w:val="0"/>
                      <w:sz w:val="15"/>
                      <w:szCs w:val="15"/>
                      <w:lang w:val="en-US" w:eastAsia="zh-CN"/>
                    </w:rPr>
                  </w:pPr>
                  <w:r>
                    <w:rPr>
                      <w:rFonts w:hint="eastAsia" w:ascii="宋体" w:hAnsi="宋体" w:eastAsia="宋体" w:cs="Arial"/>
                      <w:color w:val="000000"/>
                      <w:kern w:val="0"/>
                      <w:sz w:val="15"/>
                      <w:szCs w:val="15"/>
                      <w:lang w:val="en-US" w:eastAsia="zh-CN"/>
                    </w:rPr>
                    <w:t>739.58</w:t>
                  </w:r>
                </w:p>
              </w:tc>
              <w:tc>
                <w:tcPr>
                  <w:tcW w:w="851" w:type="dxa"/>
                  <w:tcBorders>
                    <w:top w:val="nil"/>
                    <w:left w:val="nil"/>
                    <w:bottom w:val="single" w:color="000000" w:sz="4" w:space="0"/>
                    <w:right w:val="single" w:color="000000" w:sz="4" w:space="0"/>
                  </w:tcBorders>
                  <w:shd w:val="clear" w:color="auto" w:fill="auto"/>
                  <w:vAlign w:val="center"/>
                </w:tcPr>
                <w:p>
                  <w:pPr>
                    <w:jc w:val="right"/>
                    <w:rPr>
                      <w:rFonts w:hint="default" w:ascii="Times New Roman" w:hAnsi="Times New Roman" w:eastAsia="宋体" w:cs="Times New Roman"/>
                      <w:kern w:val="0"/>
                      <w:sz w:val="15"/>
                      <w:szCs w:val="15"/>
                      <w:lang w:val="en-US" w:eastAsia="zh-CN"/>
                    </w:rPr>
                  </w:pPr>
                  <w:r>
                    <w:rPr>
                      <w:rFonts w:hint="eastAsia" w:ascii="Times New Roman" w:hAnsi="Times New Roman" w:eastAsia="宋体" w:cs="Times New Roman"/>
                      <w:kern w:val="0"/>
                      <w:sz w:val="15"/>
                      <w:szCs w:val="15"/>
                      <w:lang w:val="en-US" w:eastAsia="zh-CN"/>
                    </w:rPr>
                    <w:t>739.58</w:t>
                  </w:r>
                </w:p>
              </w:tc>
              <w:tc>
                <w:tcPr>
                  <w:tcW w:w="85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right"/>
                    <w:textAlignment w:val="auto"/>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9484" w:type="dxa"/>
                  <w:gridSpan w:val="9"/>
                  <w:tcBorders>
                    <w:top w:val="nil"/>
                    <w:left w:val="nil"/>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00" w:lineRule="exact"/>
                    <w:jc w:val="left"/>
                    <w:textAlignment w:val="auto"/>
                    <w:rPr>
                      <w:rFonts w:ascii="Times New Roman" w:hAnsi="Times New Roman" w:eastAsia="Times New Roman" w:cs="Times New Roman"/>
                      <w:kern w:val="0"/>
                      <w:sz w:val="15"/>
                      <w:szCs w:val="15"/>
                    </w:rPr>
                  </w:pPr>
                  <w:r>
                    <w:rPr>
                      <w:rFonts w:hint="eastAsia" w:ascii="宋体" w:hAnsi="宋体" w:eastAsia="宋体" w:cs="Arial"/>
                      <w:color w:val="000000"/>
                      <w:kern w:val="0"/>
                      <w:sz w:val="15"/>
                      <w:szCs w:val="15"/>
                    </w:rPr>
                    <w:t>注：本表反映部门本年度一般公共预算财政拨款、政府性基金预算财政拨款和国有资本经营预算财政拨款的总收支和年末结转结余情况。</w:t>
                  </w: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9484" w:type="dxa"/>
                  <w:gridSpan w:val="9"/>
                  <w:tcBorders>
                    <w:top w:val="nil"/>
                    <w:left w:val="nil"/>
                    <w:bottom w:val="nil"/>
                    <w:right w:val="nil"/>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eastAsia="宋体" w:cs="Arial"/>
                      <w:color w:val="000000"/>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bl>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lang w:bidi="ar"/>
              </w:rPr>
              <w:t>一般公共预算财政拨款支出决算表</w:t>
            </w:r>
          </w:p>
        </w:tc>
      </w:tr>
      <w:tr>
        <w:tblPrEx>
          <w:tblCellMar>
            <w:top w:w="0" w:type="dxa"/>
            <w:left w:w="0" w:type="dxa"/>
            <w:bottom w:w="0" w:type="dxa"/>
            <w:right w:w="0" w:type="dxa"/>
          </w:tblCellMar>
        </w:tblPrEx>
        <w:trPr>
          <w:trHeight w:val="255" w:hRule="atLeast"/>
          <w:jc w:val="center"/>
        </w:trPr>
        <w:tc>
          <w:tcPr>
            <w:tcW w:w="1174"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3266"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67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3277" w:type="dxa"/>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公开05表</w:t>
            </w:r>
          </w:p>
        </w:tc>
      </w:tr>
      <w:tr>
        <w:tblPrEx>
          <w:tblCellMar>
            <w:top w:w="0" w:type="dxa"/>
            <w:left w:w="0" w:type="dxa"/>
            <w:bottom w:w="0" w:type="dxa"/>
            <w:right w:w="0" w:type="dxa"/>
          </w:tblCellMar>
        </w:tblPrEx>
        <w:trPr>
          <w:trHeight w:val="255" w:hRule="atLeast"/>
          <w:jc w:val="center"/>
        </w:trPr>
        <w:tc>
          <w:tcPr>
            <w:tcW w:w="1174" w:type="dxa"/>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部门：</w:t>
            </w: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3266"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67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3277" w:type="dxa"/>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blPrEx>
          <w:tblCellMar>
            <w:top w:w="0" w:type="dxa"/>
            <w:left w:w="0" w:type="dxa"/>
            <w:bottom w:w="0" w:type="dxa"/>
            <w:right w:w="0" w:type="dxa"/>
          </w:tblCellMar>
        </w:tblPrEx>
        <w:trPr>
          <w:trHeight w:val="308" w:hRule="atLeast"/>
          <w:jc w:val="center"/>
        </w:trPr>
        <w:tc>
          <w:tcPr>
            <w:tcW w:w="4574"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项目</w:t>
            </w:r>
          </w:p>
        </w:tc>
        <w:tc>
          <w:tcPr>
            <w:tcW w:w="4948" w:type="dxa"/>
            <w:gridSpan w:val="4"/>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本年支出</w:t>
            </w:r>
          </w:p>
        </w:tc>
      </w:tr>
      <w:tr>
        <w:tblPrEx>
          <w:tblCellMar>
            <w:top w:w="0" w:type="dxa"/>
            <w:left w:w="0" w:type="dxa"/>
            <w:bottom w:w="0" w:type="dxa"/>
            <w:right w:w="0" w:type="dxa"/>
          </w:tblCellMar>
        </w:tblPrEx>
        <w:trPr>
          <w:trHeight w:val="312" w:hRule="atLeast"/>
          <w:jc w:val="center"/>
        </w:trPr>
        <w:tc>
          <w:tcPr>
            <w:tcW w:w="1308"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功能分类科目编码</w:t>
            </w:r>
          </w:p>
        </w:tc>
        <w:tc>
          <w:tcPr>
            <w:tcW w:w="3266"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科目名称</w:t>
            </w:r>
          </w:p>
        </w:tc>
        <w:tc>
          <w:tcPr>
            <w:tcW w:w="167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小计</w:t>
            </w:r>
          </w:p>
        </w:tc>
        <w:tc>
          <w:tcPr>
            <w:tcW w:w="1714"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基本支出</w:t>
            </w:r>
          </w:p>
        </w:tc>
        <w:tc>
          <w:tcPr>
            <w:tcW w:w="1563"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lang w:bidi="ar"/>
              </w:rPr>
              <w:t>项目支出</w:t>
            </w:r>
          </w:p>
        </w:tc>
      </w:tr>
      <w:tr>
        <w:tblPrEx>
          <w:tblCellMar>
            <w:top w:w="0" w:type="dxa"/>
            <w:left w:w="0" w:type="dxa"/>
            <w:bottom w:w="0" w:type="dxa"/>
            <w:right w:w="0" w:type="dxa"/>
          </w:tblCellMar>
        </w:tblPrEx>
        <w:trPr>
          <w:trHeight w:val="312" w:hRule="atLeast"/>
          <w:jc w:val="center"/>
        </w:trPr>
        <w:tc>
          <w:tcPr>
            <w:tcW w:w="1308"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3266"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67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714"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563"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12" w:hRule="atLeast"/>
          <w:jc w:val="center"/>
        </w:trPr>
        <w:tc>
          <w:tcPr>
            <w:tcW w:w="1308"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3266"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67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714"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563"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4574"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栏次</w:t>
            </w:r>
          </w:p>
        </w:tc>
        <w:tc>
          <w:tcPr>
            <w:tcW w:w="167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1</w:t>
            </w:r>
          </w:p>
        </w:tc>
        <w:tc>
          <w:tcPr>
            <w:tcW w:w="17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2</w:t>
            </w:r>
          </w:p>
        </w:tc>
        <w:tc>
          <w:tcPr>
            <w:tcW w:w="156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3</w:t>
            </w:r>
          </w:p>
        </w:tc>
      </w:tr>
      <w:tr>
        <w:tblPrEx>
          <w:tblCellMar>
            <w:top w:w="0" w:type="dxa"/>
            <w:left w:w="0" w:type="dxa"/>
            <w:bottom w:w="0" w:type="dxa"/>
            <w:right w:w="0" w:type="dxa"/>
          </w:tblCellMar>
        </w:tblPrEx>
        <w:trPr>
          <w:trHeight w:val="308" w:hRule="atLeast"/>
          <w:jc w:val="center"/>
        </w:trPr>
        <w:tc>
          <w:tcPr>
            <w:tcW w:w="4574"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lang w:bidi="ar"/>
              </w:rPr>
              <w:t>合计</w:t>
            </w:r>
          </w:p>
        </w:tc>
        <w:tc>
          <w:tcPr>
            <w:tcW w:w="167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b w:val="0"/>
                <w:bCs w:val="0"/>
                <w:color w:val="000000"/>
                <w:sz w:val="18"/>
                <w:szCs w:val="18"/>
              </w:rPr>
            </w:pPr>
            <w:r>
              <w:rPr>
                <w:rFonts w:hint="eastAsia" w:ascii="宋体" w:hAnsi="宋体" w:eastAsia="宋体" w:cs="宋体"/>
                <w:b w:val="0"/>
                <w:bCs w:val="0"/>
                <w:i w:val="0"/>
                <w:iCs w:val="0"/>
                <w:color w:val="000000"/>
                <w:kern w:val="0"/>
                <w:sz w:val="18"/>
                <w:szCs w:val="18"/>
                <w:u w:val="none"/>
                <w:lang w:val="en-US" w:eastAsia="zh-CN" w:bidi="ar"/>
              </w:rPr>
              <w:t>739.58</w:t>
            </w:r>
          </w:p>
        </w:tc>
        <w:tc>
          <w:tcPr>
            <w:tcW w:w="17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b w:val="0"/>
                <w:bCs w:val="0"/>
                <w:color w:val="000000"/>
                <w:sz w:val="18"/>
                <w:szCs w:val="18"/>
              </w:rPr>
            </w:pPr>
            <w:r>
              <w:rPr>
                <w:rFonts w:hint="eastAsia" w:ascii="宋体" w:hAnsi="宋体" w:eastAsia="宋体" w:cs="宋体"/>
                <w:b w:val="0"/>
                <w:bCs w:val="0"/>
                <w:i w:val="0"/>
                <w:iCs w:val="0"/>
                <w:color w:val="000000"/>
                <w:kern w:val="0"/>
                <w:sz w:val="18"/>
                <w:szCs w:val="18"/>
                <w:u w:val="none"/>
                <w:lang w:val="en-US" w:eastAsia="zh-CN" w:bidi="ar"/>
              </w:rPr>
              <w:t>647.97</w:t>
            </w:r>
          </w:p>
        </w:tc>
        <w:tc>
          <w:tcPr>
            <w:tcW w:w="156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b w:val="0"/>
                <w:bCs w:val="0"/>
                <w:color w:val="000000"/>
                <w:sz w:val="18"/>
                <w:szCs w:val="18"/>
              </w:rPr>
            </w:pPr>
            <w:r>
              <w:rPr>
                <w:rFonts w:hint="eastAsia" w:ascii="宋体" w:hAnsi="宋体" w:eastAsia="宋体" w:cs="宋体"/>
                <w:b w:val="0"/>
                <w:bCs w:val="0"/>
                <w:i w:val="0"/>
                <w:iCs w:val="0"/>
                <w:color w:val="000000"/>
                <w:kern w:val="0"/>
                <w:sz w:val="18"/>
                <w:szCs w:val="18"/>
                <w:u w:val="none"/>
                <w:lang w:val="en-US" w:eastAsia="zh-CN" w:bidi="ar"/>
              </w:rPr>
              <w:t>91.61</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201</w:t>
            </w:r>
          </w:p>
        </w:tc>
        <w:tc>
          <w:tcPr>
            <w:tcW w:w="32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一般公共服务支出</w:t>
            </w:r>
          </w:p>
        </w:tc>
        <w:tc>
          <w:tcPr>
            <w:tcW w:w="167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631.60</w:t>
            </w:r>
          </w:p>
        </w:tc>
        <w:tc>
          <w:tcPr>
            <w:tcW w:w="17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539.99</w:t>
            </w:r>
          </w:p>
        </w:tc>
        <w:tc>
          <w:tcPr>
            <w:tcW w:w="156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91.61</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20131</w:t>
            </w:r>
          </w:p>
        </w:tc>
        <w:tc>
          <w:tcPr>
            <w:tcW w:w="32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党委办公厅（室）及相关机构事务</w:t>
            </w:r>
          </w:p>
        </w:tc>
        <w:tc>
          <w:tcPr>
            <w:tcW w:w="167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631.60</w:t>
            </w:r>
          </w:p>
        </w:tc>
        <w:tc>
          <w:tcPr>
            <w:tcW w:w="17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539.99</w:t>
            </w:r>
          </w:p>
        </w:tc>
        <w:tc>
          <w:tcPr>
            <w:tcW w:w="156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91.61</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2013101</w:t>
            </w:r>
          </w:p>
        </w:tc>
        <w:tc>
          <w:tcPr>
            <w:tcW w:w="32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 xml:space="preserve">  行政运行</w:t>
            </w:r>
          </w:p>
        </w:tc>
        <w:tc>
          <w:tcPr>
            <w:tcW w:w="167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469.28</w:t>
            </w:r>
          </w:p>
        </w:tc>
        <w:tc>
          <w:tcPr>
            <w:tcW w:w="17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469.28</w:t>
            </w:r>
          </w:p>
        </w:tc>
        <w:tc>
          <w:tcPr>
            <w:tcW w:w="156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2013102</w:t>
            </w:r>
          </w:p>
        </w:tc>
        <w:tc>
          <w:tcPr>
            <w:tcW w:w="32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 xml:space="preserve">  一般行政管理事务</w:t>
            </w:r>
          </w:p>
        </w:tc>
        <w:tc>
          <w:tcPr>
            <w:tcW w:w="167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162.32</w:t>
            </w:r>
          </w:p>
        </w:tc>
        <w:tc>
          <w:tcPr>
            <w:tcW w:w="17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70.70</w:t>
            </w:r>
          </w:p>
        </w:tc>
        <w:tc>
          <w:tcPr>
            <w:tcW w:w="156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91.61</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208</w:t>
            </w:r>
          </w:p>
        </w:tc>
        <w:tc>
          <w:tcPr>
            <w:tcW w:w="32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社会保障和就业支出</w:t>
            </w:r>
          </w:p>
        </w:tc>
        <w:tc>
          <w:tcPr>
            <w:tcW w:w="167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58.16</w:t>
            </w:r>
          </w:p>
        </w:tc>
        <w:tc>
          <w:tcPr>
            <w:tcW w:w="17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58.16</w:t>
            </w:r>
          </w:p>
        </w:tc>
        <w:tc>
          <w:tcPr>
            <w:tcW w:w="156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20805</w:t>
            </w:r>
          </w:p>
        </w:tc>
        <w:tc>
          <w:tcPr>
            <w:tcW w:w="32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行政事业单位养老支出</w:t>
            </w:r>
          </w:p>
        </w:tc>
        <w:tc>
          <w:tcPr>
            <w:tcW w:w="167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58.16</w:t>
            </w:r>
          </w:p>
        </w:tc>
        <w:tc>
          <w:tcPr>
            <w:tcW w:w="17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58.16</w:t>
            </w:r>
          </w:p>
        </w:tc>
        <w:tc>
          <w:tcPr>
            <w:tcW w:w="156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2080505</w:t>
            </w:r>
          </w:p>
        </w:tc>
        <w:tc>
          <w:tcPr>
            <w:tcW w:w="32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 xml:space="preserve">  机关事业单位基本养老保险缴费支出</w:t>
            </w:r>
          </w:p>
        </w:tc>
        <w:tc>
          <w:tcPr>
            <w:tcW w:w="167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58.06</w:t>
            </w:r>
          </w:p>
        </w:tc>
        <w:tc>
          <w:tcPr>
            <w:tcW w:w="17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58.06</w:t>
            </w:r>
          </w:p>
        </w:tc>
        <w:tc>
          <w:tcPr>
            <w:tcW w:w="156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2080506</w:t>
            </w:r>
          </w:p>
        </w:tc>
        <w:tc>
          <w:tcPr>
            <w:tcW w:w="32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 xml:space="preserve">  机关事业单位职业年金缴费支出</w:t>
            </w:r>
          </w:p>
        </w:tc>
        <w:tc>
          <w:tcPr>
            <w:tcW w:w="167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0.10</w:t>
            </w:r>
          </w:p>
        </w:tc>
        <w:tc>
          <w:tcPr>
            <w:tcW w:w="17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0.10</w:t>
            </w:r>
          </w:p>
        </w:tc>
        <w:tc>
          <w:tcPr>
            <w:tcW w:w="156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210</w:t>
            </w:r>
          </w:p>
        </w:tc>
        <w:tc>
          <w:tcPr>
            <w:tcW w:w="32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卫生健康支出</w:t>
            </w:r>
          </w:p>
        </w:tc>
        <w:tc>
          <w:tcPr>
            <w:tcW w:w="167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19.93</w:t>
            </w:r>
          </w:p>
        </w:tc>
        <w:tc>
          <w:tcPr>
            <w:tcW w:w="17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19.93</w:t>
            </w:r>
          </w:p>
        </w:tc>
        <w:tc>
          <w:tcPr>
            <w:tcW w:w="156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21011</w:t>
            </w:r>
          </w:p>
        </w:tc>
        <w:tc>
          <w:tcPr>
            <w:tcW w:w="32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行政事业单位医疗</w:t>
            </w:r>
          </w:p>
        </w:tc>
        <w:tc>
          <w:tcPr>
            <w:tcW w:w="167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19.93</w:t>
            </w:r>
          </w:p>
        </w:tc>
        <w:tc>
          <w:tcPr>
            <w:tcW w:w="17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19.93</w:t>
            </w:r>
          </w:p>
        </w:tc>
        <w:tc>
          <w:tcPr>
            <w:tcW w:w="156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2101101</w:t>
            </w:r>
          </w:p>
        </w:tc>
        <w:tc>
          <w:tcPr>
            <w:tcW w:w="32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 xml:space="preserve">  行政单位医疗</w:t>
            </w:r>
          </w:p>
        </w:tc>
        <w:tc>
          <w:tcPr>
            <w:tcW w:w="167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16.36</w:t>
            </w:r>
          </w:p>
        </w:tc>
        <w:tc>
          <w:tcPr>
            <w:tcW w:w="17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16.36</w:t>
            </w:r>
          </w:p>
        </w:tc>
        <w:tc>
          <w:tcPr>
            <w:tcW w:w="156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2101102</w:t>
            </w:r>
          </w:p>
        </w:tc>
        <w:tc>
          <w:tcPr>
            <w:tcW w:w="32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 xml:space="preserve">  事业单位医疗</w:t>
            </w:r>
          </w:p>
        </w:tc>
        <w:tc>
          <w:tcPr>
            <w:tcW w:w="167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3.57</w:t>
            </w:r>
          </w:p>
        </w:tc>
        <w:tc>
          <w:tcPr>
            <w:tcW w:w="17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3.57</w:t>
            </w:r>
          </w:p>
        </w:tc>
        <w:tc>
          <w:tcPr>
            <w:tcW w:w="156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221</w:t>
            </w:r>
          </w:p>
        </w:tc>
        <w:tc>
          <w:tcPr>
            <w:tcW w:w="32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住房保障支出</w:t>
            </w:r>
          </w:p>
        </w:tc>
        <w:tc>
          <w:tcPr>
            <w:tcW w:w="167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29.90</w:t>
            </w:r>
          </w:p>
        </w:tc>
        <w:tc>
          <w:tcPr>
            <w:tcW w:w="17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29.90</w:t>
            </w:r>
          </w:p>
        </w:tc>
        <w:tc>
          <w:tcPr>
            <w:tcW w:w="156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22102</w:t>
            </w:r>
          </w:p>
        </w:tc>
        <w:tc>
          <w:tcPr>
            <w:tcW w:w="32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住房改革支出</w:t>
            </w:r>
          </w:p>
        </w:tc>
        <w:tc>
          <w:tcPr>
            <w:tcW w:w="167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29.90</w:t>
            </w:r>
          </w:p>
        </w:tc>
        <w:tc>
          <w:tcPr>
            <w:tcW w:w="17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29.90</w:t>
            </w:r>
          </w:p>
        </w:tc>
        <w:tc>
          <w:tcPr>
            <w:tcW w:w="156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2210201</w:t>
            </w:r>
          </w:p>
        </w:tc>
        <w:tc>
          <w:tcPr>
            <w:tcW w:w="32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 xml:space="preserve">  住房公积金</w:t>
            </w:r>
          </w:p>
        </w:tc>
        <w:tc>
          <w:tcPr>
            <w:tcW w:w="167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29.90</w:t>
            </w:r>
          </w:p>
        </w:tc>
        <w:tc>
          <w:tcPr>
            <w:tcW w:w="171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r>
              <w:rPr>
                <w:rFonts w:hint="eastAsia" w:ascii="宋体" w:hAnsi="宋体" w:eastAsia="宋体" w:cs="宋体"/>
                <w:i w:val="0"/>
                <w:iCs w:val="0"/>
                <w:color w:val="000000"/>
                <w:kern w:val="0"/>
                <w:sz w:val="18"/>
                <w:szCs w:val="18"/>
                <w:u w:val="none"/>
                <w:lang w:val="en-US" w:eastAsia="zh-CN" w:bidi="ar"/>
              </w:rPr>
              <w:t>29.90</w:t>
            </w:r>
          </w:p>
        </w:tc>
        <w:tc>
          <w:tcPr>
            <w:tcW w:w="156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18"/>
                <w:szCs w:val="18"/>
              </w:rPr>
            </w:pPr>
          </w:p>
        </w:tc>
      </w:tr>
    </w:tbl>
    <w:p>
      <w:r>
        <w:br w:type="page"/>
      </w:r>
    </w:p>
    <w:p>
      <w:pPr>
        <w:widowControl/>
        <w:jc w:val="center"/>
        <w:textAlignment w:val="center"/>
        <w:rPr>
          <w:rFonts w:ascii="黑体" w:hAnsi="宋体" w:eastAsia="黑体" w:cs="黑体"/>
          <w:color w:val="000000"/>
          <w:kern w:val="0"/>
          <w:sz w:val="28"/>
          <w:szCs w:val="28"/>
          <w:lang w:bidi="ar"/>
        </w:rPr>
        <w:sectPr>
          <w:pgSz w:w="11906" w:h="16838"/>
          <w:pgMar w:top="2098" w:right="1531" w:bottom="1984" w:left="1531" w:header="851" w:footer="992" w:gutter="0"/>
          <w:cols w:space="425" w:num="1"/>
          <w:docGrid w:type="lines" w:linePitch="312" w:charSpace="0"/>
        </w:sectPr>
      </w:pPr>
    </w:p>
    <w:tbl>
      <w:tblPr>
        <w:tblStyle w:val="5"/>
        <w:tblW w:w="14076" w:type="dxa"/>
        <w:jc w:val="center"/>
        <w:tblLayout w:type="fixed"/>
        <w:tblCellMar>
          <w:top w:w="0" w:type="dxa"/>
          <w:left w:w="0" w:type="dxa"/>
          <w:bottom w:w="0" w:type="dxa"/>
          <w:right w:w="0" w:type="dxa"/>
        </w:tblCellMar>
      </w:tblPr>
      <w:tblGrid>
        <w:gridCol w:w="1251"/>
        <w:gridCol w:w="2477"/>
        <w:gridCol w:w="1046"/>
        <w:gridCol w:w="1184"/>
        <w:gridCol w:w="2463"/>
        <w:gridCol w:w="966"/>
        <w:gridCol w:w="861"/>
        <w:gridCol w:w="3028"/>
        <w:gridCol w:w="800"/>
      </w:tblGrid>
      <w:tr>
        <w:tblPrEx>
          <w:tblCellMar>
            <w:top w:w="0" w:type="dxa"/>
            <w:left w:w="0" w:type="dxa"/>
            <w:bottom w:w="0" w:type="dxa"/>
            <w:right w:w="0" w:type="dxa"/>
          </w:tblCellMar>
        </w:tblPrEx>
        <w:trPr>
          <w:trHeight w:val="404" w:hRule="atLeast"/>
          <w:jc w:val="center"/>
        </w:trPr>
        <w:tc>
          <w:tcPr>
            <w:tcW w:w="14076" w:type="dxa"/>
            <w:gridSpan w:val="9"/>
            <w:tcBorders>
              <w:top w:val="nil"/>
              <w:left w:val="nil"/>
              <w:bottom w:val="nil"/>
              <w:right w:val="nil"/>
            </w:tcBorders>
            <w:shd w:val="clear" w:color="auto" w:fill="auto"/>
            <w:tcMar>
              <w:top w:w="15" w:type="dxa"/>
              <w:left w:w="15" w:type="dxa"/>
              <w:right w:w="15" w:type="dxa"/>
            </w:tcMar>
            <w:vAlign w:val="center"/>
          </w:tcPr>
          <w:p>
            <w:pPr>
              <w:widowControl/>
              <w:spacing w:line="420" w:lineRule="exact"/>
              <w:jc w:val="center"/>
              <w:textAlignment w:val="center"/>
              <w:rPr>
                <w:rFonts w:ascii="黑体" w:hAnsi="宋体" w:eastAsia="黑体" w:cs="黑体"/>
                <w:color w:val="000000"/>
                <w:sz w:val="32"/>
                <w:szCs w:val="32"/>
              </w:rPr>
            </w:pPr>
            <w:r>
              <w:rPr>
                <w:rFonts w:hint="eastAsia" w:ascii="黑体" w:hAnsi="宋体" w:eastAsia="黑体" w:cs="黑体"/>
                <w:color w:val="000000"/>
                <w:kern w:val="0"/>
                <w:sz w:val="28"/>
                <w:szCs w:val="28"/>
                <w:lang w:bidi="ar"/>
              </w:rPr>
              <w:t>一般公共预算财政拨款基本支出决算表</w:t>
            </w:r>
          </w:p>
        </w:tc>
      </w:tr>
      <w:tr>
        <w:tblPrEx>
          <w:tblCellMar>
            <w:top w:w="0" w:type="dxa"/>
            <w:left w:w="0" w:type="dxa"/>
            <w:bottom w:w="0" w:type="dxa"/>
            <w:right w:w="0" w:type="dxa"/>
          </w:tblCellMar>
        </w:tblPrEx>
        <w:trPr>
          <w:trHeight w:val="66" w:hRule="atLeast"/>
          <w:jc w:val="center"/>
        </w:trPr>
        <w:tc>
          <w:tcPr>
            <w:tcW w:w="125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2477"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104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1184"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2463"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96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86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3828" w:type="dxa"/>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6"/>
                <w:szCs w:val="16"/>
              </w:rPr>
            </w:pPr>
            <w:r>
              <w:rPr>
                <w:rFonts w:hint="eastAsia" w:ascii="宋体" w:hAnsi="宋体" w:eastAsia="宋体" w:cs="宋体"/>
                <w:color w:val="000000"/>
                <w:kern w:val="0"/>
                <w:sz w:val="16"/>
                <w:szCs w:val="16"/>
                <w:lang w:bidi="ar"/>
              </w:rPr>
              <w:t>公开06表</w:t>
            </w:r>
          </w:p>
        </w:tc>
      </w:tr>
      <w:tr>
        <w:tblPrEx>
          <w:tblCellMar>
            <w:top w:w="0" w:type="dxa"/>
            <w:left w:w="0" w:type="dxa"/>
            <w:bottom w:w="0" w:type="dxa"/>
            <w:right w:w="0" w:type="dxa"/>
          </w:tblCellMar>
        </w:tblPrEx>
        <w:trPr>
          <w:trHeight w:val="61" w:hRule="atLeast"/>
          <w:jc w:val="center"/>
        </w:trPr>
        <w:tc>
          <w:tcPr>
            <w:tcW w:w="1251"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6"/>
                <w:szCs w:val="16"/>
              </w:rPr>
            </w:pPr>
            <w:r>
              <w:rPr>
                <w:rFonts w:hint="eastAsia" w:ascii="宋体" w:hAnsi="宋体" w:eastAsia="宋体" w:cs="宋体"/>
                <w:color w:val="000000"/>
                <w:kern w:val="0"/>
                <w:sz w:val="16"/>
                <w:szCs w:val="16"/>
                <w:lang w:bidi="ar"/>
              </w:rPr>
              <w:t>部门：</w:t>
            </w:r>
          </w:p>
        </w:tc>
        <w:tc>
          <w:tcPr>
            <w:tcW w:w="2477"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104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1184"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2463"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96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86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3828" w:type="dxa"/>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6"/>
                <w:szCs w:val="16"/>
              </w:rPr>
            </w:pPr>
            <w:r>
              <w:rPr>
                <w:rFonts w:hint="eastAsia" w:ascii="宋体" w:hAnsi="宋体" w:eastAsia="宋体" w:cs="宋体"/>
                <w:color w:val="000000"/>
                <w:kern w:val="0"/>
                <w:sz w:val="16"/>
                <w:szCs w:val="16"/>
                <w:lang w:bidi="ar"/>
              </w:rPr>
              <w:t>金额单位：万元</w:t>
            </w:r>
          </w:p>
        </w:tc>
      </w:tr>
      <w:tr>
        <w:tblPrEx>
          <w:tblCellMar>
            <w:top w:w="0" w:type="dxa"/>
            <w:left w:w="0" w:type="dxa"/>
            <w:bottom w:w="0" w:type="dxa"/>
            <w:right w:w="0" w:type="dxa"/>
          </w:tblCellMar>
        </w:tblPrEx>
        <w:trPr>
          <w:trHeight w:val="242" w:hRule="atLeast"/>
          <w:jc w:val="center"/>
        </w:trPr>
        <w:tc>
          <w:tcPr>
            <w:tcW w:w="4774"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人员经费</w:t>
            </w:r>
          </w:p>
        </w:tc>
        <w:tc>
          <w:tcPr>
            <w:tcW w:w="9302" w:type="dxa"/>
            <w:gridSpan w:val="6"/>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公用经费</w:t>
            </w:r>
          </w:p>
        </w:tc>
      </w:tr>
      <w:tr>
        <w:tblPrEx>
          <w:tblCellMar>
            <w:top w:w="0" w:type="dxa"/>
            <w:left w:w="0" w:type="dxa"/>
            <w:bottom w:w="0" w:type="dxa"/>
            <w:right w:w="0" w:type="dxa"/>
          </w:tblCellMar>
        </w:tblPrEx>
        <w:trPr>
          <w:trHeight w:val="240" w:hRule="atLeast"/>
          <w:jc w:val="center"/>
        </w:trPr>
        <w:tc>
          <w:tcPr>
            <w:tcW w:w="1251"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科目编码</w:t>
            </w:r>
          </w:p>
        </w:tc>
        <w:tc>
          <w:tcPr>
            <w:tcW w:w="247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科目名称</w:t>
            </w:r>
          </w:p>
        </w:tc>
        <w:tc>
          <w:tcPr>
            <w:tcW w:w="104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决算数</w:t>
            </w:r>
          </w:p>
        </w:tc>
        <w:tc>
          <w:tcPr>
            <w:tcW w:w="1184"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科目编码</w:t>
            </w:r>
          </w:p>
        </w:tc>
        <w:tc>
          <w:tcPr>
            <w:tcW w:w="246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科目名称</w:t>
            </w:r>
          </w:p>
        </w:tc>
        <w:tc>
          <w:tcPr>
            <w:tcW w:w="96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决算数</w:t>
            </w:r>
          </w:p>
        </w:tc>
        <w:tc>
          <w:tcPr>
            <w:tcW w:w="86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科目编码</w:t>
            </w:r>
          </w:p>
        </w:tc>
        <w:tc>
          <w:tcPr>
            <w:tcW w:w="302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科目名称</w:t>
            </w:r>
          </w:p>
        </w:tc>
        <w:tc>
          <w:tcPr>
            <w:tcW w:w="80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lang w:bidi="ar"/>
              </w:rPr>
              <w:t>决算数</w:t>
            </w:r>
          </w:p>
        </w:tc>
      </w:tr>
      <w:tr>
        <w:tblPrEx>
          <w:tblCellMar>
            <w:top w:w="0" w:type="dxa"/>
            <w:left w:w="0" w:type="dxa"/>
            <w:bottom w:w="0" w:type="dxa"/>
            <w:right w:w="0" w:type="dxa"/>
          </w:tblCellMar>
        </w:tblPrEx>
        <w:trPr>
          <w:trHeight w:val="312" w:hRule="atLeast"/>
          <w:jc w:val="center"/>
        </w:trPr>
        <w:tc>
          <w:tcPr>
            <w:tcW w:w="1251"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247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104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1184"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24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96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86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302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80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工资福利支出</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524.95</w:t>
            </w:r>
          </w:p>
        </w:tc>
        <w:tc>
          <w:tcPr>
            <w:tcW w:w="11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商品和服务支出</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109.52</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债务利息及费用支出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hint="default" w:ascii="宋体" w:hAnsi="宋体" w:eastAsia="宋体" w:cs="宋体"/>
                <w:color w:val="000000"/>
                <w:sz w:val="16"/>
                <w:szCs w:val="16"/>
                <w:lang w:val="en-US" w:eastAsia="zh-CN"/>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基本工资</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213.52</w:t>
            </w:r>
          </w:p>
        </w:tc>
        <w:tc>
          <w:tcPr>
            <w:tcW w:w="11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办公费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6.65</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30701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国内债务付息</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hint="default" w:ascii="宋体" w:hAnsi="宋体" w:eastAsia="宋体" w:cs="宋体"/>
                <w:color w:val="000000"/>
                <w:sz w:val="16"/>
                <w:szCs w:val="16"/>
                <w:lang w:val="en-US" w:eastAsia="zh-CN"/>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津贴补贴</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161.20</w:t>
            </w:r>
          </w:p>
        </w:tc>
        <w:tc>
          <w:tcPr>
            <w:tcW w:w="11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印刷费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1.15</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30702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国外债务付息</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hint="default" w:ascii="宋体" w:hAnsi="宋体" w:eastAsia="宋体" w:cs="宋体"/>
                <w:color w:val="000000"/>
                <w:sz w:val="16"/>
                <w:szCs w:val="16"/>
                <w:lang w:val="en-US" w:eastAsia="zh-CN"/>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奖金</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15.00</w:t>
            </w:r>
          </w:p>
        </w:tc>
        <w:tc>
          <w:tcPr>
            <w:tcW w:w="11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30203</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咨询费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资本性支出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0.65</w:t>
            </w: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30106</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伙食补助费</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1.17</w:t>
            </w:r>
          </w:p>
        </w:tc>
        <w:tc>
          <w:tcPr>
            <w:tcW w:w="11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手续费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房屋建筑物购建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hint="default" w:ascii="宋体" w:hAnsi="宋体" w:eastAsia="宋体" w:cs="宋体"/>
                <w:color w:val="000000"/>
                <w:sz w:val="16"/>
                <w:szCs w:val="16"/>
                <w:lang w:val="en-US" w:eastAsia="zh-CN"/>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30107</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绩效工资</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11.69</w:t>
            </w:r>
          </w:p>
        </w:tc>
        <w:tc>
          <w:tcPr>
            <w:tcW w:w="11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水费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13.38</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办公设备购置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0.65</w:t>
            </w: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30108</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机关事业单位基本养老保险缴费</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63.67</w:t>
            </w:r>
          </w:p>
        </w:tc>
        <w:tc>
          <w:tcPr>
            <w:tcW w:w="11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电费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18.25</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31003</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专用设备购置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hint="default" w:ascii="宋体" w:hAnsi="宋体" w:eastAsia="宋体" w:cs="宋体"/>
                <w:color w:val="000000"/>
                <w:sz w:val="16"/>
                <w:szCs w:val="16"/>
                <w:lang w:val="en-US" w:eastAsia="zh-CN"/>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30109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职业年金缴费</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2.83</w:t>
            </w:r>
          </w:p>
        </w:tc>
        <w:tc>
          <w:tcPr>
            <w:tcW w:w="11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30207</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邮电费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6.36</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31005</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基础设施建设</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hint="default" w:ascii="宋体" w:hAnsi="宋体" w:eastAsia="宋体" w:cs="宋体"/>
                <w:color w:val="000000"/>
                <w:sz w:val="16"/>
                <w:szCs w:val="16"/>
                <w:lang w:val="en-US" w:eastAsia="zh-CN"/>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30110</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职工基本医疗保险缴费</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23.90</w:t>
            </w:r>
          </w:p>
        </w:tc>
        <w:tc>
          <w:tcPr>
            <w:tcW w:w="11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取暖费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31006</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大型修缮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hint="default" w:ascii="宋体" w:hAnsi="宋体" w:eastAsia="宋体" w:cs="宋体"/>
                <w:color w:val="000000"/>
                <w:sz w:val="16"/>
                <w:szCs w:val="16"/>
                <w:lang w:val="en-US" w:eastAsia="zh-CN"/>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公务员医疗补助缴费</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p>
        </w:tc>
        <w:tc>
          <w:tcPr>
            <w:tcW w:w="11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30209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物业管理费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信息网络及软件购置更新</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hint="default" w:ascii="宋体" w:hAnsi="宋体" w:eastAsia="宋体" w:cs="宋体"/>
                <w:color w:val="000000"/>
                <w:sz w:val="16"/>
                <w:szCs w:val="16"/>
                <w:lang w:val="en-US" w:eastAsia="zh-CN"/>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其他社会保障缴费</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p>
        </w:tc>
        <w:tc>
          <w:tcPr>
            <w:tcW w:w="11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差旅费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0.15</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31008</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物资储备</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hint="default" w:ascii="宋体" w:hAnsi="宋体" w:eastAsia="宋体" w:cs="宋体"/>
                <w:color w:val="000000"/>
                <w:sz w:val="16"/>
                <w:szCs w:val="16"/>
                <w:lang w:val="en-US" w:eastAsia="zh-CN"/>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住房公积金</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31.39</w:t>
            </w:r>
          </w:p>
        </w:tc>
        <w:tc>
          <w:tcPr>
            <w:tcW w:w="11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因公出国（境）费用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31009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土地补偿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hint="default" w:ascii="宋体" w:hAnsi="宋体" w:eastAsia="宋体" w:cs="宋体"/>
                <w:color w:val="000000"/>
                <w:sz w:val="16"/>
                <w:szCs w:val="16"/>
                <w:lang w:val="en-US" w:eastAsia="zh-CN"/>
              </w:rPr>
            </w:pPr>
          </w:p>
        </w:tc>
      </w:tr>
      <w:tr>
        <w:tblPrEx>
          <w:tblCellMar>
            <w:top w:w="0" w:type="dxa"/>
            <w:left w:w="0" w:type="dxa"/>
            <w:bottom w:w="0" w:type="dxa"/>
            <w:right w:w="0" w:type="dxa"/>
          </w:tblCellMar>
        </w:tblPrEx>
        <w:trPr>
          <w:trHeight w:val="90"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30114</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医疗费</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p>
        </w:tc>
        <w:tc>
          <w:tcPr>
            <w:tcW w:w="11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30213</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维修（护）费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16.65</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31010</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安置补助</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hint="default" w:ascii="宋体" w:hAnsi="宋体" w:eastAsia="宋体" w:cs="宋体"/>
                <w:color w:val="000000"/>
                <w:sz w:val="16"/>
                <w:szCs w:val="16"/>
                <w:lang w:val="en-US" w:eastAsia="zh-CN"/>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30199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其他工资福利支出</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0.57</w:t>
            </w:r>
          </w:p>
        </w:tc>
        <w:tc>
          <w:tcPr>
            <w:tcW w:w="11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租赁费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31011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地上附着物和青苗补偿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hint="default" w:ascii="宋体" w:hAnsi="宋体" w:eastAsia="宋体" w:cs="宋体"/>
                <w:color w:val="000000"/>
                <w:sz w:val="16"/>
                <w:szCs w:val="16"/>
                <w:lang w:val="en-US" w:eastAsia="zh-CN"/>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对个人和家庭的补助</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12.85</w:t>
            </w:r>
          </w:p>
        </w:tc>
        <w:tc>
          <w:tcPr>
            <w:tcW w:w="11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会议费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31012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拆迁补偿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hint="default" w:ascii="宋体" w:hAnsi="宋体" w:eastAsia="宋体" w:cs="宋体"/>
                <w:color w:val="000000"/>
                <w:sz w:val="16"/>
                <w:szCs w:val="16"/>
                <w:lang w:val="en-US" w:eastAsia="zh-CN"/>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离休费</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p>
        </w:tc>
        <w:tc>
          <w:tcPr>
            <w:tcW w:w="11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培训费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公务用车购置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hint="default" w:ascii="宋体" w:hAnsi="宋体" w:eastAsia="宋体" w:cs="宋体"/>
                <w:color w:val="000000"/>
                <w:sz w:val="16"/>
                <w:szCs w:val="16"/>
                <w:lang w:val="en-US" w:eastAsia="zh-CN"/>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退休费</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0.24</w:t>
            </w:r>
          </w:p>
        </w:tc>
        <w:tc>
          <w:tcPr>
            <w:tcW w:w="11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30217</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公务接待费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0.57</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31019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其他交通工具购置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hint="default" w:ascii="宋体" w:hAnsi="宋体" w:eastAsia="宋体" w:cs="宋体"/>
                <w:color w:val="000000"/>
                <w:sz w:val="16"/>
                <w:szCs w:val="16"/>
                <w:lang w:val="en-US" w:eastAsia="zh-CN"/>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退职（役）费</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p>
        </w:tc>
        <w:tc>
          <w:tcPr>
            <w:tcW w:w="11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30218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专用材料费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31021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文物和陈列品购置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hint="default" w:ascii="宋体" w:hAnsi="宋体" w:eastAsia="宋体" w:cs="宋体"/>
                <w:color w:val="000000"/>
                <w:sz w:val="16"/>
                <w:szCs w:val="16"/>
                <w:lang w:val="en-US" w:eastAsia="zh-CN"/>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30304</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抚恤金</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p>
        </w:tc>
        <w:tc>
          <w:tcPr>
            <w:tcW w:w="11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被装购置费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31022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无形资产购置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hint="default" w:ascii="宋体" w:hAnsi="宋体" w:eastAsia="宋体" w:cs="宋体"/>
                <w:color w:val="000000"/>
                <w:sz w:val="16"/>
                <w:szCs w:val="16"/>
                <w:lang w:val="en-US" w:eastAsia="zh-CN"/>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30305</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生活补助</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9.51</w:t>
            </w:r>
          </w:p>
        </w:tc>
        <w:tc>
          <w:tcPr>
            <w:tcW w:w="11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专用燃料费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31099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其他资本性支出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hint="default" w:ascii="宋体" w:hAnsi="宋体" w:eastAsia="宋体" w:cs="宋体"/>
                <w:color w:val="000000"/>
                <w:sz w:val="16"/>
                <w:szCs w:val="16"/>
                <w:lang w:val="en-US" w:eastAsia="zh-CN"/>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30306</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救济费</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p>
        </w:tc>
        <w:tc>
          <w:tcPr>
            <w:tcW w:w="11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劳务费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其他支出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hint="default" w:ascii="宋体" w:hAnsi="宋体" w:eastAsia="宋体" w:cs="宋体"/>
                <w:color w:val="000000"/>
                <w:sz w:val="16"/>
                <w:szCs w:val="16"/>
                <w:lang w:val="en-US" w:eastAsia="zh-CN"/>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30307</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医疗费补助</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p>
        </w:tc>
        <w:tc>
          <w:tcPr>
            <w:tcW w:w="11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30227</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委托业务费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39906</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赠与</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hint="default" w:ascii="宋体" w:hAnsi="宋体" w:eastAsia="宋体" w:cs="宋体"/>
                <w:color w:val="000000"/>
                <w:sz w:val="16"/>
                <w:szCs w:val="16"/>
                <w:lang w:val="en-US" w:eastAsia="zh-CN"/>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30308</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助学金</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p>
        </w:tc>
        <w:tc>
          <w:tcPr>
            <w:tcW w:w="11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工会经费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39907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国家赔偿费用支出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hint="default" w:ascii="宋体" w:hAnsi="宋体" w:eastAsia="宋体" w:cs="宋体"/>
                <w:color w:val="000000"/>
                <w:sz w:val="16"/>
                <w:szCs w:val="16"/>
                <w:lang w:val="en-US" w:eastAsia="zh-CN"/>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30309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奖励金</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0.30</w:t>
            </w:r>
          </w:p>
        </w:tc>
        <w:tc>
          <w:tcPr>
            <w:tcW w:w="11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30229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福利费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39908</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w:t>
            </w:r>
            <w:r>
              <w:rPr>
                <w:rFonts w:hint="eastAsia" w:ascii="宋体" w:hAnsi="宋体" w:eastAsia="宋体" w:cs="宋体"/>
                <w:color w:val="000000"/>
                <w:kern w:val="0"/>
                <w:sz w:val="15"/>
                <w:szCs w:val="15"/>
                <w:lang w:bidi="ar"/>
              </w:rPr>
              <w:t>对民间非营利组织和群众性自治组织补贴</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hint="default" w:ascii="宋体" w:hAnsi="宋体" w:eastAsia="宋体" w:cs="宋体"/>
                <w:color w:val="000000"/>
                <w:sz w:val="16"/>
                <w:szCs w:val="16"/>
                <w:lang w:val="en-US" w:eastAsia="zh-CN"/>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30310</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个人农业生产补贴</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p>
        </w:tc>
        <w:tc>
          <w:tcPr>
            <w:tcW w:w="11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30231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公务用车运行维护费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23.33</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39999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hint="default" w:ascii="宋体" w:hAnsi="宋体" w:eastAsia="宋体" w:cs="宋体"/>
                <w:color w:val="000000"/>
                <w:sz w:val="16"/>
                <w:szCs w:val="16"/>
                <w:lang w:val="en-US" w:eastAsia="zh-CN"/>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30399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其他对个人和家庭的补助</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2.80</w:t>
            </w:r>
          </w:p>
        </w:tc>
        <w:tc>
          <w:tcPr>
            <w:tcW w:w="11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30239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其他交通费用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16.52</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11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30240</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税金及附加费用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11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30299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 xml:space="preserve">  其他商品和服务支出</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6.51</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3728"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人员经费合计</w:t>
            </w:r>
          </w:p>
        </w:tc>
        <w:tc>
          <w:tcPr>
            <w:tcW w:w="104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537.79</w:t>
            </w:r>
          </w:p>
        </w:tc>
        <w:tc>
          <w:tcPr>
            <w:tcW w:w="8502"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lang w:bidi="ar"/>
              </w:rPr>
              <w:t>公用经费合计</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hint="default" w:ascii="宋体" w:hAnsi="宋体" w:eastAsia="宋体" w:cs="宋体"/>
                <w:color w:val="000000"/>
                <w:sz w:val="16"/>
                <w:szCs w:val="16"/>
                <w:lang w:val="en-US" w:eastAsia="zh-CN"/>
              </w:rPr>
            </w:pPr>
            <w:r>
              <w:rPr>
                <w:rFonts w:hint="eastAsia" w:ascii="宋体" w:hAnsi="宋体" w:eastAsia="宋体" w:cs="宋体"/>
                <w:color w:val="000000"/>
                <w:sz w:val="16"/>
                <w:szCs w:val="16"/>
                <w:lang w:val="en-US" w:eastAsia="zh-CN"/>
              </w:rPr>
              <w:t>110.17</w:t>
            </w:r>
          </w:p>
        </w:tc>
      </w:tr>
    </w:tbl>
    <w:p>
      <w:pPr>
        <w:widowControl/>
        <w:jc w:val="center"/>
        <w:textAlignment w:val="center"/>
        <w:sectPr>
          <w:pgSz w:w="16838" w:h="11906" w:orient="landscape"/>
          <w:pgMar w:top="1531" w:right="2098" w:bottom="1531" w:left="1984" w:header="851" w:footer="992" w:gutter="0"/>
          <w:cols w:space="425" w:num="1"/>
          <w:docGrid w:type="lines" w:linePitch="312" w:charSpace="0"/>
        </w:sectPr>
      </w:pPr>
    </w:p>
    <w:tbl>
      <w:tblPr>
        <w:tblStyle w:val="5"/>
        <w:tblW w:w="9220" w:type="dxa"/>
        <w:jc w:val="center"/>
        <w:tblLayout w:type="fixed"/>
        <w:tblCellMar>
          <w:top w:w="0" w:type="dxa"/>
          <w:left w:w="0" w:type="dxa"/>
          <w:bottom w:w="0" w:type="dxa"/>
          <w:right w:w="0" w:type="dxa"/>
        </w:tblCellMar>
      </w:tblPr>
      <w:tblGrid>
        <w:gridCol w:w="1267"/>
        <w:gridCol w:w="1686"/>
        <w:gridCol w:w="1565"/>
        <w:gridCol w:w="1565"/>
        <w:gridCol w:w="1565"/>
        <w:gridCol w:w="1572"/>
      </w:tblGrid>
      <w:tr>
        <w:tblPrEx>
          <w:tblCellMar>
            <w:top w:w="0" w:type="dxa"/>
            <w:left w:w="0" w:type="dxa"/>
            <w:bottom w:w="0" w:type="dxa"/>
            <w:right w:w="0" w:type="dxa"/>
          </w:tblCellMar>
        </w:tblPrEx>
        <w:trPr>
          <w:trHeight w:val="638" w:hRule="atLeast"/>
          <w:jc w:val="center"/>
        </w:trPr>
        <w:tc>
          <w:tcPr>
            <w:tcW w:w="9220" w:type="dxa"/>
            <w:gridSpan w:val="6"/>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sz w:val="28"/>
                <w:szCs w:val="28"/>
              </w:rPr>
              <w:br w:type="page"/>
            </w:r>
            <w:r>
              <w:rPr>
                <w:rFonts w:hint="eastAsia" w:ascii="黑体" w:hAnsi="宋体" w:eastAsia="黑体" w:cs="黑体"/>
                <w:color w:val="000000"/>
                <w:kern w:val="0"/>
                <w:sz w:val="28"/>
                <w:szCs w:val="28"/>
                <w:lang w:bidi="ar"/>
              </w:rPr>
              <w:t>一般公共预算财政拨款“三公”经费支出决算表</w:t>
            </w:r>
          </w:p>
        </w:tc>
      </w:tr>
      <w:tr>
        <w:tblPrEx>
          <w:tblCellMar>
            <w:top w:w="0" w:type="dxa"/>
            <w:left w:w="0" w:type="dxa"/>
            <w:bottom w:w="0" w:type="dxa"/>
            <w:right w:w="0" w:type="dxa"/>
          </w:tblCellMar>
        </w:tblPrEx>
        <w:trPr>
          <w:trHeight w:val="360" w:hRule="atLeast"/>
          <w:jc w:val="center"/>
        </w:trPr>
        <w:tc>
          <w:tcPr>
            <w:tcW w:w="126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68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72"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公开07表</w:t>
            </w:r>
          </w:p>
        </w:tc>
      </w:tr>
      <w:tr>
        <w:tblPrEx>
          <w:tblCellMar>
            <w:top w:w="0" w:type="dxa"/>
            <w:left w:w="0" w:type="dxa"/>
            <w:bottom w:w="0" w:type="dxa"/>
            <w:right w:w="0" w:type="dxa"/>
          </w:tblCellMar>
        </w:tblPrEx>
        <w:trPr>
          <w:trHeight w:val="360" w:hRule="atLeast"/>
          <w:jc w:val="center"/>
        </w:trPr>
        <w:tc>
          <w:tcPr>
            <w:tcW w:w="1267"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部门：</w:t>
            </w:r>
          </w:p>
        </w:tc>
        <w:tc>
          <w:tcPr>
            <w:tcW w:w="168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72"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blPrEx>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预算数</w:t>
            </w:r>
          </w:p>
        </w:tc>
      </w:tr>
      <w:tr>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合计</w:t>
            </w:r>
          </w:p>
        </w:tc>
        <w:tc>
          <w:tcPr>
            <w:tcW w:w="1686" w:type="dxa"/>
            <w:vMerge w:val="restart"/>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因公出国（境）费</w:t>
            </w:r>
          </w:p>
        </w:tc>
        <w:tc>
          <w:tcPr>
            <w:tcW w:w="4695" w:type="dxa"/>
            <w:gridSpan w:val="3"/>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公务用车购置及运行费</w:t>
            </w:r>
          </w:p>
        </w:tc>
        <w:tc>
          <w:tcPr>
            <w:tcW w:w="1572" w:type="dxa"/>
            <w:vMerge w:val="restart"/>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 w:val="20"/>
                <w:szCs w:val="21"/>
                <w:lang w:bidi="ar"/>
              </w:rPr>
              <w:t>公务接待费</w:t>
            </w:r>
          </w:p>
        </w:tc>
      </w:tr>
      <w:tr>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c>
          <w:tcPr>
            <w:tcW w:w="168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小计</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公务用车购置费</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公务用车运行费</w:t>
            </w:r>
          </w:p>
        </w:tc>
        <w:tc>
          <w:tcPr>
            <w:tcW w:w="1572" w:type="dxa"/>
            <w:vMerge w:val="continue"/>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w:t>
            </w:r>
          </w:p>
        </w:tc>
        <w:tc>
          <w:tcPr>
            <w:tcW w:w="16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2</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3</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4</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5</w:t>
            </w:r>
          </w:p>
        </w:tc>
        <w:tc>
          <w:tcPr>
            <w:tcW w:w="1572"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6</w:t>
            </w: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25.19</w:t>
            </w:r>
          </w:p>
        </w:tc>
        <w:tc>
          <w:tcPr>
            <w:tcW w:w="1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21"/>
                <w:szCs w:val="21"/>
              </w:rPr>
            </w:pP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24.00</w:t>
            </w: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21"/>
                <w:szCs w:val="21"/>
              </w:rPr>
            </w:pP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24.00</w:t>
            </w:r>
          </w:p>
        </w:tc>
        <w:tc>
          <w:tcPr>
            <w:tcW w:w="1572" w:type="dxa"/>
            <w:tcBorders>
              <w:top w:val="nil"/>
              <w:left w:val="nil"/>
              <w:bottom w:val="single" w:color="000000"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1.19</w:t>
            </w:r>
          </w:p>
        </w:tc>
      </w:tr>
      <w:tr>
        <w:tblPrEx>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决算数</w:t>
            </w:r>
          </w:p>
        </w:tc>
      </w:tr>
      <w:tr>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合计</w:t>
            </w:r>
          </w:p>
        </w:tc>
        <w:tc>
          <w:tcPr>
            <w:tcW w:w="1686" w:type="dxa"/>
            <w:vMerge w:val="restart"/>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因公出国（境）费</w:t>
            </w:r>
          </w:p>
        </w:tc>
        <w:tc>
          <w:tcPr>
            <w:tcW w:w="4695" w:type="dxa"/>
            <w:gridSpan w:val="3"/>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公务用车购置及运行费</w:t>
            </w:r>
          </w:p>
        </w:tc>
        <w:tc>
          <w:tcPr>
            <w:tcW w:w="1572" w:type="dxa"/>
            <w:vMerge w:val="restart"/>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公务接待费</w:t>
            </w:r>
          </w:p>
        </w:tc>
      </w:tr>
      <w:tr>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68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lang w:bidi="ar"/>
              </w:rPr>
              <w:t>小计</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lang w:bidi="ar"/>
              </w:rPr>
              <w:t>公务用车购置费</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lang w:bidi="ar"/>
              </w:rPr>
              <w:t>公务用车运行费</w:t>
            </w:r>
          </w:p>
        </w:tc>
        <w:tc>
          <w:tcPr>
            <w:tcW w:w="1572" w:type="dxa"/>
            <w:vMerge w:val="continue"/>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7</w:t>
            </w:r>
          </w:p>
        </w:tc>
        <w:tc>
          <w:tcPr>
            <w:tcW w:w="16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8</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9</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10</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11</w:t>
            </w:r>
          </w:p>
        </w:tc>
        <w:tc>
          <w:tcPr>
            <w:tcW w:w="1572"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12</w:t>
            </w:r>
          </w:p>
        </w:tc>
      </w:tr>
      <w:tr>
        <w:tblPrEx>
          <w:tblCellMar>
            <w:top w:w="0" w:type="dxa"/>
            <w:left w:w="0" w:type="dxa"/>
            <w:bottom w:w="0" w:type="dxa"/>
            <w:right w:w="0" w:type="dxa"/>
          </w:tblCellMar>
        </w:tblPrEx>
        <w:trPr>
          <w:trHeight w:val="447" w:hRule="atLeast"/>
          <w:jc w:val="center"/>
        </w:trPr>
        <w:tc>
          <w:tcPr>
            <w:tcW w:w="1267" w:type="dxa"/>
            <w:tcBorders>
              <w:top w:val="nil"/>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23.90</w:t>
            </w:r>
          </w:p>
        </w:tc>
        <w:tc>
          <w:tcPr>
            <w:tcW w:w="1686"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21"/>
                <w:szCs w:val="21"/>
              </w:rPr>
            </w:pP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23.33</w:t>
            </w: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21"/>
                <w:szCs w:val="21"/>
              </w:rPr>
            </w:pP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23.33</w:t>
            </w:r>
          </w:p>
        </w:tc>
        <w:tc>
          <w:tcPr>
            <w:tcW w:w="1572"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ascii="宋体" w:hAnsi="宋体" w:eastAsia="宋体" w:cs="宋体"/>
                <w:color w:val="000000"/>
                <w:sz w:val="21"/>
                <w:szCs w:val="21"/>
              </w:rPr>
            </w:pPr>
            <w:r>
              <w:rPr>
                <w:rFonts w:hint="eastAsia" w:ascii="宋体" w:hAnsi="宋体" w:eastAsia="宋体" w:cs="宋体"/>
                <w:i w:val="0"/>
                <w:iCs w:val="0"/>
                <w:color w:val="000000"/>
                <w:kern w:val="0"/>
                <w:sz w:val="21"/>
                <w:szCs w:val="21"/>
                <w:u w:val="none"/>
                <w:lang w:val="en-US" w:eastAsia="zh-CN" w:bidi="ar"/>
              </w:rPr>
              <w:t>0.57</w:t>
            </w:r>
          </w:p>
        </w:tc>
      </w:tr>
    </w:tbl>
    <w:p>
      <w:r>
        <w:rPr>
          <w:rFonts w:hint="eastAsia" w:ascii="宋体" w:hAnsi="宋体" w:eastAsia="宋体" w:cs="宋体"/>
          <w:sz w:val="20"/>
          <w:szCs w:val="22"/>
        </w:rPr>
        <w:t>注：本表反映部门本年度“三公”经费支出预决算情况。其中：预算数为“三公”经费</w:t>
      </w:r>
      <w:r>
        <w:rPr>
          <w:rFonts w:hint="eastAsia" w:ascii="宋体" w:hAnsi="宋体" w:eastAsia="宋体" w:cs="宋体"/>
          <w:b/>
          <w:sz w:val="20"/>
          <w:szCs w:val="22"/>
        </w:rPr>
        <w:t>全年预算数</w:t>
      </w:r>
      <w:r>
        <w:rPr>
          <w:rFonts w:hint="eastAsia" w:ascii="宋体" w:hAnsi="宋体" w:eastAsia="宋体" w:cs="宋体"/>
          <w:sz w:val="20"/>
          <w:szCs w:val="22"/>
        </w:rPr>
        <w:t>，反映按规定程序调整后的预算数；决算数是包括当年一般公共预算财政拨款和以前年度结转资金安排的实际支出。</w:t>
      </w:r>
      <w:r>
        <w:rPr>
          <w:rFonts w:hint="eastAsia" w:ascii="仿宋_GB2312" w:hAnsi="仿宋_GB2312" w:eastAsia="仿宋_GB2312" w:cs="仿宋_GB2312"/>
          <w:sz w:val="20"/>
          <w:szCs w:val="22"/>
        </w:rPr>
        <w:tab/>
      </w:r>
      <w:r>
        <w:rPr>
          <w:sz w:val="20"/>
          <w:szCs w:val="22"/>
        </w:rPr>
        <w:tab/>
      </w:r>
      <w:r>
        <w:tab/>
      </w:r>
      <w:r>
        <w:tab/>
      </w:r>
      <w:r>
        <w:tab/>
      </w:r>
      <w:r>
        <w:tab/>
      </w:r>
      <w:r>
        <w:tab/>
      </w:r>
      <w:r>
        <w:tab/>
      </w:r>
      <w:r>
        <w:tab/>
      </w:r>
      <w:r>
        <w:tab/>
      </w:r>
      <w:r>
        <w:tab/>
      </w:r>
      <w:r>
        <w:br w:type="page"/>
      </w:r>
    </w:p>
    <w:tbl>
      <w:tblPr>
        <w:tblStyle w:val="5"/>
        <w:tblW w:w="9510" w:type="dxa"/>
        <w:jc w:val="center"/>
        <w:tblLayout w:type="autofit"/>
        <w:tblCellMar>
          <w:top w:w="0" w:type="dxa"/>
          <w:left w:w="0" w:type="dxa"/>
          <w:bottom w:w="0" w:type="dxa"/>
          <w:right w:w="0" w:type="dxa"/>
        </w:tblCellMar>
      </w:tblPr>
      <w:tblGrid>
        <w:gridCol w:w="966"/>
        <w:gridCol w:w="61"/>
        <w:gridCol w:w="61"/>
        <w:gridCol w:w="1407"/>
        <w:gridCol w:w="1169"/>
        <w:gridCol w:w="1169"/>
        <w:gridCol w:w="1169"/>
        <w:gridCol w:w="1169"/>
        <w:gridCol w:w="1169"/>
        <w:gridCol w:w="1170"/>
      </w:tblGrid>
      <w:tr>
        <w:tblPrEx>
          <w:tblCellMar>
            <w:top w:w="0" w:type="dxa"/>
            <w:left w:w="0" w:type="dxa"/>
            <w:bottom w:w="0" w:type="dxa"/>
            <w:right w:w="0" w:type="dxa"/>
          </w:tblCellMar>
        </w:tblPrEx>
        <w:trPr>
          <w:trHeight w:val="780" w:hRule="atLeast"/>
          <w:jc w:val="center"/>
        </w:trPr>
        <w:tc>
          <w:tcPr>
            <w:tcW w:w="9510" w:type="dxa"/>
            <w:gridSpan w:val="10"/>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lang w:bidi="ar"/>
              </w:rPr>
              <w:t>政府性基金预算财政拨款收入支出决算表</w:t>
            </w:r>
          </w:p>
        </w:tc>
      </w:tr>
      <w:tr>
        <w:tblPrEx>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公开08表</w:t>
            </w:r>
          </w:p>
        </w:tc>
      </w:tr>
      <w:tr>
        <w:tblPrEx>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部门：</w:t>
            </w: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lang w:bidi="ar"/>
              </w:rPr>
              <w:t>金额单位：万元</w:t>
            </w:r>
          </w:p>
        </w:tc>
      </w:tr>
      <w:tr>
        <w:tblPrEx>
          <w:tblCellMar>
            <w:top w:w="0" w:type="dxa"/>
            <w:left w:w="0" w:type="dxa"/>
            <w:bottom w:w="0" w:type="dxa"/>
            <w:right w:w="0" w:type="dxa"/>
          </w:tblCellMar>
        </w:tblPrEx>
        <w:trPr>
          <w:trHeight w:val="308" w:hRule="atLeast"/>
          <w:jc w:val="center"/>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项目</w:t>
            </w:r>
          </w:p>
        </w:tc>
        <w:tc>
          <w:tcPr>
            <w:tcW w:w="115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年初结转和结余</w:t>
            </w:r>
          </w:p>
        </w:tc>
        <w:tc>
          <w:tcPr>
            <w:tcW w:w="115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本年收入</w:t>
            </w:r>
          </w:p>
        </w:tc>
        <w:tc>
          <w:tcPr>
            <w:tcW w:w="3450"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本年支出</w:t>
            </w:r>
          </w:p>
        </w:tc>
        <w:tc>
          <w:tcPr>
            <w:tcW w:w="115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年末结转和结余</w:t>
            </w:r>
          </w:p>
        </w:tc>
      </w:tr>
      <w:tr>
        <w:tblPrEx>
          <w:tblCellMar>
            <w:top w:w="0" w:type="dxa"/>
            <w:left w:w="0" w:type="dxa"/>
            <w:bottom w:w="0" w:type="dxa"/>
            <w:right w:w="0" w:type="dxa"/>
          </w:tblCellMar>
        </w:tblPrEx>
        <w:trPr>
          <w:trHeight w:val="312" w:hRule="atLeast"/>
          <w:jc w:val="center"/>
        </w:trPr>
        <w:tc>
          <w:tcPr>
            <w:tcW w:w="1136"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功能分类科目编码</w:t>
            </w:r>
          </w:p>
        </w:tc>
        <w:tc>
          <w:tcPr>
            <w:tcW w:w="0" w:type="auto"/>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科目名称</w:t>
            </w: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小计</w:t>
            </w:r>
          </w:p>
        </w:tc>
        <w:tc>
          <w:tcPr>
            <w:tcW w:w="115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基本支出</w:t>
            </w:r>
          </w:p>
        </w:tc>
        <w:tc>
          <w:tcPr>
            <w:tcW w:w="115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项目支出</w:t>
            </w: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12" w:hRule="atLeast"/>
          <w:jc w:val="center"/>
        </w:trPr>
        <w:tc>
          <w:tcPr>
            <w:tcW w:w="113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0" w:type="auto"/>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12" w:hRule="atLeast"/>
          <w:jc w:val="center"/>
        </w:trPr>
        <w:tc>
          <w:tcPr>
            <w:tcW w:w="113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0" w:type="auto"/>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栏次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3</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6</w:t>
            </w:r>
          </w:p>
        </w:tc>
      </w:tr>
      <w:tr>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lang w:bidi="ar"/>
              </w:rPr>
              <w:t>合计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bl>
    <w:p>
      <w:pPr>
        <w:rPr>
          <w:rFonts w:hint="eastAsia" w:ascii="宋体" w:hAnsi="宋体" w:eastAsia="宋体" w:cs="宋体"/>
          <w:sz w:val="20"/>
          <w:szCs w:val="22"/>
        </w:rPr>
      </w:pPr>
      <w:r>
        <w:rPr>
          <w:rFonts w:hint="eastAsia" w:ascii="宋体" w:hAnsi="宋体" w:eastAsia="宋体" w:cs="宋体"/>
          <w:sz w:val="20"/>
          <w:szCs w:val="22"/>
        </w:rPr>
        <w:t>注：本表反映部门本年度政府性基金预算财政拨款收入、支出及结转结余情况。</w:t>
      </w:r>
    </w:p>
    <w:p>
      <w:pPr>
        <w:rPr>
          <w:b/>
          <w:sz w:val="20"/>
          <w:szCs w:val="22"/>
          <w:highlight w:val="yellow"/>
        </w:rPr>
      </w:pPr>
      <w:r>
        <w:rPr>
          <w:rFonts w:hint="eastAsia"/>
          <w:b w:val="0"/>
          <w:bCs/>
          <w:color w:val="auto"/>
          <w:sz w:val="20"/>
          <w:szCs w:val="22"/>
          <w:highlight w:val="none"/>
        </w:rPr>
        <w:t>本部门本年度无相关收入（或支出、收支及结转结余等）情况，按要求空表列示。</w:t>
      </w:r>
      <w:r>
        <w:rPr>
          <w:b/>
          <w:sz w:val="20"/>
          <w:szCs w:val="22"/>
          <w:highlight w:val="yellow"/>
        </w:rPr>
        <w:br w:type="page"/>
      </w:r>
    </w:p>
    <w:tbl>
      <w:tblPr>
        <w:tblStyle w:val="5"/>
        <w:tblW w:w="9064" w:type="dxa"/>
        <w:tblInd w:w="0" w:type="dxa"/>
        <w:tblLayout w:type="autofit"/>
        <w:tblCellMar>
          <w:top w:w="0" w:type="dxa"/>
          <w:left w:w="0" w:type="dxa"/>
          <w:bottom w:w="0" w:type="dxa"/>
          <w:right w:w="0" w:type="dxa"/>
        </w:tblCellMar>
      </w:tblPr>
      <w:tblGrid>
        <w:gridCol w:w="630"/>
        <w:gridCol w:w="661"/>
        <w:gridCol w:w="177"/>
        <w:gridCol w:w="2780"/>
        <w:gridCol w:w="1138"/>
        <w:gridCol w:w="296"/>
        <w:gridCol w:w="1421"/>
        <w:gridCol w:w="1417"/>
        <w:gridCol w:w="544"/>
      </w:tblGrid>
      <w:tr>
        <w:tblPrEx>
          <w:tblCellMar>
            <w:top w:w="0" w:type="dxa"/>
            <w:left w:w="0" w:type="dxa"/>
            <w:bottom w:w="0" w:type="dxa"/>
            <w:right w:w="0" w:type="dxa"/>
          </w:tblCellMar>
        </w:tblPrEx>
        <w:trPr>
          <w:gridAfter w:val="1"/>
          <w:wAfter w:w="544" w:type="dxa"/>
          <w:trHeight w:val="824" w:hRule="atLeast"/>
        </w:trPr>
        <w:tc>
          <w:tcPr>
            <w:tcW w:w="8520" w:type="dxa"/>
            <w:gridSpan w:val="8"/>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lang w:bidi="ar"/>
              </w:rPr>
              <w:t>国有资本经营预算财政拨款支出决算表</w:t>
            </w:r>
          </w:p>
        </w:tc>
      </w:tr>
      <w:tr>
        <w:tblPrEx>
          <w:tblCellMar>
            <w:top w:w="0" w:type="dxa"/>
            <w:left w:w="0" w:type="dxa"/>
            <w:bottom w:w="0" w:type="dxa"/>
            <w:right w:w="0" w:type="dxa"/>
          </w:tblCellMar>
        </w:tblPrEx>
        <w:trPr>
          <w:trHeight w:val="250" w:hRule="atLeast"/>
        </w:trPr>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6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7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918"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678" w:type="dxa"/>
            <w:gridSpan w:val="4"/>
            <w:vMerge w:val="restart"/>
            <w:tcBorders>
              <w:top w:val="nil"/>
              <w:left w:val="nil"/>
              <w:right w:val="nil"/>
            </w:tcBorders>
            <w:shd w:val="clear" w:color="auto" w:fill="auto"/>
            <w:noWrap/>
            <w:tcMar>
              <w:top w:w="15" w:type="dxa"/>
              <w:left w:w="15" w:type="dxa"/>
              <w:right w:w="15" w:type="dxa"/>
            </w:tcMar>
            <w:vAlign w:val="bottom"/>
          </w:tcPr>
          <w:p>
            <w:pPr>
              <w:widowControl/>
              <w:ind w:firstLine="1800" w:firstLineChars="900"/>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公开09表</w:t>
            </w:r>
          </w:p>
          <w:p>
            <w:pPr>
              <w:ind w:right="400" w:firstLine="1300" w:firstLineChars="650"/>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金额单位：万元</w:t>
            </w:r>
          </w:p>
        </w:tc>
      </w:tr>
      <w:tr>
        <w:tblPrEx>
          <w:tblCellMar>
            <w:top w:w="0" w:type="dxa"/>
            <w:left w:w="0" w:type="dxa"/>
            <w:bottom w:w="0" w:type="dxa"/>
            <w:right w:w="0" w:type="dxa"/>
          </w:tblCellMar>
        </w:tblPrEx>
        <w:trPr>
          <w:trHeight w:val="250" w:hRule="atLeast"/>
        </w:trPr>
        <w:tc>
          <w:tcPr>
            <w:tcW w:w="0" w:type="auto"/>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lang w:bidi="ar"/>
              </w:rPr>
              <w:t>部门：</w:t>
            </w:r>
          </w:p>
        </w:tc>
        <w:tc>
          <w:tcPr>
            <w:tcW w:w="6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7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918"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678" w:type="dxa"/>
            <w:gridSpan w:val="4"/>
            <w:vMerge w:val="continue"/>
            <w:tcBorders>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p>
        </w:tc>
      </w:tr>
      <w:tr>
        <w:tblPrEx>
          <w:tblCellMar>
            <w:top w:w="0" w:type="dxa"/>
            <w:left w:w="0" w:type="dxa"/>
            <w:bottom w:w="0" w:type="dxa"/>
            <w:right w:w="0" w:type="dxa"/>
          </w:tblCellMar>
        </w:tblPrEx>
        <w:trPr>
          <w:gridAfter w:val="1"/>
          <w:wAfter w:w="544" w:type="dxa"/>
          <w:trHeight w:val="302" w:hRule="atLeast"/>
        </w:trPr>
        <w:tc>
          <w:tcPr>
            <w:tcW w:w="4248"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科目</w:t>
            </w:r>
          </w:p>
        </w:tc>
        <w:tc>
          <w:tcPr>
            <w:tcW w:w="4272" w:type="dxa"/>
            <w:gridSpan w:val="4"/>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本年支出</w:t>
            </w:r>
          </w:p>
        </w:tc>
      </w:tr>
      <w:tr>
        <w:tblPrEx>
          <w:tblCellMar>
            <w:top w:w="0" w:type="dxa"/>
            <w:left w:w="0" w:type="dxa"/>
            <w:bottom w:w="0" w:type="dxa"/>
            <w:right w:w="0" w:type="dxa"/>
          </w:tblCellMar>
        </w:tblPrEx>
        <w:trPr>
          <w:gridAfter w:val="1"/>
          <w:wAfter w:w="544" w:type="dxa"/>
          <w:trHeight w:val="604" w:hRule="atLeast"/>
        </w:trPr>
        <w:tc>
          <w:tcPr>
            <w:tcW w:w="1291"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功能分类科目编码</w:t>
            </w:r>
          </w:p>
        </w:tc>
        <w:tc>
          <w:tcPr>
            <w:tcW w:w="295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科目名称</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小计</w:t>
            </w: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基本支出</w:t>
            </w: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lang w:bidi="ar"/>
              </w:rPr>
              <w:t>项目支出</w:t>
            </w:r>
          </w:p>
        </w:tc>
      </w:tr>
      <w:tr>
        <w:tblPrEx>
          <w:tblCellMar>
            <w:top w:w="0" w:type="dxa"/>
            <w:left w:w="0" w:type="dxa"/>
            <w:bottom w:w="0" w:type="dxa"/>
            <w:right w:w="0" w:type="dxa"/>
          </w:tblCellMar>
        </w:tblPrEx>
        <w:trPr>
          <w:gridAfter w:val="1"/>
          <w:wAfter w:w="544" w:type="dxa"/>
          <w:trHeight w:val="302" w:hRule="atLeast"/>
        </w:trPr>
        <w:tc>
          <w:tcPr>
            <w:tcW w:w="424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栏次</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1</w:t>
            </w: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2</w:t>
            </w: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3</w:t>
            </w:r>
          </w:p>
        </w:tc>
      </w:tr>
      <w:tr>
        <w:tblPrEx>
          <w:tblCellMar>
            <w:top w:w="0" w:type="dxa"/>
            <w:left w:w="0" w:type="dxa"/>
            <w:bottom w:w="0" w:type="dxa"/>
            <w:right w:w="0" w:type="dxa"/>
          </w:tblCellMar>
        </w:tblPrEx>
        <w:trPr>
          <w:gridAfter w:val="1"/>
          <w:wAfter w:w="544" w:type="dxa"/>
          <w:trHeight w:val="302" w:hRule="atLeast"/>
        </w:trPr>
        <w:tc>
          <w:tcPr>
            <w:tcW w:w="424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lang w:bidi="ar"/>
              </w:rPr>
              <w:t>合计</w:t>
            </w: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129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957"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143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bl>
    <w:p>
      <w:pPr>
        <w:rPr>
          <w:rFonts w:hint="eastAsia" w:ascii="宋体" w:hAnsi="宋体" w:eastAsia="宋体" w:cs="宋体"/>
        </w:rPr>
      </w:pPr>
      <w:r>
        <w:rPr>
          <w:rFonts w:hint="eastAsia" w:ascii="宋体" w:hAnsi="宋体" w:eastAsia="宋体" w:cs="宋体"/>
        </w:rPr>
        <w:t>注：本表反映部门本年度国有资本经营预算财政拨款收入、支出及结转结余情况。</w:t>
      </w:r>
    </w:p>
    <w:p>
      <w:pPr>
        <w:rPr>
          <w:rFonts w:hint="eastAsia" w:ascii="宋体" w:hAnsi="宋体" w:eastAsia="宋体" w:cs="宋体"/>
        </w:rPr>
      </w:pPr>
      <w:r>
        <w:rPr>
          <w:rFonts w:hint="eastAsia"/>
          <w:b w:val="0"/>
          <w:bCs/>
          <w:color w:val="auto"/>
          <w:sz w:val="20"/>
          <w:szCs w:val="22"/>
          <w:highlight w:val="none"/>
        </w:rPr>
        <w:t>本部门本年度无相关收入（或支出、收支及结转结余等）情况，按要求空表列示。</w:t>
      </w: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rPr>
          <w:rFonts w:ascii="黑体" w:hAnsi="黑体" w:eastAsia="黑体" w:cs="黑体"/>
          <w:sz w:val="56"/>
          <w:szCs w:val="72"/>
        </w:rPr>
      </w:pPr>
    </w:p>
    <w:p>
      <w:pPr>
        <w:tabs>
          <w:tab w:val="left" w:pos="235"/>
        </w:tabs>
        <w:spacing w:line="600" w:lineRule="exact"/>
        <w:ind w:firstLine="640" w:firstLineChars="200"/>
        <w:jc w:val="left"/>
        <w:rPr>
          <w:rFonts w:hint="eastAsia" w:ascii="仿宋_GB2312" w:hAnsi="Cambria" w:eastAsia="仿宋_GB2312" w:cs="Arial Black"/>
          <w:kern w:val="0"/>
          <w:sz w:val="32"/>
          <w:szCs w:val="32"/>
        </w:rPr>
        <w:sectPr>
          <w:pgSz w:w="11906" w:h="16838"/>
          <w:pgMar w:top="1984" w:right="1531" w:bottom="2098" w:left="1531" w:header="851" w:footer="992" w:gutter="0"/>
          <w:cols w:space="425" w:num="1"/>
          <w:docGrid w:type="lines" w:linePitch="312" w:charSpace="0"/>
        </w:sectPr>
      </w:pPr>
    </w:p>
    <w:p>
      <w:pPr>
        <w:tabs>
          <w:tab w:val="left" w:pos="235"/>
        </w:tabs>
        <w:spacing w:line="600" w:lineRule="exact"/>
        <w:ind w:firstLine="640" w:firstLineChars="200"/>
        <w:jc w:val="left"/>
        <w:rPr>
          <w:rFonts w:ascii="仿宋_GB2312" w:hAnsi="Cambria" w:eastAsia="仿宋_GB2312" w:cs="Arial Black"/>
          <w:kern w:val="0"/>
          <w:sz w:val="32"/>
          <w:szCs w:val="32"/>
        </w:rPr>
      </w:pPr>
      <w:r>
        <w:rPr>
          <w:sz w:val="32"/>
        </w:rPr>
        <mc:AlternateContent>
          <mc:Choice Requires="wps">
            <w:drawing>
              <wp:anchor distT="0" distB="0" distL="114300" distR="114300" simplePos="0" relativeHeight="251665408" behindDoc="0" locked="0" layoutInCell="1" allowOverlap="1">
                <wp:simplePos x="0" y="0"/>
                <wp:positionH relativeFrom="column">
                  <wp:posOffset>-993140</wp:posOffset>
                </wp:positionH>
                <wp:positionV relativeFrom="paragraph">
                  <wp:posOffset>-1353820</wp:posOffset>
                </wp:positionV>
                <wp:extent cx="7632700" cy="10695940"/>
                <wp:effectExtent l="0" t="0" r="2540" b="2540"/>
                <wp:wrapNone/>
                <wp:docPr id="3" name="矩形 3"/>
                <wp:cNvGraphicFramePr/>
                <a:graphic xmlns:a="http://schemas.openxmlformats.org/drawingml/2006/main">
                  <a:graphicData uri="http://schemas.microsoft.com/office/word/2010/wordprocessingShape">
                    <wps:wsp>
                      <wps:cNvSpPr/>
                      <wps:spPr>
                        <a:xfrm>
                          <a:off x="697865" y="1375410"/>
                          <a:ext cx="7632700" cy="1069594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8.2pt;margin-top:-106.6pt;height:842.2pt;width:601pt;z-index:251665408;v-text-anchor:middle;mso-width-relative:page;mso-height-relative:page;" fillcolor="#BDD7EE [1300]" filled="t" stroked="f" coordsize="21600,21600" o:gfxdata="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AaR&#10;7+fcAAAADwEAAA8AAAAAAAAAAQAgAAAAIgAAAGRycy9kb3ducmV2LnhtbFBLAQIUABQAAAAIAIdO&#10;4kBIxKP9kQIAABEFAAAOAAAAAAAAAAEAIAAAACsBAABkcnMvZTJvRG9jLnhtbFBLBQYAAAAABgAG&#10;AFkBAAAuBgAAAAA=&#10;">
                <v:fill on="t" focussize="0,0"/>
                <v:stroke on="f" weight="1pt" miterlimit="8" joinstyle="miter"/>
                <v:imagedata o:title=""/>
                <o:lock v:ext="edit" aspectratio="f"/>
              </v:rect>
            </w:pict>
          </mc:Fallback>
        </mc:AlternateContent>
      </w:r>
    </w:p>
    <w:sectPr>
      <w:pgSz w:w="11906" w:h="16838"/>
      <w:pgMar w:top="2098" w:right="1531" w:bottom="1984"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
    <w:altName w:val="宋体"/>
    <w:panose1 w:val="00000000000000000000"/>
    <w:charset w:val="86"/>
    <w:family w:val="roma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Arial Black">
    <w:panose1 w:val="020B0A04020102020204"/>
    <w:charset w:val="00"/>
    <w:family w:val="swiss"/>
    <w:pitch w:val="default"/>
    <w:sig w:usb0="00000287" w:usb1="00000000" w:usb2="00000000" w:usb3="00000000" w:csb0="2000009F" w:csb1="DFD70000"/>
  </w:font>
  <w:font w:name="ArialUnicodeMS">
    <w:altName w:val="Malgun Gothic"/>
    <w:panose1 w:val="00000000000000000000"/>
    <w:charset w:val="81"/>
    <w:family w:val="auto"/>
    <w:pitch w:val="default"/>
    <w:sig w:usb0="00000000" w:usb1="00000000" w:usb2="00000010" w:usb3="00000000" w:csb0="00080000" w:csb1="00000000"/>
  </w:font>
  <w:font w:name="Malgun Gothic">
    <w:panose1 w:val="020B0503020000020004"/>
    <w:charset w:val="81"/>
    <w:family w:val="auto"/>
    <w:pitch w:val="default"/>
    <w:sig w:usb0="900002AF" w:usb1="01D77CFB" w:usb2="00000012" w:usb3="00000000" w:csb0="00080001" w:csb1="00000000"/>
  </w:font>
  <w:font w:name="Cambria">
    <w:panose1 w:val="02040503050406030204"/>
    <w:charset w:val="00"/>
    <w:family w:val="roman"/>
    <w:pitch w:val="default"/>
    <w:sig w:usb0="E00002FF" w:usb1="400004FF" w:usb2="00000000" w:usb3="00000000" w:csb0="2000019F" w:csb1="00000000"/>
  </w:font>
  <w:font w:name="Mongolian Baiti">
    <w:panose1 w:val="03000500000000000000"/>
    <w:charset w:val="00"/>
    <w:family w:val="script"/>
    <w:pitch w:val="default"/>
    <w:sig w:usb0="80000023" w:usb1="00000000" w:usb2="00020000" w:usb3="00000000" w:csb0="0000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rPr>
    </w:lvl>
  </w:abstractNum>
  <w:abstractNum w:abstractNumId="1">
    <w:nsid w:val="5F222FFA"/>
    <w:multiLevelType w:val="singleLevel"/>
    <w:tmpl w:val="5F222FFA"/>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displayBackgroundShape w:val="1"/>
  <w:embedSystem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4C45458"/>
    <w:rsid w:val="00061A05"/>
    <w:rsid w:val="0018668E"/>
    <w:rsid w:val="001B73D2"/>
    <w:rsid w:val="001E62BF"/>
    <w:rsid w:val="0028309C"/>
    <w:rsid w:val="00293E7B"/>
    <w:rsid w:val="002D1F4F"/>
    <w:rsid w:val="00366D90"/>
    <w:rsid w:val="003D678E"/>
    <w:rsid w:val="00801F66"/>
    <w:rsid w:val="009334BF"/>
    <w:rsid w:val="03CF2CD8"/>
    <w:rsid w:val="043842E5"/>
    <w:rsid w:val="04EE71B3"/>
    <w:rsid w:val="058B71E0"/>
    <w:rsid w:val="07517610"/>
    <w:rsid w:val="0ACF03DA"/>
    <w:rsid w:val="0DC23F44"/>
    <w:rsid w:val="0EA325C9"/>
    <w:rsid w:val="0FF76177"/>
    <w:rsid w:val="157F728B"/>
    <w:rsid w:val="172836CC"/>
    <w:rsid w:val="19AE5539"/>
    <w:rsid w:val="1A2A6AB7"/>
    <w:rsid w:val="1AB255C9"/>
    <w:rsid w:val="1DF23C81"/>
    <w:rsid w:val="23AB64B7"/>
    <w:rsid w:val="26BD3C10"/>
    <w:rsid w:val="2A5C4724"/>
    <w:rsid w:val="2CF62E58"/>
    <w:rsid w:val="2FB96948"/>
    <w:rsid w:val="32A82309"/>
    <w:rsid w:val="3327616A"/>
    <w:rsid w:val="33A414FC"/>
    <w:rsid w:val="34701819"/>
    <w:rsid w:val="34C45458"/>
    <w:rsid w:val="35AD01CE"/>
    <w:rsid w:val="35C83C42"/>
    <w:rsid w:val="36156B18"/>
    <w:rsid w:val="38040BD3"/>
    <w:rsid w:val="3D750136"/>
    <w:rsid w:val="3DBA3F01"/>
    <w:rsid w:val="4A330A47"/>
    <w:rsid w:val="4DFA4BBE"/>
    <w:rsid w:val="51F46899"/>
    <w:rsid w:val="526B6C9E"/>
    <w:rsid w:val="52CD4244"/>
    <w:rsid w:val="5692507B"/>
    <w:rsid w:val="576A375A"/>
    <w:rsid w:val="58345331"/>
    <w:rsid w:val="597473DF"/>
    <w:rsid w:val="5B39034C"/>
    <w:rsid w:val="5D0C63C4"/>
    <w:rsid w:val="5ED15982"/>
    <w:rsid w:val="65CD5335"/>
    <w:rsid w:val="66034D44"/>
    <w:rsid w:val="6BAD79B8"/>
    <w:rsid w:val="72D677D6"/>
    <w:rsid w:val="73D824BD"/>
    <w:rsid w:val="77627249"/>
    <w:rsid w:val="7CA05668"/>
    <w:rsid w:val="7D110566"/>
    <w:rsid w:val="7FA266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1"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footer"/>
    <w:basedOn w:val="1"/>
    <w:unhideWhenUsed/>
    <w:qFormat/>
    <w:uiPriority w:val="99"/>
    <w:pPr>
      <w:tabs>
        <w:tab w:val="center" w:pos="4153"/>
        <w:tab w:val="right" w:pos="8306"/>
      </w:tabs>
      <w:snapToGrid w:val="0"/>
      <w:jc w:val="left"/>
    </w:pPr>
    <w:rPr>
      <w:sz w:val="18"/>
      <w:szCs w:val="18"/>
    </w:rPr>
  </w:style>
  <w:style w:type="paragraph" w:styleId="4">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sz w:val="18"/>
      <w:szCs w:val="18"/>
    </w:rPr>
  </w:style>
  <w:style w:type="table" w:styleId="6">
    <w:name w:val="Table Grid"/>
    <w:qFormat/>
    <w:uiPriority w:val="1"/>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customStyle="1" w:styleId="8">
    <w:name w:val="Default"/>
    <w:qFormat/>
    <w:uiPriority w:val="99"/>
    <w:pPr>
      <w:widowControl w:val="0"/>
      <w:autoSpaceDE w:val="0"/>
      <w:autoSpaceDN w:val="0"/>
      <w:adjustRightInd w:val="0"/>
    </w:pPr>
    <w:rPr>
      <w:rFonts w:ascii="方正小标宋" w:hAnsi="Calibri" w:eastAsia="方正小标宋" w:cs="方正小标宋"/>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chart" Target="charts/chart2.xml"/><Relationship Id="rId15" Type="http://schemas.openxmlformats.org/officeDocument/2006/relationships/chart" Target="charts/chart1.xml"/><Relationship Id="rId14" Type="http://schemas.openxmlformats.org/officeDocument/2006/relationships/image" Target="media/image2.bmp"/><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4" Type="http://schemas.microsoft.com/office/2011/relationships/chartColorStyle" Target="colors2.xml"/><Relationship Id="rId3" Type="http://schemas.microsoft.com/office/2011/relationships/chartStyle" Target="style2.xml"/><Relationship Id="rId2" Type="http://schemas.openxmlformats.org/officeDocument/2006/relationships/themeOverride" Target="../theme/themeOverride1.xml"/><Relationship Id="rId1" Type="http://schemas.openxmlformats.org/officeDocument/2006/relationships/package" Target="../embeddings/Workbook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r>
              <a:rPr lang="en-US" altLang="zh-CN">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rPr>
              <a:t>2019-2020</a:t>
            </a:r>
            <a:r>
              <a:rPr lang="zh-CN" altLang="en-US">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rPr>
              <a:t>年收支总计对比情况（图</a:t>
            </a:r>
            <a:r>
              <a:rPr lang="en-US" altLang="zh-CN">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rPr>
              <a:t>1</a:t>
            </a:r>
            <a:r>
              <a:rPr lang="zh-CN" altLang="en-US">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rPr>
              <a:t>）</a:t>
            </a:r>
            <a:endParaRPr lang="zh-CN" altLang="en-US">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endParaRPr>
          </a:p>
        </c:rich>
      </c:tx>
      <c:layout>
        <c:manualLayout>
          <c:xMode val="edge"/>
          <c:yMode val="edge"/>
          <c:x val="0.209718361608105"/>
          <c:y val="0.846648044692737"/>
        </c:manualLayout>
      </c:layout>
      <c:overlay val="0"/>
      <c:spPr>
        <a:noFill/>
        <a:ln>
          <a:noFill/>
        </a:ln>
        <a:effectLst/>
      </c:spPr>
    </c:title>
    <c:autoTitleDeleted val="0"/>
    <c:plotArea>
      <c:layout>
        <c:manualLayout>
          <c:layoutTarget val="inner"/>
          <c:xMode val="edge"/>
          <c:yMode val="edge"/>
          <c:x val="0.123946243127673"/>
          <c:y val="0.0879888268156425"/>
          <c:w val="0.778772144166158"/>
          <c:h val="0.619106145251397"/>
        </c:manualLayout>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2019年</c:v>
                </c:pt>
                <c:pt idx="1">
                  <c:v>2020年</c:v>
                </c:pt>
              </c:strCache>
            </c:strRef>
          </c:cat>
          <c:val>
            <c:numRef>
              <c:f>Sheet1!$B$2:$B$3</c:f>
              <c:numCache>
                <c:formatCode>General</c:formatCode>
                <c:ptCount val="2"/>
                <c:pt idx="0">
                  <c:v>824.14</c:v>
                </c:pt>
                <c:pt idx="1">
                  <c:v>739.58</c:v>
                </c:pt>
              </c:numCache>
            </c:numRef>
          </c:val>
        </c:ser>
        <c:dLbls>
          <c:showLegendKey val="0"/>
          <c:showVal val="1"/>
          <c:showCatName val="0"/>
          <c:showSerName val="0"/>
          <c:showPercent val="0"/>
          <c:showBubbleSize val="0"/>
        </c:dLbls>
        <c:gapWidth val="219"/>
        <c:overlap val="-27"/>
        <c:axId val="462451782"/>
        <c:axId val="737457775"/>
      </c:barChart>
      <c:catAx>
        <c:axId val="46245178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p>
        </c:txPr>
        <c:crossAx val="737457775"/>
        <c:crosses val="autoZero"/>
        <c:auto val="1"/>
        <c:lblAlgn val="ctr"/>
        <c:lblOffset val="100"/>
        <c:noMultiLvlLbl val="0"/>
      </c:catAx>
      <c:valAx>
        <c:axId val="737457775"/>
        <c:scaling>
          <c:orientation val="minMax"/>
        </c:scaling>
        <c:delete val="0"/>
        <c:axPos val="l"/>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p>
        </c:txPr>
        <c:crossAx val="462451782"/>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p>
        </c:txPr>
      </c:legendEntry>
      <c:layout>
        <c:manualLayout>
          <c:xMode val="edge"/>
          <c:yMode val="edge"/>
          <c:x val="0.830312807730552"/>
          <c:y val="0.363173169828043"/>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p>
      </c:txPr>
    </c:legend>
    <c:plotVisOnly val="1"/>
    <c:dispBlanksAs val="gap"/>
    <c:showDLblsOverMax val="0"/>
  </c:chart>
  <c:spPr>
    <a:solidFill>
      <a:schemeClr val="bg1"/>
    </a:solidFill>
    <a:ln w="9525" cap="flat" cmpd="sng" algn="ctr">
      <a:noFill/>
      <a:round/>
    </a:ln>
    <a:effectLst/>
  </c:spPr>
  <c:txPr>
    <a:bodyPr/>
    <a:lstStyle/>
    <a:p>
      <a:pPr>
        <a:defRPr lang="zh-CN">
          <a:latin typeface="楷体_GB2312" panose="02010609030101010101" pitchFamily="3" charset="-122"/>
          <a:ea typeface="楷体_GB2312" panose="02010609030101010101" pitchFamily="3" charset="-122"/>
          <a:cs typeface="楷体_GB2312" panose="02010609030101010101" pitchFamily="3" charset="-122"/>
          <a:sym typeface="楷体_GB2312" panose="02010609030101010101" pitchFamily="3" charset="-122"/>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defTabSz="914400">
              <a:defRPr lang="zh-CN" sz="1400" b="0" i="0" u="none" strike="noStrike" kern="1200" spc="0" baseline="0">
                <a:solidFill>
                  <a:srgbClr val="4B6065"/>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r>
              <a:t>支出结构</a:t>
            </a:r>
          </a:p>
        </c:rich>
      </c:tx>
      <c:layout>
        <c:manualLayout>
          <c:xMode val="edge"/>
          <c:yMode val="edge"/>
          <c:x val="0.42236925015753"/>
          <c:y val="0.152446763503032"/>
        </c:manualLayout>
      </c:layout>
      <c:overlay val="0"/>
      <c:spPr>
        <a:noFill/>
        <a:ln>
          <a:noFill/>
        </a:ln>
        <a:effectLst/>
      </c:spPr>
    </c:title>
    <c:autoTitleDeleted val="0"/>
    <c:plotArea>
      <c:layout>
        <c:manualLayout>
          <c:layoutTarget val="inner"/>
          <c:xMode val="edge"/>
          <c:yMode val="edge"/>
          <c:x val="0.283959215681505"/>
          <c:y val="0.20582605641502"/>
          <c:w val="0.483800668313235"/>
          <c:h val="0.716283071628307"/>
        </c:manualLayout>
      </c:layout>
      <c:pieChart>
        <c:varyColors val="1"/>
        <c:ser>
          <c:idx val="0"/>
          <c:order val="0"/>
          <c:tx>
            <c:strRef>
              <c:f>Sheet1!$C$1</c:f>
              <c:strCache>
                <c:ptCount val="1"/>
                <c:pt idx="0">
                  <c:v>系列 2</c:v>
                </c:pt>
              </c:strCache>
            </c:strRef>
          </c:tx>
          <c:spPr>
            <a:gradFill>
              <a:gsLst>
                <a:gs pos="80000">
                  <a:srgbClr val="333F50"/>
                </a:gs>
                <a:gs pos="61000">
                  <a:srgbClr val="992028">
                    <a:alpha val="100000"/>
                  </a:srgbClr>
                </a:gs>
                <a:gs pos="29000">
                  <a:srgbClr val="FF0000"/>
                </a:gs>
              </a:gsLst>
              <a:lin ang="18900000" scaled="0"/>
            </a:gradFill>
            <a:ln w="3175">
              <a:noFill/>
            </a:ln>
            <a:effectLst/>
          </c:spPr>
          <c:explosion val="0"/>
          <c:dPt>
            <c:idx val="0"/>
            <c:bubble3D val="0"/>
            <c:spPr>
              <a:solidFill>
                <a:srgbClr val="F8E4DB"/>
              </a:solidFill>
              <a:ln w="3175">
                <a:noFill/>
              </a:ln>
              <a:effectLst/>
            </c:spPr>
          </c:dPt>
          <c:dPt>
            <c:idx val="1"/>
            <c:bubble3D val="0"/>
            <c:spPr>
              <a:solidFill>
                <a:srgbClr val="EDBB72"/>
              </a:solidFill>
              <a:ln w="3175">
                <a:noFill/>
              </a:ln>
              <a:effectLst/>
            </c:spPr>
          </c:dPt>
          <c:dPt>
            <c:idx val="2"/>
            <c:bubble3D val="0"/>
            <c:spPr>
              <a:solidFill>
                <a:srgbClr val="ACDFF0"/>
              </a:solidFill>
              <a:ln w="3175">
                <a:noFill/>
              </a:ln>
              <a:effectLst/>
            </c:spPr>
          </c:dPt>
          <c:dPt>
            <c:idx val="3"/>
            <c:bubble3D val="0"/>
            <c:spPr>
              <a:solidFill>
                <a:srgbClr val="A2B5BB"/>
              </a:solidFill>
              <a:ln w="3175">
                <a:noFill/>
              </a:ln>
              <a:effectLst/>
            </c:spPr>
          </c:dPt>
          <c:dLbls>
            <c:numFmt formatCode="General" sourceLinked="1"/>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rgbClr val="546C72"/>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inEnd"/>
            <c:showLegendKey val="0"/>
            <c:showVal val="0"/>
            <c:showCatName val="0"/>
            <c:showSerName val="0"/>
            <c:showPercent val="1"/>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Sheet1!$A$2:$A$5</c:f>
              <c:strCache>
                <c:ptCount val="4"/>
                <c:pt idx="0">
                  <c:v>一般公共服务支出</c:v>
                </c:pt>
                <c:pt idx="1">
                  <c:v>社会保障服务和就业支出</c:v>
                </c:pt>
                <c:pt idx="2">
                  <c:v>卫生健康支出</c:v>
                </c:pt>
                <c:pt idx="3">
                  <c:v>住房保健支出</c:v>
                </c:pt>
              </c:strCache>
            </c:strRef>
          </c:cat>
          <c:val>
            <c:numRef>
              <c:f>Sheet1!$C$2:$C$5</c:f>
              <c:numCache>
                <c:formatCode>#,##0.00</c:formatCode>
                <c:ptCount val="4"/>
                <c:pt idx="0">
                  <c:v>631.6</c:v>
                </c:pt>
                <c:pt idx="1">
                  <c:v>58.16</c:v>
                </c:pt>
                <c:pt idx="2">
                  <c:v>19.93</c:v>
                </c:pt>
                <c:pt idx="3">
                  <c:v>29.9</c:v>
                </c:pt>
              </c:numCache>
            </c:numRef>
          </c:val>
        </c:ser>
        <c:ser>
          <c:idx val="1"/>
          <c:order val="1"/>
          <c:tx>
            <c:strRef>
              <c:f>Sheet1!$D$1</c:f>
              <c:strCache>
                <c:ptCount val="1"/>
                <c:pt idx="0">
                  <c:v>系列 3</c:v>
                </c:pt>
              </c:strCache>
            </c:strRef>
          </c:tx>
          <c:spPr>
            <a:gradFill>
              <a:gsLst>
                <a:gs pos="80000">
                  <a:srgbClr val="333F50"/>
                </a:gs>
                <a:gs pos="61000">
                  <a:srgbClr val="992028">
                    <a:alpha val="100000"/>
                  </a:srgbClr>
                </a:gs>
                <a:gs pos="29000">
                  <a:srgbClr val="FF0000"/>
                </a:gs>
              </a:gsLst>
              <a:lin ang="18900000" scaled="0"/>
            </a:gradFill>
            <a:ln w="3175">
              <a:noFill/>
            </a:ln>
            <a:effectLst/>
          </c:spPr>
          <c:explosion val="0"/>
          <c:dPt>
            <c:idx val="0"/>
            <c:bubble3D val="0"/>
            <c:spPr>
              <a:solidFill>
                <a:srgbClr val="F8E4DB"/>
              </a:solidFill>
              <a:ln w="3175">
                <a:noFill/>
              </a:ln>
              <a:effectLst/>
            </c:spPr>
          </c:dPt>
          <c:dPt>
            <c:idx val="1"/>
            <c:bubble3D val="0"/>
            <c:spPr>
              <a:solidFill>
                <a:srgbClr val="EDBB72"/>
              </a:solidFill>
              <a:ln w="3175">
                <a:noFill/>
              </a:ln>
              <a:effectLst/>
            </c:spPr>
          </c:dPt>
          <c:dPt>
            <c:idx val="2"/>
            <c:bubble3D val="0"/>
            <c:spPr>
              <a:solidFill>
                <a:srgbClr val="ACDFF0"/>
              </a:solidFill>
              <a:ln w="3175">
                <a:noFill/>
              </a:ln>
              <a:effectLst/>
            </c:spPr>
          </c:dPt>
          <c:dPt>
            <c:idx val="3"/>
            <c:bubble3D val="0"/>
            <c:spPr>
              <a:solidFill>
                <a:srgbClr val="A2B5BB"/>
              </a:solidFill>
              <a:ln w="3175">
                <a:noFill/>
              </a:ln>
              <a:effectLst/>
            </c:spPr>
          </c:dPt>
          <c:dLbls>
            <c:numFmt formatCode="General" sourceLinked="1"/>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rgbClr val="4B6065"/>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dLblPos val="inEnd"/>
            <c:showLegendKey val="0"/>
            <c:showVal val="0"/>
            <c:showCatName val="0"/>
            <c:showSerName val="0"/>
            <c:showPercent val="1"/>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Sheet1!$A$2:$A$5</c:f>
              <c:strCache>
                <c:ptCount val="4"/>
                <c:pt idx="0">
                  <c:v>一般公共服务支出</c:v>
                </c:pt>
                <c:pt idx="1">
                  <c:v>社会保障服务和就业支出</c:v>
                </c:pt>
                <c:pt idx="2">
                  <c:v>卫生健康支出</c:v>
                </c:pt>
                <c:pt idx="3">
                  <c:v>住房保健支出</c:v>
                </c:pt>
              </c:strCache>
            </c:strRef>
          </c:cat>
          <c:val>
            <c:numRef>
              <c:f>Sheet1!$D$2:$D$5</c:f>
              <c:numCache>
                <c:formatCode>General</c:formatCode>
                <c:ptCount val="4"/>
                <c:pt idx="0">
                  <c:v>2</c:v>
                </c:pt>
                <c:pt idx="1">
                  <c:v>2</c:v>
                </c:pt>
                <c:pt idx="2">
                  <c:v>3</c:v>
                </c:pt>
                <c:pt idx="3">
                  <c:v>5</c:v>
                </c:pt>
              </c:numCache>
            </c:numRef>
          </c:val>
        </c:ser>
        <c:dLbls>
          <c:showLegendKey val="0"/>
          <c:showVal val="1"/>
          <c:showCatName val="0"/>
          <c:showSerName val="0"/>
          <c:showPercent val="0"/>
          <c:showBubbleSize val="0"/>
          <c:showLeaderLines val="0"/>
        </c:dLbls>
        <c:firstSliceAng val="32"/>
      </c:pieChart>
      <c:spPr>
        <a:noFill/>
        <a:ln w="3175">
          <a:noFill/>
        </a:ln>
        <a:effectLst/>
      </c:spPr>
    </c:plotArea>
    <c:legend>
      <c:legendPos val="l"/>
      <c:layout>
        <c:manualLayout>
          <c:xMode val="edge"/>
          <c:yMode val="edge"/>
          <c:x val="0.0254568367989918"/>
          <c:y val="0.329713721618954"/>
          <c:w val="0.2234404536862"/>
          <c:h val="0.506134536736708"/>
        </c:manualLayout>
      </c:layout>
      <c:overlay val="0"/>
      <c:spPr>
        <a:noFill/>
        <a:ln>
          <a:noFill/>
        </a:ln>
        <a:effectLst/>
      </c:spPr>
      <c:txPr>
        <a:bodyPr rot="0" spcFirstLastPara="0" vertOverflow="ellipsis" vert="horz" wrap="square" anchor="ctr" anchorCtr="1" forceAA="0"/>
        <a:lstStyle/>
        <a:p>
          <a:pPr>
            <a:defRPr lang="zh-CN" sz="900" b="0" i="0" u="none" strike="noStrike" kern="1200" baseline="0">
              <a:solidFill>
                <a:srgbClr val="4B6065"/>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legend>
    <c:plotVisOnly val="1"/>
    <c:dispBlanksAs val="gap"/>
    <c:showDLblsOverMax val="0"/>
  </c:chart>
  <c:spPr>
    <a:solidFill>
      <a:schemeClr val="bg1"/>
    </a:solidFill>
    <a:ln w="9525" cap="flat" cmpd="sng" algn="ctr">
      <a:solidFill>
        <a:srgbClr val="6D8B94"/>
      </a:solidFill>
      <a:round/>
    </a:ln>
    <a:effectLst>
      <a:outerShdw blurRad="63500" dist="37357" dir="2700000" sx="0" sy="0" rotWithShape="0">
        <a:scrgbClr r="0" g="0" b="0"/>
      </a:outerShdw>
    </a:effectLst>
  </c:spPr>
  <c:txPr>
    <a:bodyPr/>
    <a:lstStyle/>
    <a:p>
      <a:pPr>
        <a:defRPr lang="zh-CN">
          <a:solidFill>
            <a:srgbClr val="4B6065"/>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33</Pages>
  <Words>1732</Words>
  <Characters>9876</Characters>
  <Lines>82</Lines>
  <Paragraphs>23</Paragraphs>
  <TotalTime>1</TotalTime>
  <ScaleCrop>false</ScaleCrop>
  <LinksUpToDate>false</LinksUpToDate>
  <CharactersWithSpaces>11585</CharactersWithSpaces>
  <Application>WPS Office_11.1.0.11411_F1E327BC-269C-435d-A152-05C5408002CA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2021-07-27T05:10:00Z</dcterms:created>
  <dc:creator>王明新TIAD</dc:creator>
  <cp:lastModifiedBy>liuna</cp:lastModifiedBy>
  <dcterms:modified xsi:type="dcterms:W3CDTF">2022-05-24T09:13:33Z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2052-11.1.0.11411</vt:lpwstr>
  </property>
  <property fmtid="{D5CDD505-2E9C-101B-9397-08002B2CF9AE}" pid="3" name="ICV">
    <vt:lpwstr>FC29873005D54C6C85E1F2BC63E49F72</vt:lpwstr>
  </property>
</Properties>
</file>