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7"/>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中国共产主义青年团保定市满城区委员会</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jc w:val="center"/>
        <w:rPr>
          <w:rFonts w:ascii="黑体" w:hAnsi="黑体" w:eastAsia="黑体" w:cs="黑体"/>
          <w:sz w:val="72"/>
          <w:szCs w:val="96"/>
          <w:highlight w:val="yellow"/>
        </w:rPr>
      </w:pPr>
      <w:r>
        <w:rPr>
          <w:rFonts w:hint="eastAsia" w:ascii="黑体" w:hAnsi="黑体" w:eastAsia="黑体" w:cs="黑体"/>
          <w:sz w:val="72"/>
          <w:szCs w:val="96"/>
        </w:rPr>
        <w:t>中国共产主义青年团保定市满城区委员会</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jc w:val="both"/>
        <w:rPr>
          <w:rFonts w:ascii="黑体" w:hAnsi="黑体" w:eastAsia="黑体" w:cs="黑体"/>
          <w:sz w:val="56"/>
          <w:szCs w:val="72"/>
          <w:highlight w:val="yellow"/>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11" w:type="first"/>
          <w:footerReference r:id="rId13" w:type="first"/>
          <w:headerReference r:id="rId10" w:type="default"/>
          <w:footerReference r:id="rId12"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8"/>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pStyle w:val="8"/>
        <w:widowControl/>
        <w:spacing w:line="520" w:lineRule="exact"/>
        <w:ind w:firstLine="640" w:firstLineChars="200"/>
        <w:jc w:val="both"/>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根据中共保定市委、保定市人民政府《关于区乡机构改革的实施意见》（保发[2001]17号），共青团满城区委机关职能配置和人员编制确定如下：</w:t>
      </w:r>
    </w:p>
    <w:p>
      <w:pPr>
        <w:pStyle w:val="8"/>
        <w:widowControl/>
        <w:numPr>
          <w:ilvl w:val="0"/>
          <w:numId w:val="1"/>
        </w:numPr>
        <w:spacing w:line="520" w:lineRule="exact"/>
        <w:ind w:firstLine="640" w:firstLineChars="200"/>
        <w:jc w:val="both"/>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行使共青团满城区委赋予的领导全区共青团工作，指导全区青联、学联和少先队工作的职权，对全区性青年的社团组织进行指导和管理。</w:t>
      </w:r>
    </w:p>
    <w:p>
      <w:pPr>
        <w:pStyle w:val="8"/>
        <w:widowControl/>
        <w:numPr>
          <w:ilvl w:val="0"/>
          <w:numId w:val="1"/>
        </w:numPr>
        <w:spacing w:line="520" w:lineRule="exact"/>
        <w:ind w:firstLine="640" w:firstLineChars="200"/>
        <w:jc w:val="both"/>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参与制定本区的青少年事业发展规划，对青少年组织和服务机构的建设等事务进行规划和管理。</w:t>
      </w:r>
    </w:p>
    <w:p>
      <w:pPr>
        <w:pStyle w:val="8"/>
        <w:widowControl/>
        <w:spacing w:line="520" w:lineRule="exact"/>
        <w:ind w:firstLine="640" w:firstLineChars="200"/>
        <w:jc w:val="both"/>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（三）参与本区有关青少年事务的地方性法规的制定和实施，协助区委、区政府处理、协调与青少年利益相关的事务。</w:t>
      </w:r>
    </w:p>
    <w:p>
      <w:pPr>
        <w:pStyle w:val="8"/>
        <w:widowControl/>
        <w:spacing w:line="520" w:lineRule="exact"/>
        <w:ind w:firstLine="640" w:firstLineChars="200"/>
        <w:jc w:val="both"/>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（四）调查青年思想动态和青年工作状况，研究青少年运动，青少年工作理论和思想教育问题，提出相应对策，开展各种活动。</w:t>
      </w:r>
    </w:p>
    <w:p>
      <w:pPr>
        <w:pStyle w:val="8"/>
        <w:widowControl/>
        <w:spacing w:line="520" w:lineRule="exact"/>
        <w:ind w:firstLine="640" w:firstLineChars="200"/>
        <w:jc w:val="both"/>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（五）协助区政府教育部门做好大、中、小学生的教育管理工作，利用青少年宫、团校等阵地，加强对青少年的思想道德和素质教育，维护学校稳定和社会安定团结。</w:t>
      </w:r>
    </w:p>
    <w:p>
      <w:pPr>
        <w:pStyle w:val="8"/>
        <w:widowControl/>
        <w:spacing w:line="520" w:lineRule="exact"/>
        <w:ind w:firstLine="640" w:firstLineChars="200"/>
        <w:jc w:val="both"/>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（六）以争创青年文明号、青年文明社区为载体，开展各种形式的精神文明创建活动。</w:t>
      </w:r>
    </w:p>
    <w:p>
      <w:pPr>
        <w:pStyle w:val="8"/>
        <w:widowControl/>
        <w:spacing w:line="520" w:lineRule="exact"/>
        <w:ind w:firstLine="640" w:firstLineChars="200"/>
        <w:jc w:val="both"/>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（七）组织、带领广大农村青年在农业生产中增效增收、成长成才。</w:t>
      </w:r>
    </w:p>
    <w:p>
      <w:pPr>
        <w:pStyle w:val="8"/>
        <w:widowControl/>
        <w:spacing w:line="520" w:lineRule="exact"/>
        <w:ind w:firstLine="640" w:firstLineChars="200"/>
        <w:jc w:val="both"/>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（八）实施希望工程，筹集资金，救助贫困学生，改善办学条件。</w:t>
      </w:r>
    </w:p>
    <w:p>
      <w:pPr>
        <w:pStyle w:val="8"/>
        <w:widowControl/>
        <w:spacing w:line="520" w:lineRule="exact"/>
        <w:ind w:firstLine="640" w:firstLineChars="200"/>
        <w:jc w:val="both"/>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（九）在国家经济建设中，组织和带领青年发挥生力军和突击队作用。</w:t>
      </w:r>
    </w:p>
    <w:p>
      <w:pPr>
        <w:pStyle w:val="8"/>
        <w:widowControl/>
        <w:spacing w:line="520" w:lineRule="exact"/>
        <w:ind w:firstLine="640" w:firstLineChars="200"/>
        <w:jc w:val="both"/>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（十）参与制定有关本区青年统战工作的办法，做好青年统战对象的团结教育工作，维护和促进祖国统一和民族团结。</w:t>
      </w:r>
    </w:p>
    <w:p>
      <w:pPr>
        <w:keepNext/>
        <w:keepLines/>
        <w:spacing w:line="580" w:lineRule="exact"/>
        <w:ind w:firstLine="640" w:firstLineChars="200"/>
        <w:jc w:val="left"/>
        <w:outlineLvl w:val="0"/>
        <w:rPr>
          <w:rFonts w:hint="eastAsia"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（十一）承担区委、区政府和团市委交办的有关事项。</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 xml:space="preserve">年度本部门决算汇编范围的独立核算单位（以下简称“单位”）共 </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0"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中国共产主义青年团保定市满城区委员会</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0"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2</w:t>
            </w:r>
          </w:p>
        </w:tc>
        <w:tc>
          <w:tcPr>
            <w:tcW w:w="3426" w:type="dxa"/>
          </w:tcPr>
          <w:p>
            <w:pPr>
              <w:spacing w:line="560" w:lineRule="exact"/>
              <w:rPr>
                <w:rFonts w:ascii="仿宋_GB2312" w:hAnsi="Calibri" w:eastAsia="仿宋_GB2312" w:cs="Arial Black"/>
                <w:kern w:val="0"/>
                <w:sz w:val="28"/>
                <w:szCs w:val="28"/>
              </w:rPr>
            </w:pPr>
          </w:p>
        </w:tc>
        <w:tc>
          <w:tcPr>
            <w:tcW w:w="2404" w:type="dxa"/>
          </w:tcPr>
          <w:p>
            <w:pPr>
              <w:spacing w:line="560" w:lineRule="exact"/>
              <w:jc w:val="center"/>
              <w:rPr>
                <w:rFonts w:ascii="仿宋_GB2312" w:hAnsi="Calibri" w:eastAsia="仿宋_GB2312" w:cs="Arial Black"/>
                <w:kern w:val="0"/>
                <w:sz w:val="28"/>
                <w:szCs w:val="28"/>
              </w:rPr>
            </w:pPr>
          </w:p>
        </w:tc>
        <w:tc>
          <w:tcPr>
            <w:tcW w:w="2620" w:type="dxa"/>
          </w:tcPr>
          <w:p>
            <w:pPr>
              <w:spacing w:line="560" w:lineRule="exact"/>
              <w:jc w:val="center"/>
              <w:rPr>
                <w:rFonts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3</w:t>
            </w:r>
          </w:p>
        </w:tc>
        <w:tc>
          <w:tcPr>
            <w:tcW w:w="3426" w:type="dxa"/>
          </w:tcPr>
          <w:p>
            <w:pPr>
              <w:spacing w:line="560" w:lineRule="exact"/>
              <w:rPr>
                <w:rFonts w:ascii="仿宋_GB2312" w:hAnsi="Calibri" w:eastAsia="仿宋_GB2312" w:cs="Arial Black"/>
                <w:kern w:val="0"/>
                <w:sz w:val="28"/>
                <w:szCs w:val="28"/>
              </w:rPr>
            </w:pPr>
          </w:p>
        </w:tc>
        <w:tc>
          <w:tcPr>
            <w:tcW w:w="2404" w:type="dxa"/>
          </w:tcPr>
          <w:p>
            <w:pPr>
              <w:spacing w:line="560" w:lineRule="exact"/>
              <w:jc w:val="center"/>
              <w:rPr>
                <w:rFonts w:ascii="仿宋_GB2312" w:hAnsi="Calibri" w:eastAsia="仿宋_GB2312" w:cs="Arial Black"/>
                <w:kern w:val="0"/>
                <w:sz w:val="28"/>
                <w:szCs w:val="28"/>
              </w:rPr>
            </w:pPr>
          </w:p>
        </w:tc>
        <w:tc>
          <w:tcPr>
            <w:tcW w:w="2620" w:type="dxa"/>
          </w:tcPr>
          <w:p>
            <w:pPr>
              <w:spacing w:line="560" w:lineRule="exact"/>
              <w:jc w:val="center"/>
              <w:rPr>
                <w:rFonts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w:t>
            </w:r>
          </w:p>
        </w:tc>
        <w:tc>
          <w:tcPr>
            <w:tcW w:w="3426" w:type="dxa"/>
            <w:tcBorders>
              <w:bottom w:val="single" w:color="auto" w:sz="4" w:space="0"/>
            </w:tcBorders>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w:t>
            </w:r>
          </w:p>
        </w:tc>
        <w:tc>
          <w:tcPr>
            <w:tcW w:w="2404" w:type="dxa"/>
            <w:tcBorders>
              <w:bottom w:val="single" w:color="auto" w:sz="4" w:space="0"/>
            </w:tcBorders>
          </w:tcPr>
          <w:p>
            <w:pPr>
              <w:spacing w:line="560" w:lineRule="exact"/>
              <w:jc w:val="center"/>
              <w:rPr>
                <w:rFonts w:ascii="仿宋_GB2312" w:hAnsi="Calibri" w:eastAsia="仿宋_GB2312" w:cs="Arial Black"/>
                <w:kern w:val="0"/>
                <w:sz w:val="28"/>
                <w:szCs w:val="28"/>
              </w:rPr>
            </w:pPr>
          </w:p>
        </w:tc>
        <w:tc>
          <w:tcPr>
            <w:tcW w:w="2620" w:type="dxa"/>
            <w:tcBorders>
              <w:bottom w:val="single" w:color="auto" w:sz="4" w:space="0"/>
            </w:tcBorders>
          </w:tcPr>
          <w:p>
            <w:pPr>
              <w:spacing w:line="560" w:lineRule="exact"/>
              <w:jc w:val="center"/>
              <w:rPr>
                <w:rFonts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4"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8"/>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本部门2020年度收、支总计（含结转和结余）54</w:t>
      </w:r>
      <w:r>
        <w:rPr>
          <w:rFonts w:hint="eastAsia" w:ascii="仿宋_GB2312" w:hAnsi="Times New Roman" w:eastAsia="仿宋_GB2312" w:cs="Wingdings"/>
          <w:sz w:val="32"/>
          <w:szCs w:val="32"/>
          <w:lang w:val="en-US" w:eastAsia="zh-CN"/>
        </w:rPr>
        <w:t>.</w:t>
      </w:r>
      <w:r>
        <w:rPr>
          <w:rFonts w:hint="eastAsia" w:ascii="仿宋_GB2312" w:hAnsi="Times New Roman" w:eastAsia="仿宋_GB2312" w:cs="Wingdings"/>
          <w:sz w:val="32"/>
          <w:szCs w:val="32"/>
        </w:rPr>
        <w:t>61万元。与2019年度决算相比，收支各增加</w:t>
      </w:r>
      <w:r>
        <w:rPr>
          <w:rFonts w:hint="eastAsia" w:ascii="仿宋_GB2312" w:hAnsi="Times New Roman" w:eastAsia="仿宋_GB2312" w:cs="Wingdings"/>
          <w:sz w:val="32"/>
          <w:szCs w:val="32"/>
          <w:lang w:val="en-US" w:eastAsia="zh-CN"/>
        </w:rPr>
        <w:t>12.23</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28.88</w:t>
      </w:r>
      <w:r>
        <w:rPr>
          <w:rFonts w:hint="eastAsia" w:ascii="仿宋_GB2312" w:hAnsi="Times New Roman" w:eastAsia="仿宋_GB2312" w:cs="Wingdings"/>
          <w:sz w:val="32"/>
          <w:szCs w:val="32"/>
        </w:rPr>
        <w:t>%，主要原因是</w:t>
      </w:r>
      <w:r>
        <w:rPr>
          <w:rFonts w:hint="eastAsia" w:ascii="仿宋_GB2312" w:hAnsi="Times New Roman" w:eastAsia="仿宋_GB2312" w:cs="Wingdings"/>
          <w:sz w:val="32"/>
          <w:szCs w:val="32"/>
          <w:lang w:val="en-US" w:eastAsia="zh-CN"/>
        </w:rPr>
        <w:t>本年度人员工资增加</w:t>
      </w:r>
      <w:r>
        <w:rPr>
          <w:rFonts w:hint="eastAsia" w:ascii="仿宋_GB2312" w:hAnsi="Times New Roman" w:eastAsia="仿宋_GB2312" w:cs="Wingdings"/>
          <w:sz w:val="32"/>
          <w:szCs w:val="32"/>
        </w:rPr>
        <w:t>。</w:t>
      </w: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4384" behindDoc="1" locked="0" layoutInCell="1" allowOverlap="1">
            <wp:simplePos x="0" y="0"/>
            <wp:positionH relativeFrom="column">
              <wp:posOffset>744220</wp:posOffset>
            </wp:positionH>
            <wp:positionV relativeFrom="paragraph">
              <wp:posOffset>62230</wp:posOffset>
            </wp:positionV>
            <wp:extent cx="4157980" cy="2273300"/>
            <wp:effectExtent l="0" t="0" r="2540" b="1270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snapToGrid w:val="0"/>
        <w:spacing w:line="600" w:lineRule="exact"/>
        <w:ind w:firstLine="640" w:firstLineChars="200"/>
        <w:outlineLvl w:val="1"/>
        <w:rPr>
          <w:rFonts w:hint="eastAsia"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本部门2020年度本年收入合计54</w:t>
      </w:r>
      <w:r>
        <w:rPr>
          <w:rFonts w:hint="eastAsia" w:ascii="仿宋_GB2312" w:hAnsi="Times New Roman" w:eastAsia="仿宋_GB2312" w:cs="Wingdings"/>
          <w:sz w:val="32"/>
          <w:szCs w:val="32"/>
          <w:lang w:val="en-US" w:eastAsia="zh-CN"/>
        </w:rPr>
        <w:t>.</w:t>
      </w:r>
      <w:r>
        <w:rPr>
          <w:rFonts w:hint="eastAsia" w:ascii="仿宋_GB2312" w:hAnsi="Times New Roman" w:eastAsia="仿宋_GB2312" w:cs="Wingdings"/>
          <w:sz w:val="32"/>
          <w:szCs w:val="32"/>
        </w:rPr>
        <w:t>61万元，其中：财政拨款收入54</w:t>
      </w:r>
      <w:r>
        <w:rPr>
          <w:rFonts w:hint="eastAsia" w:ascii="仿宋_GB2312" w:hAnsi="Times New Roman" w:eastAsia="仿宋_GB2312" w:cs="Wingdings"/>
          <w:sz w:val="32"/>
          <w:szCs w:val="32"/>
          <w:lang w:val="en-US" w:eastAsia="zh-CN"/>
        </w:rPr>
        <w:t>.</w:t>
      </w:r>
      <w:r>
        <w:rPr>
          <w:rFonts w:hint="eastAsia" w:ascii="仿宋_GB2312" w:hAnsi="Times New Roman" w:eastAsia="仿宋_GB2312" w:cs="Wingdings"/>
          <w:sz w:val="32"/>
          <w:szCs w:val="32"/>
        </w:rPr>
        <w:t>61万元，占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54.61</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54.61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hint="eastAsia" w:ascii="仿宋_GB2312" w:hAnsi="Times New Roman" w:eastAsia="仿宋_GB2312" w:cs="Wingdings"/>
          <w:sz w:val="32"/>
          <w:szCs w:val="32"/>
          <w:lang w:eastAsia="zh-CN"/>
        </w:rPr>
      </w:pPr>
    </w:p>
    <w:p>
      <w:pPr>
        <w:adjustRightInd w:val="0"/>
        <w:snapToGrid w:val="0"/>
        <w:spacing w:line="600" w:lineRule="exact"/>
        <w:ind w:firstLine="643" w:firstLineChars="200"/>
        <w:rPr>
          <w:rFonts w:ascii="黑体" w:hAnsi="Calibri" w:eastAsia="黑体" w:cs="Times New Roman"/>
          <w:b/>
          <w:bCs/>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hint="eastAsia" w:ascii="仿宋_GB2312" w:hAnsi="Times New Roman" w:eastAsia="仿宋_GB2312" w:cs="Wingdings"/>
          <w:sz w:val="32"/>
          <w:szCs w:val="32"/>
          <w:lang w:val="en-US" w:eastAsia="zh-CN"/>
        </w:rPr>
        <w:t>54.61</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12.23</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28.88</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本年度人员工资增加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54.61</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12.23</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28.88</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本年度人员工资增加</w:t>
      </w:r>
      <w:r>
        <w:rPr>
          <w:rFonts w:hint="eastAsia" w:ascii="仿宋_GB2312" w:hAnsi="Times New Roman" w:eastAsia="仿宋_GB2312" w:cs="Wingdings"/>
          <w:sz w:val="32"/>
          <w:szCs w:val="32"/>
        </w:rPr>
        <w:t>。</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w:t>
      </w:r>
      <w:r>
        <w:rPr>
          <w:rFonts w:hint="eastAsia" w:ascii="仿宋_GB2312" w:hAnsi="Times New Roman" w:eastAsia="仿宋_GB2312" w:cs="Wingdings"/>
          <w:sz w:val="32"/>
          <w:szCs w:val="32"/>
          <w:lang w:val="en-US" w:eastAsia="zh-CN"/>
        </w:rPr>
        <w:t>54.61</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89.35</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6.51</w:t>
      </w:r>
      <w:r>
        <w:rPr>
          <w:rFonts w:hint="eastAsia" w:ascii="仿宋_GB2312" w:hAnsi="Times New Roman" w:eastAsia="仿宋_GB2312" w:cs="Wingdings"/>
          <w:sz w:val="32"/>
          <w:szCs w:val="32"/>
        </w:rPr>
        <w:t>万元，决算数小于预算数主要原因是</w:t>
      </w:r>
      <w:r>
        <w:rPr>
          <w:rFonts w:hint="eastAsia" w:ascii="仿宋_GB2312" w:hAnsi="仿宋_GB2312" w:eastAsia="仿宋_GB2312" w:cs="仿宋_GB2312"/>
          <w:kern w:val="2"/>
          <w:sz w:val="32"/>
          <w:szCs w:val="32"/>
        </w:rPr>
        <w:t>由于严格执行中央八项规定，</w:t>
      </w:r>
      <w:r>
        <w:rPr>
          <w:rFonts w:hint="eastAsia" w:ascii="仿宋_GB2312" w:hAnsi="仿宋_GB2312" w:eastAsia="仿宋_GB2312" w:cs="仿宋_GB2312"/>
          <w:kern w:val="2"/>
          <w:sz w:val="32"/>
          <w:szCs w:val="32"/>
          <w:lang w:val="en-US" w:eastAsia="zh-CN"/>
        </w:rPr>
        <w:t>厉行节约减少支出</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54.61</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89.35</w:t>
      </w:r>
      <w:r>
        <w:rPr>
          <w:rFonts w:hint="eastAsia" w:ascii="仿宋_GB2312" w:hAnsi="Times New Roman" w:eastAsia="仿宋_GB2312" w:cs="Wingdings"/>
          <w:sz w:val="32"/>
          <w:szCs w:val="32"/>
        </w:rPr>
        <w:t>%,比年初预算减少</w:t>
      </w:r>
      <w:r>
        <w:rPr>
          <w:rFonts w:hint="eastAsia" w:ascii="仿宋_GB2312" w:hAnsi="Times New Roman" w:eastAsia="仿宋_GB2312" w:cs="Wingdings"/>
          <w:sz w:val="32"/>
          <w:szCs w:val="32"/>
          <w:lang w:val="en-US" w:eastAsia="zh-CN"/>
        </w:rPr>
        <w:t>6.51</w:t>
      </w:r>
      <w:r>
        <w:rPr>
          <w:rFonts w:hint="eastAsia" w:ascii="仿宋_GB2312" w:hAnsi="Times New Roman" w:eastAsia="仿宋_GB2312" w:cs="Wingdings"/>
          <w:sz w:val="32"/>
          <w:szCs w:val="32"/>
        </w:rPr>
        <w:t>万元，决算数小于预算数主要原因是主要是</w:t>
      </w:r>
      <w:r>
        <w:rPr>
          <w:rFonts w:hint="eastAsia" w:ascii="仿宋_GB2312" w:hAnsi="仿宋_GB2312" w:eastAsia="仿宋_GB2312" w:cs="仿宋_GB2312"/>
          <w:kern w:val="2"/>
          <w:sz w:val="32"/>
          <w:szCs w:val="32"/>
        </w:rPr>
        <w:t>由于严格执行中央八项规定，</w:t>
      </w:r>
      <w:r>
        <w:rPr>
          <w:rFonts w:hint="eastAsia" w:ascii="仿宋_GB2312" w:hAnsi="仿宋_GB2312" w:eastAsia="仿宋_GB2312" w:cs="仿宋_GB2312"/>
          <w:kern w:val="2"/>
          <w:sz w:val="32"/>
          <w:szCs w:val="32"/>
          <w:lang w:val="en-US" w:eastAsia="zh-CN"/>
        </w:rPr>
        <w:t>厉行节约减少支出</w:t>
      </w:r>
      <w:r>
        <w:rPr>
          <w:rFonts w:hint="eastAsia" w:ascii="仿宋_GB2312" w:hAnsi="Times New Roman" w:eastAsia="仿宋_GB2312" w:cs="Wingdings"/>
          <w:sz w:val="32"/>
          <w:szCs w:val="32"/>
        </w:rPr>
        <w:t>。</w:t>
      </w:r>
    </w:p>
    <w:p>
      <w:pPr>
        <w:numPr>
          <w:ilvl w:val="0"/>
          <w:numId w:val="2"/>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54.61</w:t>
      </w:r>
      <w:r>
        <w:rPr>
          <w:rFonts w:hint="eastAsia" w:ascii="仿宋_GB2312" w:hAnsi="Times New Roman" w:eastAsia="仿宋_GB2312" w:cs="Wingdings"/>
          <w:sz w:val="32"/>
          <w:szCs w:val="32"/>
        </w:rPr>
        <w:t>万元，主要用于以下方面：一般公共服务（类）支出</w:t>
      </w:r>
      <w:r>
        <w:rPr>
          <w:rFonts w:hint="eastAsia" w:ascii="仿宋_GB2312" w:hAnsi="Times New Roman" w:eastAsia="仿宋_GB2312" w:cs="Wingdings"/>
          <w:sz w:val="32"/>
          <w:szCs w:val="32"/>
          <w:lang w:val="en-US" w:eastAsia="zh-CN"/>
        </w:rPr>
        <w:t>44.70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81.85</w:t>
      </w:r>
      <w:r>
        <w:rPr>
          <w:rFonts w:hint="eastAsia" w:ascii="仿宋_GB2312" w:hAnsi="Times New Roman" w:eastAsia="仿宋_GB2312" w:cs="Wingdings"/>
          <w:sz w:val="32"/>
          <w:szCs w:val="32"/>
        </w:rPr>
        <w:t xml:space="preserve">%，社会保障和就业（类）支出 </w:t>
      </w:r>
      <w:r>
        <w:rPr>
          <w:rFonts w:hint="eastAsia" w:ascii="仿宋_GB2312" w:hAnsi="Times New Roman" w:eastAsia="仿宋_GB2312" w:cs="Wingdings"/>
          <w:sz w:val="32"/>
          <w:szCs w:val="32"/>
          <w:lang w:val="en-US" w:eastAsia="zh-CN"/>
        </w:rPr>
        <w:t>5.13</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9.39</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卫生健康（类）支出2.07万元，占3.79%</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住房保障（类）支出2.72万元，占4.97%</w:t>
      </w:r>
      <w:r>
        <w:rPr>
          <w:rFonts w:hint="eastAsia" w:ascii="仿宋_GB2312" w:hAnsi="Times New Roman" w:eastAsia="仿宋_GB2312" w:cs="Wingdings"/>
          <w:sz w:val="32"/>
          <w:szCs w:val="32"/>
        </w:rPr>
        <w:t>。</w:t>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hint="eastAsia" w:ascii="楷体_GB2312" w:hAnsi="Times New Roman" w:eastAsia="楷体_GB2312" w:cs="Mongolian Baiti"/>
          <w:b/>
          <w:bCs/>
          <w:sz w:val="32"/>
          <w:szCs w:val="32"/>
          <w:lang w:eastAsia="zh-CN"/>
        </w:rPr>
      </w:pPr>
    </w:p>
    <w:p>
      <w:pPr>
        <w:adjustRightInd w:val="0"/>
        <w:snapToGrid w:val="0"/>
        <w:spacing w:line="600" w:lineRule="exact"/>
        <w:rPr>
          <w:rFonts w:hint="eastAsia" w:ascii="楷体_GB2312" w:hAnsi="Times New Roman" w:eastAsia="楷体_GB2312" w:cs="Mongolian Baiti"/>
          <w:b/>
          <w:bCs/>
          <w:sz w:val="32"/>
          <w:szCs w:val="32"/>
        </w:rPr>
      </w:pPr>
      <w:r>
        <w:rPr>
          <w:rFonts w:hint="eastAsia" w:ascii="楷体_GB2312" w:hAnsi="Times New Roman" w:eastAsia="楷体_GB2312" w:cs="Mongolian Baiti"/>
          <w:b/>
          <w:bCs/>
          <w:sz w:val="32"/>
          <w:szCs w:val="32"/>
          <w:lang w:eastAsia="zh-CN"/>
        </w:rPr>
        <w:drawing>
          <wp:anchor distT="0" distB="0" distL="114300" distR="114300" simplePos="0" relativeHeight="251667456" behindDoc="0" locked="0" layoutInCell="1" allowOverlap="1">
            <wp:simplePos x="0" y="0"/>
            <wp:positionH relativeFrom="column">
              <wp:posOffset>301625</wp:posOffset>
            </wp:positionH>
            <wp:positionV relativeFrom="paragraph">
              <wp:posOffset>-588010</wp:posOffset>
            </wp:positionV>
            <wp:extent cx="5080000" cy="3810000"/>
            <wp:effectExtent l="4445" t="4445" r="20955" b="14605"/>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54.61</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48.95</w:t>
      </w:r>
      <w:r>
        <w:rPr>
          <w:rFonts w:hint="eastAsia" w:ascii="仿宋_GB2312" w:hAnsi="Times New Roman" w:eastAsia="仿宋_GB2312" w:cs="Wingdings"/>
          <w:sz w:val="32"/>
          <w:szCs w:val="32"/>
        </w:rPr>
        <w:t xml:space="preserve">万元，主要包括基本工资、津贴补贴、奖金、机关事业单位基本养老保险缴费、职工基本医疗保险缴费、住房公积金；公用经费 </w:t>
      </w:r>
      <w:r>
        <w:rPr>
          <w:rFonts w:hint="eastAsia" w:ascii="仿宋_GB2312" w:hAnsi="Times New Roman" w:eastAsia="仿宋_GB2312" w:cs="Wingdings"/>
          <w:sz w:val="32"/>
          <w:szCs w:val="32"/>
          <w:lang w:val="en-US" w:eastAsia="zh-CN"/>
        </w:rPr>
        <w:t>5.66</w:t>
      </w:r>
      <w:r>
        <w:rPr>
          <w:rFonts w:hint="eastAsia" w:ascii="仿宋_GB2312" w:hAnsi="Times New Roman" w:eastAsia="仿宋_GB2312" w:cs="Wingdings"/>
          <w:sz w:val="32"/>
          <w:szCs w:val="32"/>
        </w:rPr>
        <w:t>万元，主要包括办公费、印刷费、邮电费、公务用车运行维护费。</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2.66</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1.70万</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63.91</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0.96</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36.09</w:t>
      </w:r>
      <w:r>
        <w:rPr>
          <w:rFonts w:hint="eastAsia" w:ascii="仿宋_GB2312" w:hAnsi="Times New Roman" w:eastAsia="仿宋_GB2312" w:cs="Wingdings"/>
          <w:sz w:val="32"/>
          <w:szCs w:val="32"/>
        </w:rPr>
        <w:t>%，主要是</w:t>
      </w:r>
      <w:r>
        <w:rPr>
          <w:rFonts w:hint="eastAsia" w:ascii="仿宋_GB2312" w:hAnsi="仿宋_GB2312" w:eastAsia="仿宋_GB2312" w:cs="仿宋_GB2312"/>
          <w:kern w:val="2"/>
          <w:sz w:val="32"/>
          <w:szCs w:val="32"/>
        </w:rPr>
        <w:t>严格执行中央八项规定，减少</w:t>
      </w:r>
      <w:r>
        <w:rPr>
          <w:rFonts w:hint="eastAsia" w:ascii="仿宋_GB2312" w:hAnsi="仿宋_GB2312" w:eastAsia="仿宋_GB2312" w:cs="仿宋_GB2312"/>
          <w:kern w:val="2"/>
          <w:sz w:val="32"/>
          <w:szCs w:val="32"/>
          <w:lang w:val="en-US" w:eastAsia="zh-CN"/>
        </w:rPr>
        <w:t>公务用车运行维护费用及公务接待</w:t>
      </w:r>
      <w:r>
        <w:rPr>
          <w:rFonts w:hint="eastAsia" w:ascii="仿宋_GB2312" w:hAnsi="Times New Roman" w:eastAsia="仿宋_GB2312" w:cs="Wingdings"/>
          <w:sz w:val="32"/>
          <w:szCs w:val="32"/>
        </w:rPr>
        <w:t>；较2019年度减少</w:t>
      </w:r>
      <w:r>
        <w:rPr>
          <w:rFonts w:hint="eastAsia" w:ascii="仿宋_GB2312" w:hAnsi="Times New Roman" w:eastAsia="仿宋_GB2312" w:cs="Wingdings"/>
          <w:sz w:val="32"/>
          <w:szCs w:val="32"/>
          <w:lang w:val="en-US" w:eastAsia="zh-CN"/>
        </w:rPr>
        <w:t>0.80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32.11</w:t>
      </w:r>
      <w:r>
        <w:rPr>
          <w:rFonts w:hint="eastAsia" w:ascii="仿宋_GB2312" w:hAnsi="Times New Roman" w:eastAsia="仿宋_GB2312" w:cs="Wingdings"/>
          <w:sz w:val="32"/>
          <w:szCs w:val="32"/>
        </w:rPr>
        <w:t>%，主要是</w:t>
      </w:r>
      <w:r>
        <w:rPr>
          <w:rFonts w:hint="eastAsia" w:ascii="仿宋_GB2312" w:hAnsi="仿宋_GB2312" w:eastAsia="仿宋_GB2312" w:cs="仿宋_GB2312"/>
          <w:kern w:val="2"/>
          <w:sz w:val="32"/>
          <w:szCs w:val="32"/>
        </w:rPr>
        <w:t>由于严格执行中央八项规定，</w:t>
      </w:r>
      <w:r>
        <w:rPr>
          <w:rFonts w:hint="eastAsia" w:ascii="仿宋_GB2312" w:hAnsi="仿宋_GB2312" w:eastAsia="仿宋_GB2312" w:cs="仿宋_GB2312"/>
          <w:kern w:val="2"/>
          <w:sz w:val="32"/>
          <w:szCs w:val="32"/>
          <w:lang w:val="en-US" w:eastAsia="zh-CN"/>
        </w:rPr>
        <w:t>厉行节约减少三公经费支出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0.00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仿宋_GB2312" w:eastAsia="仿宋_GB2312" w:cs="仿宋_GB2312"/>
          <w:kern w:val="2"/>
          <w:sz w:val="32"/>
          <w:szCs w:val="32"/>
        </w:rPr>
        <w:t>严格执行中央八项规定，减少</w:t>
      </w:r>
      <w:r>
        <w:rPr>
          <w:rFonts w:hint="eastAsia" w:ascii="仿宋_GB2312" w:hAnsi="仿宋_GB2312" w:eastAsia="仿宋_GB2312" w:cs="仿宋_GB2312"/>
          <w:kern w:val="2"/>
          <w:sz w:val="32"/>
          <w:szCs w:val="32"/>
          <w:lang w:val="en-US" w:eastAsia="zh-CN"/>
        </w:rPr>
        <w:t>费用支出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仿宋_GB2312" w:eastAsia="仿宋_GB2312" w:cs="仿宋_GB2312"/>
          <w:kern w:val="2"/>
          <w:sz w:val="32"/>
          <w:szCs w:val="32"/>
        </w:rPr>
        <w:t>严格执行中央八项规定，减少</w:t>
      </w:r>
      <w:r>
        <w:rPr>
          <w:rFonts w:hint="eastAsia" w:ascii="仿宋_GB2312" w:hAnsi="仿宋_GB2312" w:eastAsia="仿宋_GB2312" w:cs="仿宋_GB2312"/>
          <w:kern w:val="2"/>
          <w:sz w:val="32"/>
          <w:szCs w:val="32"/>
          <w:lang w:val="en-US" w:eastAsia="zh-CN"/>
        </w:rPr>
        <w:t>费用支出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1.70</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68.00</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0.80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32.00</w:t>
      </w:r>
      <w:r>
        <w:rPr>
          <w:rFonts w:hint="eastAsia" w:ascii="仿宋_GB2312" w:hAnsi="Times New Roman" w:eastAsia="仿宋_GB2312" w:cs="Wingdings"/>
          <w:sz w:val="32"/>
          <w:szCs w:val="32"/>
        </w:rPr>
        <w:t>%,主要是</w:t>
      </w:r>
      <w:r>
        <w:rPr>
          <w:rFonts w:hint="eastAsia" w:ascii="仿宋_GB2312" w:hAnsi="仿宋_GB2312" w:eastAsia="仿宋_GB2312" w:cs="仿宋_GB2312"/>
          <w:kern w:val="2"/>
          <w:sz w:val="32"/>
          <w:szCs w:val="32"/>
        </w:rPr>
        <w:t>严格执行中央八项规定，减少</w:t>
      </w:r>
      <w:r>
        <w:rPr>
          <w:rFonts w:hint="eastAsia" w:ascii="仿宋_GB2312" w:hAnsi="仿宋_GB2312" w:eastAsia="仿宋_GB2312" w:cs="仿宋_GB2312"/>
          <w:kern w:val="2"/>
          <w:sz w:val="32"/>
          <w:szCs w:val="32"/>
          <w:lang w:val="en-US" w:eastAsia="zh-CN"/>
        </w:rPr>
        <w:t>公务用车运行</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0.80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32.11</w:t>
      </w:r>
      <w:r>
        <w:rPr>
          <w:rFonts w:hint="eastAsia" w:ascii="仿宋_GB2312" w:hAnsi="Times New Roman" w:eastAsia="仿宋_GB2312" w:cs="Wingdings"/>
          <w:sz w:val="32"/>
          <w:szCs w:val="32"/>
        </w:rPr>
        <w:t>%,主要是</w:t>
      </w:r>
      <w:r>
        <w:rPr>
          <w:rFonts w:hint="eastAsia" w:ascii="仿宋_GB2312" w:hAnsi="仿宋_GB2312" w:eastAsia="仿宋_GB2312" w:cs="仿宋_GB2312"/>
          <w:kern w:val="2"/>
          <w:sz w:val="32"/>
          <w:szCs w:val="32"/>
        </w:rPr>
        <w:t>严格执行中央八项规定，减少</w:t>
      </w:r>
      <w:r>
        <w:rPr>
          <w:rFonts w:hint="eastAsia" w:ascii="仿宋_GB2312" w:hAnsi="仿宋_GB2312" w:eastAsia="仿宋_GB2312" w:cs="仿宋_GB2312"/>
          <w:kern w:val="2"/>
          <w:sz w:val="32"/>
          <w:szCs w:val="32"/>
          <w:lang w:val="en-US" w:eastAsia="zh-CN"/>
        </w:rPr>
        <w:t>公务用车运行</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color w:val="000000"/>
          <w:sz w:val="32"/>
          <w:szCs w:val="32"/>
          <w:highlight w:val="yellow"/>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万元。公务用车购置费支出较预算增加</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%,主要是</w:t>
      </w:r>
      <w:r>
        <w:rPr>
          <w:rFonts w:hint="eastAsia" w:ascii="仿宋_GB2312" w:hAnsi="Times New Roman" w:eastAsia="仿宋_GB2312" w:cs="Wingdings"/>
          <w:color w:val="000000"/>
          <w:sz w:val="32"/>
          <w:szCs w:val="32"/>
          <w:highlight w:val="none"/>
        </w:rPr>
        <w:t>未发生‘公务用车购置’经费支出</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%,主要是</w:t>
      </w:r>
      <w:r>
        <w:rPr>
          <w:rFonts w:hint="eastAsia" w:ascii="仿宋_GB2312" w:hAnsi="Times New Roman" w:eastAsia="仿宋_GB2312" w:cs="Wingdings"/>
          <w:color w:val="000000"/>
          <w:sz w:val="32"/>
          <w:szCs w:val="32"/>
          <w:highlight w:val="none"/>
        </w:rPr>
        <w:t>未发生‘公务用车购置’经费支出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1</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,发生运行维护费支出1.70万元，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0.8</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32.00</w:t>
      </w:r>
      <w:r>
        <w:rPr>
          <w:rFonts w:hint="eastAsia" w:ascii="仿宋_GB2312" w:hAnsi="Times New Roman" w:eastAsia="仿宋_GB2312" w:cs="Wingdings"/>
          <w:sz w:val="32"/>
          <w:szCs w:val="32"/>
        </w:rPr>
        <w:t>%,主要是</w:t>
      </w:r>
      <w:r>
        <w:rPr>
          <w:rFonts w:hint="eastAsia" w:ascii="仿宋_GB2312" w:hAnsi="仿宋_GB2312" w:eastAsia="仿宋_GB2312" w:cs="仿宋_GB2312"/>
          <w:kern w:val="2"/>
          <w:sz w:val="32"/>
          <w:szCs w:val="32"/>
        </w:rPr>
        <w:t>严格执行中央八项规定，减少</w:t>
      </w:r>
      <w:r>
        <w:rPr>
          <w:rFonts w:hint="eastAsia" w:ascii="仿宋_GB2312" w:hAnsi="仿宋_GB2312" w:eastAsia="仿宋_GB2312" w:cs="仿宋_GB2312"/>
          <w:kern w:val="2"/>
          <w:sz w:val="32"/>
          <w:szCs w:val="32"/>
          <w:lang w:val="en-US" w:eastAsia="zh-CN"/>
        </w:rPr>
        <w:t>公务用车运行</w:t>
      </w:r>
      <w:r>
        <w:rPr>
          <w:rFonts w:hint="eastAsia" w:ascii="仿宋_GB2312" w:hAnsi="Times New Roman" w:eastAsia="仿宋_GB2312" w:cs="Wingdings"/>
          <w:sz w:val="32"/>
          <w:szCs w:val="32"/>
        </w:rPr>
        <w:t>；较上年减少</w:t>
      </w:r>
      <w:r>
        <w:rPr>
          <w:rFonts w:hint="eastAsia" w:ascii="仿宋_GB2312" w:hAnsi="Times New Roman" w:eastAsia="仿宋_GB2312" w:cs="Wingdings"/>
          <w:sz w:val="32"/>
          <w:szCs w:val="32"/>
          <w:lang w:val="en-US" w:eastAsia="zh-CN"/>
        </w:rPr>
        <w:t>0.80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32.11</w:t>
      </w:r>
      <w:r>
        <w:rPr>
          <w:rFonts w:hint="eastAsia" w:ascii="仿宋_GB2312" w:hAnsi="Times New Roman" w:eastAsia="仿宋_GB2312" w:cs="Wingdings"/>
          <w:sz w:val="32"/>
          <w:szCs w:val="32"/>
        </w:rPr>
        <w:t>%，主要是</w:t>
      </w:r>
      <w:r>
        <w:rPr>
          <w:rFonts w:hint="eastAsia" w:ascii="仿宋_GB2312" w:hAnsi="仿宋_GB2312" w:eastAsia="仿宋_GB2312" w:cs="仿宋_GB2312"/>
          <w:kern w:val="2"/>
          <w:sz w:val="32"/>
          <w:szCs w:val="32"/>
        </w:rPr>
        <w:t>严格执行中央八项规定，减少</w:t>
      </w:r>
      <w:r>
        <w:rPr>
          <w:rFonts w:hint="eastAsia" w:ascii="仿宋_GB2312" w:hAnsi="仿宋_GB2312" w:eastAsia="仿宋_GB2312" w:cs="仿宋_GB2312"/>
          <w:kern w:val="2"/>
          <w:sz w:val="32"/>
          <w:szCs w:val="32"/>
          <w:lang w:val="en-US" w:eastAsia="zh-CN"/>
        </w:rPr>
        <w:t>公务用车运行</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w:t>
      </w:r>
      <w:r>
        <w:rPr>
          <w:rFonts w:hint="eastAsia" w:ascii="仿宋_GB2312" w:hAnsi="仿宋_GB2312" w:eastAsia="仿宋_GB2312" w:cs="仿宋_GB2312"/>
          <w:b w:val="0"/>
          <w:bCs w:val="0"/>
          <w:sz w:val="32"/>
          <w:szCs w:val="32"/>
          <w:lang w:eastAsia="zh-CN"/>
        </w:rPr>
        <w:t>公务接待</w:t>
      </w:r>
      <w:r>
        <w:rPr>
          <w:rFonts w:hint="eastAsia" w:ascii="仿宋_GB2312" w:hAnsi="仿宋_GB2312" w:eastAsia="仿宋_GB2312" w:cs="仿宋_GB2312"/>
          <w:b w:val="0"/>
          <w:bCs w:val="0"/>
          <w:sz w:val="32"/>
          <w:szCs w:val="32"/>
        </w:rPr>
        <w:t>费支出</w:t>
      </w:r>
      <w:r>
        <w:rPr>
          <w:rFonts w:hint="eastAsia" w:ascii="仿宋_GB2312" w:hAnsi="仿宋_GB2312" w:eastAsia="仿宋_GB2312" w:cs="仿宋_GB2312"/>
          <w:b w:val="0"/>
          <w:bCs w:val="0"/>
          <w:sz w:val="32"/>
          <w:szCs w:val="32"/>
          <w:lang w:val="en-US" w:eastAsia="zh-CN"/>
        </w:rPr>
        <w:t>0.00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0.00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人次。公务接待费支出较预算减少</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%,主要是</w:t>
      </w:r>
      <w:r>
        <w:rPr>
          <w:rFonts w:hint="eastAsia" w:ascii="仿宋_GB2312" w:hAnsi="Times New Roman" w:eastAsia="仿宋_GB2312" w:cs="Wingdings"/>
          <w:color w:val="000000"/>
          <w:sz w:val="32"/>
          <w:szCs w:val="32"/>
          <w:highlight w:val="none"/>
        </w:rPr>
        <w:t>未发生‘</w:t>
      </w:r>
      <w:r>
        <w:rPr>
          <w:rFonts w:hint="eastAsia" w:ascii="仿宋_GB2312" w:hAnsi="Times New Roman" w:eastAsia="仿宋_GB2312" w:cs="Wingdings"/>
          <w:color w:val="000000"/>
          <w:sz w:val="32"/>
          <w:szCs w:val="32"/>
          <w:highlight w:val="none"/>
          <w:lang w:val="en-US" w:eastAsia="zh-CN"/>
        </w:rPr>
        <w:t>公务接待费</w:t>
      </w:r>
      <w:r>
        <w:rPr>
          <w:rFonts w:hint="eastAsia" w:ascii="仿宋_GB2312" w:hAnsi="Times New Roman" w:eastAsia="仿宋_GB2312" w:cs="Wingdings"/>
          <w:color w:val="000000"/>
          <w:sz w:val="32"/>
          <w:szCs w:val="32"/>
          <w:highlight w:val="none"/>
        </w:rPr>
        <w:t>’经费支出</w:t>
      </w:r>
      <w:r>
        <w:rPr>
          <w:rFonts w:hint="eastAsia" w:ascii="仿宋_GB2312" w:hAnsi="Times New Roman" w:eastAsia="仿宋_GB2312" w:cs="Wingdings"/>
          <w:sz w:val="32"/>
          <w:szCs w:val="32"/>
        </w:rPr>
        <w:t>；较上年度减少</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0.00</w:t>
      </w:r>
      <w:r>
        <w:rPr>
          <w:rFonts w:hint="eastAsia" w:ascii="仿宋_GB2312" w:hAnsi="Times New Roman" w:eastAsia="仿宋_GB2312" w:cs="Wingdings"/>
          <w:sz w:val="32"/>
          <w:szCs w:val="32"/>
        </w:rPr>
        <w:t>%,主要是</w:t>
      </w:r>
      <w:r>
        <w:rPr>
          <w:rFonts w:hint="eastAsia" w:ascii="仿宋_GB2312" w:hAnsi="Times New Roman" w:eastAsia="仿宋_GB2312" w:cs="Wingdings"/>
          <w:color w:val="000000"/>
          <w:sz w:val="32"/>
          <w:szCs w:val="32"/>
          <w:highlight w:val="none"/>
        </w:rPr>
        <w:t>未发生‘</w:t>
      </w:r>
      <w:r>
        <w:rPr>
          <w:rFonts w:hint="eastAsia" w:ascii="仿宋_GB2312" w:hAnsi="Times New Roman" w:eastAsia="仿宋_GB2312" w:cs="Wingdings"/>
          <w:color w:val="000000"/>
          <w:sz w:val="32"/>
          <w:szCs w:val="32"/>
          <w:highlight w:val="none"/>
          <w:lang w:val="en-US" w:eastAsia="zh-CN"/>
        </w:rPr>
        <w:t>公务接待费</w:t>
      </w:r>
      <w:r>
        <w:rPr>
          <w:rFonts w:hint="eastAsia" w:ascii="仿宋_GB2312" w:hAnsi="Times New Roman" w:eastAsia="仿宋_GB2312" w:cs="Wingdings"/>
          <w:color w:val="000000"/>
          <w:sz w:val="32"/>
          <w:szCs w:val="32"/>
          <w:highlight w:val="none"/>
        </w:rPr>
        <w:t>’经费支出</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highlight w:val="none"/>
        </w:rPr>
      </w:pPr>
      <w:r>
        <w:rPr>
          <w:rFonts w:hint="eastAsia" w:ascii="黑体" w:hAnsi="Times New Roman" w:eastAsia="黑体" w:cs="Times New Roman"/>
          <w:sz w:val="32"/>
          <w:szCs w:val="40"/>
          <w:highlight w:val="none"/>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6.04%</w:t>
      </w:r>
      <w:r>
        <w:rPr>
          <w:rFonts w:hint="eastAsia" w:ascii="仿宋_GB2312" w:hAnsi="仿宋_GB2312" w:eastAsia="仿宋_GB2312" w:cs="仿宋_GB2312"/>
          <w:sz w:val="32"/>
          <w:szCs w:val="32"/>
        </w:rPr>
        <w:t>；政府性基金预算一级项目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pPr>
        <w:adjustRightInd w:val="0"/>
        <w:snapToGrid w:val="0"/>
        <w:spacing w:line="600" w:lineRule="exact"/>
        <w:ind w:firstLine="643" w:firstLineChars="200"/>
        <w:rPr>
          <w:rFonts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（二） 部门决算中项目绩效自评结果。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w:t>
      </w:r>
      <w:r>
        <w:rPr>
          <w:rFonts w:hint="eastAsia" w:ascii="仿宋_GB2312" w:hAnsi="宋体" w:eastAsia="仿宋_GB2312"/>
          <w:sz w:val="32"/>
          <w:szCs w:val="32"/>
        </w:rPr>
        <w:t>2020年</w:t>
      </w:r>
      <w:r>
        <w:rPr>
          <w:rFonts w:hint="eastAsia" w:ascii="仿宋_GB2312" w:hAnsi="宋体" w:eastAsia="仿宋_GB2312"/>
          <w:sz w:val="32"/>
          <w:szCs w:val="32"/>
          <w:lang w:eastAsia="zh-CN"/>
        </w:rPr>
        <w:t>满城区共青团第一次代表大会</w:t>
      </w:r>
      <w:r>
        <w:rPr>
          <w:rFonts w:hint="eastAsia" w:ascii="仿宋_GB2312" w:hAnsi="仿宋_GB2312" w:eastAsia="仿宋_GB2312" w:cs="仿宋_GB2312"/>
          <w:sz w:val="32"/>
          <w:szCs w:val="32"/>
        </w:rPr>
        <w:t>项目1个项目绩效自评结果。</w:t>
      </w:r>
    </w:p>
    <w:p>
      <w:pPr>
        <w:adjustRightInd w:val="0"/>
        <w:snapToGrid w:val="0"/>
        <w:spacing w:line="6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选举产生新一届代表，</w:t>
      </w:r>
      <w:r>
        <w:rPr>
          <w:rFonts w:hint="eastAsia" w:ascii="Times New Roman" w:hAnsi="Times New Roman" w:eastAsia="仿宋_GB2312" w:cs="Times New Roman"/>
          <w:color w:val="auto"/>
          <w:sz w:val="30"/>
          <w:szCs w:val="30"/>
          <w:lang w:val="en-US" w:eastAsia="zh-CN"/>
        </w:rPr>
        <w:t>整体</w:t>
      </w:r>
      <w:r>
        <w:rPr>
          <w:rFonts w:hint="eastAsia" w:ascii="Times New Roman" w:hAnsi="Times New Roman" w:eastAsia="仿宋_GB2312" w:cs="Times New Roman"/>
          <w:color w:val="auto"/>
          <w:sz w:val="30"/>
          <w:szCs w:val="30"/>
          <w:lang w:eastAsia="zh-CN"/>
        </w:rPr>
        <w:t>决策依据充分，程序规范。绩效目标有待细化，执行部门有序开展相关工作，</w:t>
      </w:r>
      <w:r>
        <w:rPr>
          <w:rFonts w:hint="eastAsia" w:ascii="Times New Roman" w:hAnsi="Times New Roman" w:eastAsia="仿宋_GB2312" w:cs="Times New Roman"/>
          <w:color w:val="auto"/>
          <w:sz w:val="30"/>
          <w:szCs w:val="30"/>
          <w:lang w:val="en-US" w:eastAsia="zh-CN"/>
        </w:rPr>
        <w:t>整体</w:t>
      </w:r>
      <w:r>
        <w:rPr>
          <w:rFonts w:hint="eastAsia" w:ascii="Times New Roman" w:hAnsi="Times New Roman" w:eastAsia="仿宋_GB2312" w:cs="Times New Roman"/>
          <w:color w:val="auto"/>
          <w:sz w:val="30"/>
          <w:szCs w:val="30"/>
          <w:lang w:eastAsia="zh-CN"/>
        </w:rPr>
        <w:t>产出数量达标，工作效率仍有提高空间</w:t>
      </w:r>
    </w:p>
    <w:p>
      <w:pPr>
        <w:adjustRightInd w:val="0"/>
        <w:snapToGrid w:val="0"/>
        <w:spacing w:line="600" w:lineRule="exact"/>
        <w:ind w:firstLine="643" w:firstLineChars="200"/>
        <w:rPr>
          <w:rFonts w:hint="eastAsia"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（三）财政评价项目绩效评价结果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2.36</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5.19</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68.76</w:t>
      </w:r>
      <w:r>
        <w:rPr>
          <w:rFonts w:hint="eastAsia" w:ascii="仿宋_GB2312" w:hAnsi="仿宋_GB2312" w:eastAsia="仿宋_GB2312" w:cs="仿宋_GB2312"/>
          <w:sz w:val="32"/>
          <w:szCs w:val="32"/>
        </w:rPr>
        <w:t>%。主要原因是</w:t>
      </w:r>
      <w:r>
        <w:rPr>
          <w:rFonts w:hint="eastAsia" w:ascii="仿宋_GB2312" w:hAnsi="Times New Roman" w:eastAsia="仿宋_GB2312" w:cs="Wingdings"/>
          <w:sz w:val="32"/>
          <w:szCs w:val="32"/>
        </w:rPr>
        <w:t>主要是</w:t>
      </w:r>
      <w:r>
        <w:rPr>
          <w:rFonts w:hint="eastAsia" w:ascii="仿宋_GB2312" w:hAnsi="仿宋_GB2312" w:eastAsia="仿宋_GB2312" w:cs="仿宋_GB2312"/>
          <w:kern w:val="2"/>
          <w:sz w:val="32"/>
          <w:szCs w:val="32"/>
        </w:rPr>
        <w:t>严格执行中央八项规定，减少</w:t>
      </w:r>
      <w:r>
        <w:rPr>
          <w:rFonts w:hint="eastAsia" w:ascii="仿宋_GB2312" w:hAnsi="仿宋_GB2312" w:eastAsia="仿宋_GB2312" w:cs="仿宋_GB2312"/>
          <w:kern w:val="2"/>
          <w:sz w:val="32"/>
          <w:szCs w:val="32"/>
          <w:lang w:val="en-US" w:eastAsia="zh-CN"/>
        </w:rPr>
        <w:t>机关运行经费支出</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0.00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 xml:space="preserve"> 万元、政府采购工程支出</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 xml:space="preserve">万元、政府采购服务支出 </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0.00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highlight w:val="none"/>
        </w:rPr>
      </w:pPr>
      <w:r>
        <w:rPr>
          <w:rFonts w:hint="eastAsia" w:ascii="黑体" w:hAnsi="黑体" w:eastAsia="黑体" w:cs="黑体"/>
          <w:sz w:val="32"/>
          <w:szCs w:val="32"/>
          <w:highlight w:val="none"/>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辆，比上年增加</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w:t>
      </w:r>
      <w:r>
        <w:rPr>
          <w:rFonts w:hint="eastAsia" w:ascii="仿宋_GB2312" w:hAnsi="仿宋_GB2312" w:eastAsia="仿宋_GB2312" w:cs="仿宋_GB2312"/>
          <w:sz w:val="32"/>
          <w:szCs w:val="32"/>
          <w:highlight w:val="none"/>
        </w:rPr>
        <w:t>主要是</w:t>
      </w:r>
      <w:r>
        <w:rPr>
          <w:rFonts w:hint="eastAsia" w:ascii="仿宋_GB2312" w:hAnsi="仿宋_GB2312" w:eastAsia="仿宋_GB2312" w:cs="仿宋_GB2312"/>
          <w:sz w:val="32"/>
          <w:szCs w:val="32"/>
          <w:highlight w:val="none"/>
          <w:lang w:eastAsia="zh-CN"/>
        </w:rPr>
        <w:t>单位公务用车</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辆，其他用车主要是</w:t>
      </w:r>
      <w:r>
        <w:rPr>
          <w:rFonts w:hint="eastAsia" w:ascii="仿宋_GB2312" w:hAnsi="仿宋_GB2312" w:eastAsia="仿宋_GB2312" w:cs="仿宋_GB2312"/>
          <w:sz w:val="32"/>
          <w:szCs w:val="32"/>
          <w:highlight w:val="none"/>
          <w:lang w:eastAsia="zh-CN"/>
        </w:rPr>
        <w:t>单位公务用车</w:t>
      </w:r>
      <w:r>
        <w:rPr>
          <w:rFonts w:hint="eastAsia" w:ascii="仿宋_GB2312" w:hAnsi="仿宋_GB2312" w:eastAsia="仿宋_GB2312" w:cs="仿宋_GB2312"/>
          <w:sz w:val="32"/>
          <w:szCs w:val="32"/>
          <w:highlight w:val="none"/>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highlight w:val="none"/>
        </w:rPr>
        <w:t>单</w:t>
      </w:r>
      <w:r>
        <w:rPr>
          <w:rFonts w:hint="eastAsia" w:ascii="仿宋_GB2312" w:hAnsi="仿宋_GB2312" w:eastAsia="仿宋_GB2312" w:cs="仿宋_GB2312"/>
          <w:sz w:val="32"/>
          <w:szCs w:val="32"/>
        </w:rPr>
        <w:t>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仿宋_GB2312" w:eastAsia="仿宋_GB2312" w:cs="仿宋_GB2312"/>
          <w:sz w:val="32"/>
          <w:szCs w:val="32"/>
          <w:lang w:val="en-US" w:eastAsia="zh-CN"/>
        </w:rPr>
        <w:t>与上年度数据一致</w:t>
      </w:r>
      <w:r>
        <w:rPr>
          <w:rFonts w:hint="eastAsia" w:ascii="仿宋_GB2312" w:hAnsi="仿宋_GB2312" w:eastAsia="仿宋_GB2312" w:cs="仿宋_GB2312"/>
          <w:sz w:val="32"/>
          <w:szCs w:val="32"/>
        </w:rPr>
        <w:t>，单位价值100万元以上专用设备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台（套）比上年增加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套，主要是</w:t>
      </w:r>
      <w:r>
        <w:rPr>
          <w:rFonts w:hint="eastAsia" w:ascii="仿宋_GB2312" w:hAnsi="仿宋_GB2312" w:eastAsia="仿宋_GB2312" w:cs="仿宋_GB2312"/>
          <w:sz w:val="32"/>
          <w:szCs w:val="32"/>
          <w:lang w:val="en-US" w:eastAsia="zh-CN"/>
        </w:rPr>
        <w:t>与上年度数据一致</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rPr>
        <w:t>1. 本部门2020年度未发生</w:t>
      </w:r>
      <w:r>
        <w:rPr>
          <w:rFonts w:hint="eastAsia" w:ascii="仿宋_GB2312" w:hAnsi="仿宋_GB2312" w:eastAsia="仿宋_GB2312" w:cs="仿宋_GB2312"/>
          <w:sz w:val="32"/>
          <w:szCs w:val="32"/>
          <w:highlight w:val="none"/>
        </w:rPr>
        <w:t>政府性基金预算、国有资金经营预算</w:t>
      </w:r>
      <w:r>
        <w:rPr>
          <w:rFonts w:hint="eastAsia" w:ascii="仿宋_GB2312" w:hAnsi="仿宋_GB2312" w:eastAsia="仿宋_GB2312" w:cs="仿宋_GB2312"/>
          <w:sz w:val="32"/>
          <w:szCs w:val="32"/>
        </w:rPr>
        <w:t>收支及结转结余情况，</w:t>
      </w:r>
      <w:r>
        <w:rPr>
          <w:rFonts w:hint="eastAsia" w:ascii="仿宋_GB2312" w:hAnsi="仿宋_GB2312" w:eastAsia="仿宋_GB2312" w:cs="仿宋_GB2312"/>
          <w:sz w:val="32"/>
          <w:szCs w:val="32"/>
          <w:highlight w:val="none"/>
        </w:rPr>
        <w:t>故政府性基金预算财政拨款收入支出决算表、国有资本经营预算财政拨款支出决算表以空表列示。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rPr>
        <w:t>2. 由于决算公开表格中金</w:t>
      </w:r>
      <w:r>
        <w:rPr>
          <w:rFonts w:hint="eastAsia" w:ascii="仿宋_GB2312" w:hAnsi="仿宋_GB2312" w:eastAsia="仿宋_GB2312" w:cs="仿宋_GB2312"/>
          <w:sz w:val="32"/>
          <w:szCs w:val="32"/>
        </w:rPr>
        <w:t>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8"/>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bookmarkStart w:id="0" w:name="_GoBack"/>
      <w:bookmarkEnd w:id="0"/>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5"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6432"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6432;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8"/>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abs>
                <w:tab w:val="left" w:pos="411"/>
                <w:tab w:val="right" w:pos="956"/>
              </w:tabs>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eastAsia="zh-CN" w:bidi="ar"/>
              </w:rPr>
              <w:t>54.61</w:t>
            </w:r>
            <w:r>
              <w:rPr>
                <w:rFonts w:hint="eastAsia" w:ascii="宋体" w:hAnsi="宋体" w:eastAsia="宋体" w:cs="宋体"/>
                <w:color w:val="000000"/>
                <w:kern w:val="0"/>
                <w:sz w:val="18"/>
                <w:szCs w:val="18"/>
                <w:lang w:eastAsia="zh-CN" w:bidi="ar"/>
              </w:rPr>
              <w:tab/>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44.7</w:t>
            </w:r>
            <w:r>
              <w:rPr>
                <w:rFonts w:hint="eastAsia" w:ascii="宋体" w:hAnsi="宋体" w:eastAsia="宋体" w:cs="宋体"/>
                <w:color w:val="000000"/>
                <w:kern w:val="0"/>
                <w:sz w:val="18"/>
                <w:szCs w:val="18"/>
                <w:lang w:val="en-US" w:eastAsia="zh-CN" w:bidi="ar"/>
              </w:rPr>
              <w:t>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5.13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2.07</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2.72</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54.61</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54.61</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使用非财政拨款结余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54.61</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54.61</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5"/>
        <w:tblW w:w="10426" w:type="dxa"/>
        <w:jc w:val="center"/>
        <w:tblLayout w:type="autofit"/>
        <w:tblCellMar>
          <w:top w:w="0" w:type="dxa"/>
          <w:left w:w="0" w:type="dxa"/>
          <w:bottom w:w="0" w:type="dxa"/>
          <w:right w:w="0" w:type="dxa"/>
        </w:tblCellMar>
      </w:tblPr>
      <w:tblGrid>
        <w:gridCol w:w="1032"/>
        <w:gridCol w:w="59"/>
        <w:gridCol w:w="60"/>
        <w:gridCol w:w="2377"/>
        <w:gridCol w:w="1761"/>
        <w:gridCol w:w="1761"/>
        <w:gridCol w:w="473"/>
        <w:gridCol w:w="1073"/>
        <w:gridCol w:w="1073"/>
        <w:gridCol w:w="760"/>
        <w:gridCol w:w="640"/>
      </w:tblGrid>
      <w:tr>
        <w:tblPrEx>
          <w:tblCellMar>
            <w:top w:w="0" w:type="dxa"/>
            <w:left w:w="0" w:type="dxa"/>
            <w:bottom w:w="0" w:type="dxa"/>
            <w:right w:w="0" w:type="dxa"/>
          </w:tblCellMar>
        </w:tblPrEx>
        <w:trPr>
          <w:trHeight w:val="670" w:hRule="atLeast"/>
          <w:jc w:val="center"/>
        </w:trPr>
        <w:tc>
          <w:tcPr>
            <w:tcW w:w="10426"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473"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56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56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61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95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95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79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72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151"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56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56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1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56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6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1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151"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56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6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1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2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5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56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61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95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95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79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7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color w:val="000000"/>
                <w:sz w:val="22"/>
                <w:lang w:val="en-US" w:eastAsia="zh-CN"/>
              </w:rPr>
            </w:pPr>
            <w:r>
              <w:rPr>
                <w:rFonts w:hint="eastAsia" w:ascii="宋体" w:hAnsi="宋体" w:eastAsia="宋体" w:cs="宋体"/>
                <w:b/>
                <w:bCs/>
                <w:i w:val="0"/>
                <w:iCs w:val="0"/>
                <w:color w:val="000000"/>
                <w:kern w:val="0"/>
                <w:sz w:val="22"/>
                <w:szCs w:val="22"/>
                <w:u w:val="none"/>
                <w:lang w:val="en-US" w:eastAsia="zh-CN" w:bidi="ar"/>
              </w:rPr>
              <w:t>54.61</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22"/>
              </w:rPr>
            </w:pPr>
            <w:r>
              <w:rPr>
                <w:rFonts w:hint="eastAsia" w:ascii="宋体" w:hAnsi="宋体" w:eastAsia="宋体" w:cs="宋体"/>
                <w:b/>
                <w:bCs/>
                <w:i w:val="0"/>
                <w:iCs w:val="0"/>
                <w:color w:val="000000"/>
                <w:kern w:val="0"/>
                <w:sz w:val="22"/>
                <w:szCs w:val="22"/>
                <w:u w:val="none"/>
                <w:lang w:val="en-US" w:eastAsia="zh-CN" w:bidi="ar"/>
              </w:rPr>
              <w:t>54.61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201</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一般公共服务支出</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44.70</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44.70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20129</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群众团体事务</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44.70</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44.70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2012901</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10.58</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10.58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2012999</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其他群众团体事务支出</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34.11</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34.11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208</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5.13</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5.13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20805</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5.13</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5.13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2080505</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5.13</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5.13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210</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卫生健康支出</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21011</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行政事业单位医疗</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2.07</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2101101</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2.07</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221</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住房保障支出</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2.72</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2.72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22102</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住房改革支出</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2.72</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2.72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151"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2210201</w:t>
            </w:r>
          </w:p>
        </w:tc>
        <w:tc>
          <w:tcPr>
            <w:tcW w:w="21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2.72</w:t>
            </w:r>
          </w:p>
        </w:tc>
        <w:tc>
          <w:tcPr>
            <w:tcW w:w="156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2.72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54.61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color w:val="000000"/>
                <w:sz w:val="18"/>
                <w:szCs w:val="18"/>
              </w:rPr>
            </w:pPr>
            <w:r>
              <w:rPr>
                <w:rFonts w:hint="eastAsia" w:ascii="宋体" w:hAnsi="宋体" w:eastAsia="宋体" w:cs="宋体"/>
                <w:b/>
                <w:bCs/>
                <w:i w:val="0"/>
                <w:iCs w:val="0"/>
                <w:color w:val="000000"/>
                <w:kern w:val="0"/>
                <w:sz w:val="22"/>
                <w:szCs w:val="22"/>
                <w:u w:val="none"/>
                <w:lang w:val="en-US" w:eastAsia="zh-CN" w:bidi="ar"/>
              </w:rPr>
              <w:t>54.61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44.70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44.70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20129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群众团体事务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44.70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44.70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2012901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10.58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10.58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2012999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其他群众团体事务支出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34.11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34.11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5.13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6"/>
              <w:gridCol w:w="446"/>
              <w:gridCol w:w="648"/>
              <w:gridCol w:w="701"/>
              <w:gridCol w:w="850"/>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6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04"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6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6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0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648"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0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85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648"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70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54.61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44.70</w:t>
                  </w: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44.70</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5.13</w:t>
                  </w: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5.13</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2.07</w:t>
                  </w: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2.07</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34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2.72</w:t>
                  </w: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2.72</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54.61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54.61</w:t>
                  </w: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54.61</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hint="eastAsia" w:ascii="Times New Roman" w:hAnsi="Times New Roman" w:eastAsia="宋体" w:cs="Times New Roman"/>
                      <w:kern w:val="0"/>
                      <w:sz w:val="15"/>
                      <w:szCs w:val="15"/>
                      <w:lang w:val="en-US" w:eastAsia="zh-CN"/>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Times New Roman" w:hAnsi="Times New Roman" w:eastAsia="宋体" w:cs="Times New Roman"/>
                      <w:kern w:val="0"/>
                      <w:sz w:val="15"/>
                      <w:szCs w:val="15"/>
                      <w:lang w:val="en-US" w:eastAsia="zh-CN"/>
                    </w:rPr>
                    <w:t>54.61</w:t>
                  </w:r>
                </w:p>
              </w:tc>
              <w:tc>
                <w:tcPr>
                  <w:tcW w:w="245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648"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Times New Roman" w:hAnsi="Times New Roman" w:eastAsia="宋体" w:cs="Times New Roman"/>
                      <w:kern w:val="0"/>
                      <w:sz w:val="15"/>
                      <w:szCs w:val="15"/>
                      <w:lang w:val="en-US" w:eastAsia="zh-CN"/>
                    </w:rPr>
                    <w:t>54.61</w:t>
                  </w:r>
                </w:p>
              </w:tc>
              <w:tc>
                <w:tcPr>
                  <w:tcW w:w="70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r>
                    <w:rPr>
                      <w:rFonts w:hint="eastAsia" w:ascii="Times New Roman" w:hAnsi="Times New Roman" w:eastAsia="宋体" w:cs="Times New Roman"/>
                      <w:kern w:val="0"/>
                      <w:sz w:val="15"/>
                      <w:szCs w:val="15"/>
                      <w:lang w:val="en-US" w:eastAsia="zh-CN"/>
                    </w:rPr>
                    <w:t>54.61</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54.61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54.61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44.70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44.70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20129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群众团体事务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44.70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44.70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2012901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10.58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10.58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2012999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其他群众团体事务支出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34.11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34.11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5.13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5.13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5.13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5.13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5.13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5.13</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2.07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2.72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2.72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2.72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2.72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2.72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22"/>
                <w:szCs w:val="22"/>
                <w:u w:val="none"/>
                <w:lang w:val="en-US" w:eastAsia="zh-CN" w:bidi="ar"/>
              </w:rPr>
              <w:t>2.72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37"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48.95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5.66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30.94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2.70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6.77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0.90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5.13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0.36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2.07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2.72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1.70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48.95</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5.66</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2.66</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0.16</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1.70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1.70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1.70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966"/>
        <w:gridCol w:w="61"/>
        <w:gridCol w:w="61"/>
        <w:gridCol w:w="1407"/>
        <w:gridCol w:w="1169"/>
        <w:gridCol w:w="1169"/>
        <w:gridCol w:w="1169"/>
        <w:gridCol w:w="1169"/>
        <w:gridCol w:w="1169"/>
        <w:gridCol w:w="117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eastAsia" w:ascii="宋体" w:hAnsi="宋体" w:eastAsia="宋体" w:cs="宋体"/>
          <w:sz w:val="20"/>
          <w:szCs w:val="22"/>
        </w:rPr>
      </w:pPr>
      <w:r>
        <w:rPr>
          <w:rFonts w:hint="eastAsia" w:ascii="宋体" w:hAnsi="宋体" w:eastAsia="宋体" w:cs="宋体"/>
          <w:sz w:val="20"/>
          <w:szCs w:val="22"/>
        </w:rPr>
        <w:t>注：本表反映部门本年度政府性基金预算财政拨款收入、支出及结转结余情况。</w:t>
      </w:r>
    </w:p>
    <w:p>
      <w:pPr>
        <w:rPr>
          <w:rFonts w:hint="eastAsia" w:ascii="宋体" w:hAnsi="宋体" w:eastAsia="宋体" w:cs="宋体"/>
        </w:rPr>
      </w:pPr>
      <w:r>
        <w:rPr>
          <w:rFonts w:hint="eastAsia"/>
          <w:b w:val="0"/>
          <w:bCs/>
          <w:color w:val="auto"/>
          <w:sz w:val="20"/>
          <w:szCs w:val="22"/>
          <w:highlight w:val="none"/>
        </w:rPr>
        <w:t>本部门本年度无相关收入（或支出、收支及结转结余等）情况，按要求空表列示。</w:t>
      </w:r>
    </w:p>
    <w:p>
      <w:pPr>
        <w:rPr>
          <w:rFonts w:hint="eastAsia" w:ascii="宋体" w:hAnsi="宋体" w:eastAsia="宋体" w:cs="宋体"/>
          <w:sz w:val="20"/>
          <w:szCs w:val="22"/>
        </w:rPr>
      </w:pP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hint="eastAsia" w:ascii="宋体" w:hAnsi="宋体" w:eastAsia="宋体" w:cs="宋体"/>
        </w:rPr>
      </w:pPr>
      <w:r>
        <w:rPr>
          <w:rFonts w:hint="eastAsia" w:ascii="宋体" w:hAnsi="宋体" w:eastAsia="宋体" w:cs="宋体"/>
        </w:rPr>
        <w:t>注：本表反映部门本年度国有资本经营预算财政拨款收入、支出及结转结余情况。</w:t>
      </w:r>
    </w:p>
    <w:p>
      <w:pPr>
        <w:rPr>
          <w:rFonts w:hint="eastAsia" w:ascii="宋体" w:hAnsi="宋体" w:eastAsia="宋体" w:cs="宋体"/>
        </w:rPr>
      </w:pPr>
      <w:r>
        <w:rPr>
          <w:rFonts w:hint="eastAsia"/>
          <w:b w:val="0"/>
          <w:bCs/>
          <w:color w:val="auto"/>
          <w:sz w:val="20"/>
          <w:szCs w:val="22"/>
          <w:highlight w:val="none"/>
        </w:rPr>
        <w:t>本部门本年度无相关收入（或支出、收支及结转结余等）情况，按要求空表列示。</w:t>
      </w:r>
    </w:p>
    <w:p>
      <w:pPr>
        <w:rPr>
          <w:rFonts w:hint="eastAsia" w:ascii="宋体" w:hAnsi="宋体" w:eastAsia="宋体" w:cs="宋体"/>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5408"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5408;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4CCBEE"/>
    <w:multiLevelType w:val="singleLevel"/>
    <w:tmpl w:val="594CCBEE"/>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1A05"/>
    <w:rsid w:val="0018668E"/>
    <w:rsid w:val="001B73D2"/>
    <w:rsid w:val="001E62BF"/>
    <w:rsid w:val="00293E7B"/>
    <w:rsid w:val="002D1F4F"/>
    <w:rsid w:val="00366D90"/>
    <w:rsid w:val="003D678E"/>
    <w:rsid w:val="00801F66"/>
    <w:rsid w:val="009334BF"/>
    <w:rsid w:val="0100191C"/>
    <w:rsid w:val="058B71E0"/>
    <w:rsid w:val="08056F9A"/>
    <w:rsid w:val="09E52919"/>
    <w:rsid w:val="0AE032DF"/>
    <w:rsid w:val="0BB7042D"/>
    <w:rsid w:val="0EA325C9"/>
    <w:rsid w:val="1084375C"/>
    <w:rsid w:val="132F67BD"/>
    <w:rsid w:val="140C26FA"/>
    <w:rsid w:val="19BF2A57"/>
    <w:rsid w:val="19F030F4"/>
    <w:rsid w:val="1C341095"/>
    <w:rsid w:val="20034CE6"/>
    <w:rsid w:val="25DA0948"/>
    <w:rsid w:val="2C050491"/>
    <w:rsid w:val="2C5018D9"/>
    <w:rsid w:val="2CAA2890"/>
    <w:rsid w:val="2FB96948"/>
    <w:rsid w:val="2FD12F8B"/>
    <w:rsid w:val="32A149D2"/>
    <w:rsid w:val="3327616A"/>
    <w:rsid w:val="34C45458"/>
    <w:rsid w:val="35C83C42"/>
    <w:rsid w:val="38C918F5"/>
    <w:rsid w:val="3937609A"/>
    <w:rsid w:val="3F0D6438"/>
    <w:rsid w:val="434F7BC5"/>
    <w:rsid w:val="43AA7515"/>
    <w:rsid w:val="59102E41"/>
    <w:rsid w:val="5C7910FA"/>
    <w:rsid w:val="5C824A6E"/>
    <w:rsid w:val="5D0C63C4"/>
    <w:rsid w:val="5F706EA3"/>
    <w:rsid w:val="62F04508"/>
    <w:rsid w:val="65AC102B"/>
    <w:rsid w:val="67A54F41"/>
    <w:rsid w:val="6BCA51B6"/>
    <w:rsid w:val="719B77AA"/>
    <w:rsid w:val="72CC51CA"/>
    <w:rsid w:val="73D824BD"/>
    <w:rsid w:val="7415200F"/>
    <w:rsid w:val="77EA1B2F"/>
    <w:rsid w:val="7B29090A"/>
    <w:rsid w:val="7D8D1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
    <w:name w:val="[Normal]"/>
    <w:qFormat/>
    <w:uiPriority w:val="99"/>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2.bmp"/><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42.37</c:v>
                </c:pt>
                <c:pt idx="1">
                  <c:v>54.61</c:v>
                </c:pt>
              </c:numCache>
            </c:numRef>
          </c:val>
        </c:ser>
        <c:dLbls>
          <c:showLegendKey val="0"/>
          <c:showVal val="1"/>
          <c:showCatName val="0"/>
          <c:showSerName val="0"/>
          <c:showPercent val="0"/>
          <c:showBubbleSize val="0"/>
        </c:dLbls>
        <c:gapWidth val="219"/>
        <c:overlap val="-27"/>
        <c:axId val="462451782"/>
        <c:axId val="737457775"/>
      </c:barChart>
      <c:catAx>
        <c:axId val="46245178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737457775"/>
        <c:crosses val="autoZero"/>
        <c:auto val="1"/>
        <c:lblAlgn val="ctr"/>
        <c:lblOffset val="100"/>
        <c:noMultiLvlLbl val="0"/>
      </c:catAx>
      <c:valAx>
        <c:axId val="73745777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46245178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30312807730552"/>
          <c:y val="0.36317316982804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财政拨款支出决算结构（按功能分类）</a:t>
            </a:r>
          </a:p>
        </c:rich>
      </c:tx>
      <c:layout/>
      <c:overlay val="0"/>
      <c:spPr>
        <a:noFill/>
        <a:ln>
          <a:noFill/>
        </a:ln>
        <a:effectLst/>
      </c:spPr>
    </c:title>
    <c:autoTitleDeleted val="0"/>
    <c:plotArea>
      <c:layout>
        <c:manualLayout>
          <c:layoutTarget val="inner"/>
          <c:xMode val="edge"/>
          <c:yMode val="edge"/>
          <c:x val="0.027875"/>
          <c:y val="0.174666666666667"/>
          <c:w val="0.61525"/>
          <c:h val="0.820333333333333"/>
        </c:manualLayout>
      </c:layout>
      <c:pieChart>
        <c:varyColors val="1"/>
        <c:ser>
          <c:idx val="0"/>
          <c:order val="0"/>
          <c:tx>
            <c:strRef>
              <c:f>Sheet1!$B$1</c:f>
              <c:strCache>
                <c:ptCount val="1"/>
                <c:pt idx="0">
                  <c:v>销售额</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一般公共类服务（类）支出</c:v>
                </c:pt>
                <c:pt idx="1">
                  <c:v>社会保障和就业（类）支出</c:v>
                </c:pt>
                <c:pt idx="2">
                  <c:v>卫生健康（类）支出</c:v>
                </c:pt>
                <c:pt idx="3">
                  <c:v>住房保障（类）支出</c:v>
                </c:pt>
              </c:strCache>
            </c:strRef>
          </c:cat>
          <c:val>
            <c:numRef>
              <c:f>Sheet1!$B$2:$B$5</c:f>
              <c:numCache>
                <c:formatCode>0.00%</c:formatCode>
                <c:ptCount val="4"/>
                <c:pt idx="0">
                  <c:v>0.8185</c:v>
                </c:pt>
                <c:pt idx="1">
                  <c:v>0.0939</c:v>
                </c:pt>
                <c:pt idx="2">
                  <c:v>0.0379</c:v>
                </c:pt>
                <c:pt idx="3">
                  <c:v>0.0497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9</TotalTime>
  <ScaleCrop>false</ScaleCrop>
  <LinksUpToDate>false</LinksUpToDate>
  <CharactersWithSpaces>11585</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Administrator</cp:lastModifiedBy>
  <dcterms:modified xsi:type="dcterms:W3CDTF">2022-05-25T02:14:20Z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649A7D375EA149B1B4D560650102A0F9</vt:lpwstr>
  </property>
</Properties>
</file>