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cstate="print"/>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rPr>
      </w:pPr>
      <w:r>
        <w:rPr>
          <w:rFonts w:hint="eastAsia" w:ascii="楷体_GB2312" w:hAnsi="楷体_GB2312" w:eastAsia="楷体_GB2312" w:cs="楷体_GB2312"/>
          <w:color w:val="000000" w:themeColor="text1"/>
          <w:kern w:val="0"/>
          <w:sz w:val="44"/>
          <w:szCs w:val="44"/>
        </w:rPr>
        <w:t>保定市满城区人民法院</w:t>
      </w:r>
    </w:p>
    <w:p>
      <w:pPr>
        <w:snapToGrid w:val="0"/>
        <w:jc w:val="center"/>
        <w:rPr>
          <w:rFonts w:ascii="楷体_GB2312" w:hAnsi="楷体_GB2312" w:eastAsia="楷体_GB2312" w:cs="楷体_GB2312"/>
          <w:color w:val="000000" w:themeColor="text1"/>
          <w:kern w:val="0"/>
          <w:sz w:val="40"/>
          <w:szCs w:val="40"/>
        </w:rPr>
      </w:pPr>
      <w:r>
        <w:rPr>
          <w:rFonts w:hint="eastAsia" w:ascii="楷体_GB2312" w:hAnsi="楷体_GB2312" w:eastAsia="楷体_GB2312" w:cs="楷体_GB2312"/>
          <w:color w:val="000000" w:themeColor="text1"/>
          <w:kern w:val="0"/>
          <w:sz w:val="40"/>
          <w:szCs w:val="40"/>
        </w:rPr>
        <w:t>二〇二一年九月</w:t>
      </w: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4"/>
          <w:szCs w:val="44"/>
        </w:rPr>
      </w:pPr>
    </w:p>
    <w:p>
      <w:pPr>
        <w:jc w:val="center"/>
        <w:rPr>
          <w:rFonts w:ascii="黑体" w:hAnsi="黑体" w:eastAsia="黑体" w:cs="黑体"/>
          <w:sz w:val="72"/>
          <w:szCs w:val="96"/>
        </w:rPr>
      </w:pPr>
      <w:r>
        <w:rPr>
          <w:rFonts w:hint="eastAsia" w:ascii="黑体" w:hAnsi="黑体" w:eastAsia="黑体" w:cs="黑体"/>
          <w:sz w:val="72"/>
          <w:szCs w:val="96"/>
        </w:rPr>
        <w:t>保定市满城区人民法院</w:t>
      </w:r>
    </w:p>
    <w:p>
      <w:pPr>
        <w:jc w:val="center"/>
        <w:rPr>
          <w:rFonts w:ascii="黑体" w:hAnsi="黑体" w:eastAsia="黑体" w:cs="黑体"/>
          <w:sz w:val="72"/>
          <w:szCs w:val="96"/>
          <w:highlight w:val="yellow"/>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rPr>
        <w:t>二〇二一年九月</w:t>
      </w:r>
    </w:p>
    <w:p>
      <w:pPr>
        <w:snapToGrid w:val="0"/>
        <w:jc w:val="center"/>
        <w:rPr>
          <w:rFonts w:ascii="楷体_GB2312" w:hAnsi="楷体_GB2312" w:eastAsia="楷体_GB2312" w:cs="楷体_GB2312"/>
          <w:color w:val="000000" w:themeColor="text1"/>
          <w:kern w:val="0"/>
          <w:sz w:val="40"/>
          <w:szCs w:val="40"/>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hint="eastAsia" w:eastAsia="黑体"/>
          <w:sz w:val="32"/>
          <w:szCs w:val="32"/>
        </w:rPr>
      </w:pPr>
    </w:p>
    <w:p>
      <w:pPr>
        <w:widowControl/>
        <w:spacing w:line="580" w:lineRule="exact"/>
        <w:ind w:firstLine="640" w:firstLineChars="200"/>
        <w:rPr>
          <w:rFonts w:hint="eastAsia" w:eastAsia="黑体"/>
          <w:sz w:val="32"/>
          <w:szCs w:val="32"/>
        </w:rPr>
      </w:pPr>
    </w:p>
    <w:p>
      <w:pPr>
        <w:widowControl/>
        <w:spacing w:line="580" w:lineRule="exact"/>
        <w:ind w:firstLine="640" w:firstLineChars="200"/>
        <w:rPr>
          <w:rFonts w:hint="eastAsia" w:eastAsia="黑体"/>
          <w:sz w:val="32"/>
          <w:szCs w:val="32"/>
        </w:rPr>
      </w:pPr>
    </w:p>
    <w:p>
      <w:pPr>
        <w:rPr>
          <w:rFonts w:hint="eastAsia"/>
        </w:rPr>
      </w:pPr>
      <w:r>
        <w:rPr>
          <w:rFonts w:hint="eastAsia"/>
          <w:sz w:val="72"/>
        </w:rPr>
        <w:pict>
          <v:shape id="_x0000_s1026" o:spid="_x0000_s1026" o:spt="202" type="#_x0000_t202" style="position:absolute;left:0pt;margin-left:-85.7pt;margin-top:80.7pt;height:263.1pt;width:613.65pt;z-index:251660288;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path/>
            <v:fill type="pattern" on="t" color2="#FFFFFF" o:title="5%" focussize="0,0" r:id="rId14"/>
            <v:stroke weight="1pt" color="#A6A6A6" joinstyle="round"/>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w:r>
      <w:r>
        <w:br w:type="page"/>
      </w:r>
    </w:p>
    <w:p>
      <w:pPr>
        <w:pStyle w:val="2"/>
        <w:spacing w:before="0" w:after="0" w:line="580" w:lineRule="exact"/>
        <w:ind w:firstLine="640" w:firstLineChars="200"/>
        <w:jc w:val="left"/>
        <w:rPr>
          <w:rFonts w:hint="eastAsia" w:ascii="黑体" w:eastAsia="黑体" w:cs="黑体"/>
          <w:b w:val="0"/>
          <w:bCs w:val="0"/>
          <w:kern w:val="0"/>
          <w:sz w:val="32"/>
          <w:szCs w:val="32"/>
        </w:rPr>
      </w:pPr>
      <w:r>
        <w:rPr>
          <w:rFonts w:hint="eastAsia" w:ascii="黑体" w:eastAsia="黑体" w:cs="黑体"/>
          <w:b w:val="0"/>
          <w:bCs w:val="0"/>
          <w:kern w:val="0"/>
          <w:sz w:val="32"/>
          <w:szCs w:val="32"/>
        </w:rPr>
        <w:t>一、部门职责</w:t>
      </w:r>
    </w:p>
    <w:p>
      <w:pPr>
        <w:keepNext/>
        <w:keepLines/>
        <w:spacing w:line="580" w:lineRule="exact"/>
        <w:ind w:firstLine="1280" w:firstLineChars="4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保定市满城区人民法院其主要职责是:</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(一)深入贯彻习近平新时代中国特色社会主义思想，深入</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贯彻党的路线方针政策和决策部署，坚持党对法院工作的绝对领</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导，坚决维护习近平总书记的核心地位，坚决维护党中央权威和</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集中统一领导。</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(二)依法审判法律规定由满城区人民法院管辖的刑事、民</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事、行政等第一审案件。</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(三)依法审判上级人民法院指定、同级人民法院移送的刑</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事、民事、行政等第一审案件。</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审查和受理各类申诉案件，审判各类再审案件，处理来信来访。</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依法办理发生法律效力的民事、行政案件判决和裁定执行事项及刑事案件判决和裁定中关于财产部分的执行事项;办理法律规定由基层人民法院执行的其他法律文书的执行事项。</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负责审判工作的调查研究，总结审判工作经验。</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负责干警思想政治教育和业务培训工作;按照权限管理法官和其他工作人员。</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管理有关经费及物资装备。</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负责司法技术鉴定、通讯、计算机等技术管理工作。</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负责审判工作中的法制宣传，教育公民忠于祖国，自</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觉遵守宪法、法律和社会公德。</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完成其他应由满城区人民法院负责的工作。</w:t>
      </w:r>
    </w:p>
    <w:p>
      <w:pPr>
        <w:keepNext/>
        <w:keepLines/>
        <w:spacing w:line="580" w:lineRule="exact"/>
        <w:ind w:firstLine="640" w:firstLineChars="200"/>
        <w:jc w:val="left"/>
        <w:outlineLvl w:val="0"/>
        <w:rPr>
          <w:rFonts w:hint="eastAsia"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  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0"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保定市满城区人民法院</w:t>
            </w:r>
          </w:p>
          <w:p>
            <w:pPr>
              <w:spacing w:line="560" w:lineRule="exact"/>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(本级)</w:t>
            </w:r>
          </w:p>
        </w:tc>
        <w:tc>
          <w:tcPr>
            <w:tcW w:w="2404" w:type="dxa"/>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行政机关</w:t>
            </w:r>
          </w:p>
        </w:tc>
        <w:tc>
          <w:tcPr>
            <w:tcW w:w="2620" w:type="dxa"/>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2</w:t>
            </w:r>
          </w:p>
        </w:tc>
        <w:tc>
          <w:tcPr>
            <w:tcW w:w="3426" w:type="dxa"/>
          </w:tcPr>
          <w:p>
            <w:pPr>
              <w:spacing w:line="560" w:lineRule="exact"/>
              <w:rPr>
                <w:rFonts w:hint="eastAsia" w:ascii="仿宋_GB2312" w:hAnsi="Calibri" w:eastAsia="仿宋_GB2312" w:cs="Arial Black"/>
                <w:kern w:val="0"/>
                <w:sz w:val="28"/>
                <w:szCs w:val="28"/>
              </w:rPr>
            </w:pPr>
          </w:p>
        </w:tc>
        <w:tc>
          <w:tcPr>
            <w:tcW w:w="2404" w:type="dxa"/>
          </w:tcPr>
          <w:p>
            <w:pPr>
              <w:spacing w:line="560" w:lineRule="exact"/>
              <w:jc w:val="center"/>
              <w:rPr>
                <w:rFonts w:hint="eastAsia" w:ascii="仿宋_GB2312" w:hAnsi="Calibri" w:eastAsia="仿宋_GB2312" w:cs="Arial Black"/>
                <w:kern w:val="0"/>
                <w:sz w:val="28"/>
                <w:szCs w:val="28"/>
              </w:rPr>
            </w:pPr>
          </w:p>
        </w:tc>
        <w:tc>
          <w:tcPr>
            <w:tcW w:w="2620" w:type="dxa"/>
          </w:tcPr>
          <w:p>
            <w:pPr>
              <w:spacing w:line="560" w:lineRule="exact"/>
              <w:jc w:val="center"/>
              <w:rPr>
                <w:rFonts w:hint="eastAsia"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3</w:t>
            </w:r>
          </w:p>
        </w:tc>
        <w:tc>
          <w:tcPr>
            <w:tcW w:w="3426" w:type="dxa"/>
          </w:tcPr>
          <w:p>
            <w:pPr>
              <w:spacing w:line="560" w:lineRule="exact"/>
              <w:rPr>
                <w:rFonts w:hint="eastAsia" w:ascii="仿宋_GB2312" w:hAnsi="Calibri" w:eastAsia="仿宋_GB2312" w:cs="Arial Black"/>
                <w:kern w:val="0"/>
                <w:sz w:val="28"/>
                <w:szCs w:val="28"/>
              </w:rPr>
            </w:pPr>
          </w:p>
        </w:tc>
        <w:tc>
          <w:tcPr>
            <w:tcW w:w="2404" w:type="dxa"/>
          </w:tcPr>
          <w:p>
            <w:pPr>
              <w:spacing w:line="560" w:lineRule="exact"/>
              <w:jc w:val="center"/>
              <w:rPr>
                <w:rFonts w:hint="eastAsia" w:ascii="仿宋_GB2312" w:hAnsi="Calibri" w:eastAsia="仿宋_GB2312" w:cs="Arial Black"/>
                <w:kern w:val="0"/>
                <w:sz w:val="28"/>
                <w:szCs w:val="28"/>
              </w:rPr>
            </w:pPr>
          </w:p>
        </w:tc>
        <w:tc>
          <w:tcPr>
            <w:tcW w:w="2620" w:type="dxa"/>
          </w:tcPr>
          <w:p>
            <w:pPr>
              <w:spacing w:line="560" w:lineRule="exact"/>
              <w:jc w:val="center"/>
              <w:rPr>
                <w:rFonts w:hint="eastAsia"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w:t>
            </w:r>
          </w:p>
        </w:tc>
        <w:tc>
          <w:tcPr>
            <w:tcW w:w="3426" w:type="dxa"/>
            <w:tcBorders>
              <w:bottom w:val="single" w:color="auto" w:sz="4" w:space="0"/>
            </w:tcBorders>
          </w:tcPr>
          <w:p>
            <w:pPr>
              <w:spacing w:line="560" w:lineRule="exact"/>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w:t>
            </w:r>
          </w:p>
        </w:tc>
        <w:tc>
          <w:tcPr>
            <w:tcW w:w="2404" w:type="dxa"/>
            <w:tcBorders>
              <w:bottom w:val="single" w:color="auto" w:sz="4" w:space="0"/>
            </w:tcBorders>
          </w:tcPr>
          <w:p>
            <w:pPr>
              <w:spacing w:line="560" w:lineRule="exact"/>
              <w:jc w:val="center"/>
              <w:rPr>
                <w:rFonts w:hint="eastAsia" w:ascii="仿宋_GB2312" w:hAnsi="Calibri" w:eastAsia="仿宋_GB2312" w:cs="Arial Black"/>
                <w:kern w:val="0"/>
                <w:sz w:val="28"/>
                <w:szCs w:val="28"/>
              </w:rPr>
            </w:pPr>
          </w:p>
        </w:tc>
        <w:tc>
          <w:tcPr>
            <w:tcW w:w="2620" w:type="dxa"/>
            <w:tcBorders>
              <w:bottom w:val="single" w:color="auto" w:sz="4" w:space="0"/>
            </w:tcBorders>
          </w:tcPr>
          <w:p>
            <w:pPr>
              <w:spacing w:line="560" w:lineRule="exact"/>
              <w:jc w:val="center"/>
              <w:rPr>
                <w:rFonts w:hint="eastAsia"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rPr>
          <w:rFonts w:hint="eastAsia"/>
        </w:rPr>
      </w:pPr>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w:pict>
          <v:shape id="_x0000_s1033" o:spid="_x0000_s1033" o:spt="202" type="#_x0000_t202" style="position:absolute;left:0pt;margin-left:-85.7pt;margin-top:238.15pt;height:173.25pt;width:613.65pt;z-index:251664384;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path/>
            <v:fill on="f" focussize="0,0"/>
            <v:stroke on="f" weight="0.5pt" joinstyle="miter"/>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v:textbox>
          </v:shape>
        </w:pict>
      </w:r>
    </w:p>
    <w:p>
      <w:pPr>
        <w:widowControl/>
        <w:spacing w:line="580" w:lineRule="exact"/>
        <w:ind w:firstLine="640" w:firstLineChars="200"/>
        <w:rPr>
          <w:rFonts w:hint="eastAsia"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w:pict>
          <v:shape id="_x0000_s1032" o:spid="_x0000_s1032" o:spt="202" type="#_x0000_t202" style="position:absolute;left:0pt;margin-left:-80.95pt;margin-top:-207.65pt;height:263.1pt;width:613.65pt;z-index:251665408;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path/>
            <v:fill type="pattern" on="t" color2="#FFFFFF" o:title="5%" focussize="0,0" r:id="rId14"/>
            <v:stroke weight="1pt" color="#A6A6A6" joinstyle="round"/>
            <v:imagedata o:title=""/>
            <o:lock v:ext="edit"/>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rPr>
                      <w:rFonts w:hint="eastAsia"/>
                    </w:rPr>
                  </w:pPr>
                </w:p>
                <w:p>
                  <w:pPr>
                    <w:rPr>
                      <w:rFonts w:hint="eastAsia"/>
                    </w:rPr>
                  </w:pPr>
                </w:p>
              </w:txbxContent>
            </v:textbox>
          </v:shape>
        </w:pic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hint="eastAsia"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入总计（含结转和结余）1871.08万元、支出总计（含结转和结余）1871.08万元。与2019年度决算相比，收入增加231.51万元，增长14.12%，支出增加233.99万元，增长14.29%，主要原因是本年度案件增加较多，新增人员较多。如图所示：</w:t>
      </w: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6432" behindDoc="1" locked="0" layoutInCell="1" allowOverlap="1">
            <wp:simplePos x="0" y="0"/>
            <wp:positionH relativeFrom="column">
              <wp:posOffset>744220</wp:posOffset>
            </wp:positionH>
            <wp:positionV relativeFrom="paragraph">
              <wp:posOffset>80010</wp:posOffset>
            </wp:positionV>
            <wp:extent cx="4450715" cy="2255520"/>
            <wp:effectExtent l="0" t="0" r="6985" b="1143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hint="eastAsia" w:ascii="黑体" w:hAnsi="Calibri" w:eastAsia="黑体" w:cs="Times New Roman"/>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本部门2020年度本年收入合计1868.59万元，其中：财政拨款收入1868.59万元，占100%；事业收入0万元，占0%；经营收入0万元，占0%；其他收入0万元，占0%。</w:t>
      </w: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rPr>
          <w:rFonts w:ascii="仿宋_GB2312" w:hAnsi="Times New Roman" w:eastAsia="仿宋_GB2312" w:cs="Wingdings"/>
          <w:sz w:val="32"/>
          <w:szCs w:val="32"/>
        </w:rPr>
      </w:pPr>
    </w:p>
    <w:p>
      <w:pPr>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9504" behindDoc="0" locked="0" layoutInCell="1" allowOverlap="1">
            <wp:simplePos x="0" y="0"/>
            <wp:positionH relativeFrom="column">
              <wp:posOffset>1151890</wp:posOffset>
            </wp:positionH>
            <wp:positionV relativeFrom="paragraph">
              <wp:posOffset>1123315</wp:posOffset>
            </wp:positionV>
            <wp:extent cx="3145790" cy="2025650"/>
            <wp:effectExtent l="0" t="0" r="16510" b="12700"/>
            <wp:wrapNone/>
            <wp:docPr id="6" name="图表 6" descr="7b0a202020202263686172745265734964223a2022323034373232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hint="eastAsia" w:ascii="仿宋_GB2312" w:hAnsi="Times New Roman" w:eastAsia="仿宋_GB2312" w:cs="Wingdings"/>
          <w:sz w:val="32"/>
          <w:szCs w:val="32"/>
        </w:rPr>
        <w:t>本部门2020年度本年支出合计1870.96万元，其中：基本支出1292.13万元，占69.06%；项目支出578.83万元，占30.94%；经营支出0万元，占0%。如图所示：</w:t>
      </w: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1920" w:firstLineChars="600"/>
        <w:rPr>
          <w:rFonts w:ascii="仿宋_GB2312" w:hAnsi="Times New Roman" w:eastAsia="仿宋_GB2312" w:cs="Wingdings"/>
          <w:sz w:val="32"/>
          <w:szCs w:val="32"/>
        </w:rPr>
      </w:pPr>
    </w:p>
    <w:p>
      <w:pPr>
        <w:keepNext/>
        <w:keepLines/>
        <w:snapToGrid w:val="0"/>
        <w:spacing w:line="600" w:lineRule="exact"/>
        <w:ind w:firstLine="643" w:firstLineChars="200"/>
        <w:outlineLvl w:val="1"/>
        <w:rPr>
          <w:rFonts w:hint="eastAsia" w:ascii="黑体" w:hAnsi="Calibri" w:eastAsia="黑体" w:cs="Times New Roman"/>
          <w:b/>
          <w:bCs/>
          <w:sz w:val="32"/>
          <w:szCs w:val="32"/>
        </w:rPr>
      </w:pPr>
    </w:p>
    <w:p>
      <w:pPr>
        <w:keepNext/>
        <w:keepLines/>
        <w:snapToGrid w:val="0"/>
        <w:spacing w:line="600" w:lineRule="exact"/>
        <w:ind w:firstLine="640" w:firstLineChars="200"/>
        <w:outlineLvl w:val="1"/>
        <w:rPr>
          <w:rFonts w:hint="eastAsia" w:ascii="黑体" w:hAnsi="Calibri" w:eastAsia="黑体" w:cs="Times New Roman"/>
          <w:b/>
          <w:bCs/>
          <w:sz w:val="32"/>
          <w:szCs w:val="32"/>
        </w:rPr>
      </w:pPr>
      <w:r>
        <w:rPr>
          <w:rFonts w:hint="eastAsia"/>
          <w:sz w:val="32"/>
        </w:rPr>
        <w:pict>
          <v:shape id="_x0000_s1031" o:spid="_x0000_s1031" o:spt="202" type="#_x0000_t202" style="position:absolute;left:0pt;margin-left:100.3pt;margin-top:24.75pt;height:38.05pt;width:260.95pt;z-index:-251655168;mso-width-relative:page;mso-height-relative:page;" stroked="f" coordsize="21600,21600" o:gfxdata="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4Rgu9QAAAAKAQAADwAAAAAAAAABACAAAAAiAAAAZHJzL2Rvd25yZXYueG1sUEsBAhQAFAAA&#10;AAgAh07iQN4olztlAgAAqwQAAA4AAAAAAAAAAQAgAAAAIwEAAGRycy9lMm9Eb2MueG1sUEsFBgAA&#10;AAAGAAYAWQEAAPoFAAAAAA==&#10;">
            <v:path/>
            <v:fill focussize="0,0"/>
            <v:stroke on="f" weight="0.5pt" joinstyle="miter"/>
            <v:imagedata o:title=""/>
            <o:lock v:ext="edit"/>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图2：支出决算构成情况（按支出性质）</w:t>
                  </w:r>
                </w:p>
                <w:p>
                  <w:pPr>
                    <w:spacing w:after="160" w:line="480" w:lineRule="auto"/>
                    <w:rPr>
                      <w:rFonts w:ascii="Times New Roman" w:hAnsi="Times New Roman" w:eastAsia="宋体" w:cs="Times New Roman"/>
                      <w:sz w:val="20"/>
                    </w:rPr>
                  </w:pPr>
                </w:p>
              </w:txbxContent>
            </v:textbox>
          </v:shape>
        </w:pict>
      </w:r>
    </w:p>
    <w:p>
      <w:pPr>
        <w:keepNext/>
        <w:keepLines/>
        <w:snapToGrid w:val="0"/>
        <w:spacing w:line="600" w:lineRule="exact"/>
        <w:ind w:firstLine="643" w:firstLineChars="200"/>
        <w:outlineLvl w:val="1"/>
        <w:rPr>
          <w:rFonts w:hint="eastAsia" w:ascii="黑体" w:hAnsi="Calibri" w:eastAsia="黑体" w:cs="Times New Roman"/>
          <w:b/>
          <w:bCs/>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color w:val="FF0000"/>
          <w:sz w:val="32"/>
          <w:szCs w:val="32"/>
        </w:rPr>
      </w:pPr>
      <w:r>
        <w:rPr>
          <w:rFonts w:hint="eastAsia" w:ascii="仿宋_GB2312" w:hAnsi="Times New Roman" w:eastAsia="仿宋_GB2312" w:cs="Wingdings"/>
          <w:sz w:val="32"/>
          <w:szCs w:val="32"/>
        </w:rPr>
        <w:t>本部门2020年度财政拨款收支均为一般公共预算财政拨款，其中本年收入1868.59万元,比2019年度增加229.02万元，增长13.97%，主要是本年度案件增加较多，新增人员较多；本年支出1870.96万元，比2019年度增加233.87万元，增长14.29%，主要是本年度案件增加较多，新增人员较多；本年年初结转和结余2.49万元，比2019年度增加2.49万元，增长100%，主要是上年度未使用业务招待费，本年度已退回财政；年末结转和结余0.12万元，比2019年度减少2.37，降低95.18%，主要是遗属补助结余，被补助人员未及时报备情况。</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1868.59万元，完成年初预算的99.09%,比年初预算减少17.07万元，决算数小于预算数主要原因是厉行节约，压缩三公经费支出；本年支出1870.96万元，完成年初预算的99.22%,比年初预算减少14.7</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万元，决算数小于预算数主要原因是厉行节约，压缩三公经费支出。</w:t>
      </w:r>
    </w:p>
    <w:p>
      <w:pPr>
        <w:numPr>
          <w:ilvl w:val="0"/>
          <w:numId w:val="2"/>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1870.96万元，主要用于以下方面（按本部门支出的功能分类大类进行列举，可对各类资多支出用途进行概括说明）：一般公共服务（类）支出2万元，占0.11%，；公共安全类（类）支出1681.67万元，占89.88%；社会保障和就业（类）支出 111.86万元，占5.98%；住房保障（类）支出42.81万元，占 2.29%;卫生健康支出32.62万元，占1.74%</w:t>
      </w:r>
    </w:p>
    <w:p>
      <w:pPr>
        <w:adjustRightInd w:val="0"/>
        <w:snapToGrid w:val="0"/>
        <w:spacing w:line="600" w:lineRule="exact"/>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drawing>
          <wp:anchor distT="0" distB="0" distL="114300" distR="114300" simplePos="0" relativeHeight="251670528" behindDoc="0" locked="0" layoutInCell="1" allowOverlap="1">
            <wp:simplePos x="0" y="0"/>
            <wp:positionH relativeFrom="column">
              <wp:posOffset>412750</wp:posOffset>
            </wp:positionH>
            <wp:positionV relativeFrom="paragraph">
              <wp:posOffset>33655</wp:posOffset>
            </wp:positionV>
            <wp:extent cx="4813935" cy="2463800"/>
            <wp:effectExtent l="0" t="0" r="0" b="0"/>
            <wp:wrapNone/>
            <wp:docPr id="9" name="图表 9" descr="7b0a202020202263686172745265734964223a2022343437303036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r>
        <w:rPr>
          <w:sz w:val="32"/>
        </w:rPr>
        <w:pict>
          <v:shape id="文本框 32" o:spid="_x0000_s1030" o:spt="202" type="#_x0000_t202" style="position:absolute;left:0pt;margin-left:82.3pt;margin-top:9.7pt;height:30.85pt;width:281.6pt;z-index:-251653120;mso-width-relative:page;mso-height-relative:page;" stroked="f" coordsize="21600,21600" o:gfxdata="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ECe9QAAAAJAQAADwAAAAAAAAABACAAAAAiAAAAZHJzL2Rvd25yZXYueG1sUEsBAhQAFAAAAAgA&#10;h07iQCow6C1iAgAArAQAAA4AAAAAAAAAAQAgAAAAIwEAAGRycy9lMm9Eb2MueG1sUEsFBgAAAAAG&#10;AAYAWQEAAPcFAAAAAA==&#10;">
            <v:path/>
            <v:fill focussize="0,0"/>
            <v:stroke on="f" weight="0.5pt" joinstyle="miter"/>
            <v:imagedata o:title=""/>
            <o:lock v:ext="edit"/>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图3：财政拨款支出决算结构（按功能分类）</w:t>
                  </w:r>
                </w:p>
                <w:p>
                  <w:pPr>
                    <w:spacing w:after="160" w:line="480" w:lineRule="auto"/>
                    <w:rPr>
                      <w:rFonts w:ascii="Times New Roman" w:hAnsi="Times New Roman" w:eastAsia="宋体" w:cs="Times New Roman"/>
                      <w:sz w:val="20"/>
                    </w:rPr>
                  </w:pPr>
                </w:p>
              </w:txbxContent>
            </v:textbox>
          </v:shape>
        </w:pict>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ascii="仿宋_GB2312" w:hAnsi="Times New Roman" w:eastAsia="仿宋_GB2312" w:cs="Wingdings"/>
          <w:sz w:val="32"/>
          <w:szCs w:val="32"/>
        </w:rPr>
        <w:t>1292.13</w:t>
      </w:r>
      <w:r>
        <w:rPr>
          <w:rFonts w:hint="eastAsia" w:ascii="仿宋_GB2312" w:hAnsi="Times New Roman" w:eastAsia="仿宋_GB2312" w:cs="Wingdings"/>
          <w:sz w:val="32"/>
          <w:szCs w:val="32"/>
        </w:rPr>
        <w:t xml:space="preserve">万元，其中：人员经费 </w:t>
      </w:r>
      <w:r>
        <w:rPr>
          <w:rFonts w:ascii="仿宋_GB2312" w:hAnsi="Times New Roman" w:eastAsia="仿宋_GB2312" w:cs="Wingdings"/>
          <w:sz w:val="32"/>
          <w:szCs w:val="32"/>
        </w:rPr>
        <w:t>1013.29</w:t>
      </w:r>
      <w:r>
        <w:rPr>
          <w:rFonts w:hint="eastAsia" w:ascii="仿宋_GB2312" w:hAnsi="Times New Roman" w:eastAsia="仿宋_GB2312" w:cs="Wingdings"/>
          <w:sz w:val="32"/>
          <w:szCs w:val="32"/>
        </w:rPr>
        <w:t>万元，主要包括基本工资、津贴补贴、奖金、绩效工资、机关事业单位基本养老保险缴费、职业年金缴费、住房公积金、其他社会保障缴费、其他工资福利支出、退休费、抚恤金、奖励金、其他对个人和家庭的补助支出；公用经费</w:t>
      </w:r>
      <w:r>
        <w:rPr>
          <w:rFonts w:ascii="仿宋_GB2312" w:hAnsi="Times New Roman" w:eastAsia="仿宋_GB2312" w:cs="Wingdings"/>
          <w:sz w:val="32"/>
          <w:szCs w:val="32"/>
        </w:rPr>
        <w:t>278.84</w:t>
      </w:r>
      <w:r>
        <w:rPr>
          <w:rFonts w:hint="eastAsia" w:ascii="仿宋_GB2312" w:hAnsi="Times New Roman" w:eastAsia="仿宋_GB2312" w:cs="Wingdings"/>
          <w:sz w:val="32"/>
          <w:szCs w:val="32"/>
        </w:rPr>
        <w:t>万元，主要包括办公费、水费、电费、取暖费、物业管理费、维修（护）费、劳务费、其他商品和服务支出、办公设备购置。</w:t>
      </w:r>
    </w:p>
    <w:p>
      <w:pPr>
        <w:keepNext/>
        <w:keepLines/>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ascii="仿宋_GB2312" w:hAnsi="Times New Roman" w:eastAsia="仿宋_GB2312" w:cs="Wingdings"/>
          <w:sz w:val="32"/>
          <w:szCs w:val="32"/>
        </w:rPr>
        <w:t>39.60</w:t>
      </w:r>
      <w:r>
        <w:rPr>
          <w:rFonts w:hint="eastAsia" w:ascii="仿宋_GB2312" w:hAnsi="Times New Roman" w:eastAsia="仿宋_GB2312" w:cs="Wingdings"/>
          <w:sz w:val="32"/>
          <w:szCs w:val="32"/>
        </w:rPr>
        <w:t>万元，支出决算为</w:t>
      </w:r>
      <w:r>
        <w:rPr>
          <w:rFonts w:ascii="仿宋_GB2312" w:hAnsi="Times New Roman" w:eastAsia="仿宋_GB2312" w:cs="Wingdings"/>
          <w:sz w:val="32"/>
          <w:szCs w:val="32"/>
        </w:rPr>
        <w:t>27.10万</w:t>
      </w:r>
      <w:r>
        <w:rPr>
          <w:rFonts w:hint="eastAsia" w:ascii="仿宋_GB2312" w:hAnsi="Times New Roman" w:eastAsia="仿宋_GB2312" w:cs="Wingdings"/>
          <w:sz w:val="32"/>
          <w:szCs w:val="32"/>
        </w:rPr>
        <w:t>元，完成预算的</w:t>
      </w:r>
      <w:r>
        <w:rPr>
          <w:rFonts w:ascii="仿宋_GB2312" w:hAnsi="Times New Roman" w:eastAsia="仿宋_GB2312" w:cs="Wingdings"/>
          <w:sz w:val="32"/>
          <w:szCs w:val="32"/>
        </w:rPr>
        <w:t>68.43</w:t>
      </w:r>
      <w:r>
        <w:rPr>
          <w:rFonts w:hint="eastAsia" w:ascii="仿宋_GB2312" w:hAnsi="Times New Roman" w:eastAsia="仿宋_GB2312" w:cs="Wingdings"/>
          <w:sz w:val="32"/>
          <w:szCs w:val="32"/>
        </w:rPr>
        <w:t>%,较预算减少</w:t>
      </w:r>
      <w:r>
        <w:rPr>
          <w:rFonts w:ascii="仿宋_GB2312" w:hAnsi="Times New Roman" w:eastAsia="仿宋_GB2312" w:cs="Wingdings"/>
          <w:sz w:val="32"/>
          <w:szCs w:val="32"/>
        </w:rPr>
        <w:t>12.50</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31.57</w:t>
      </w:r>
      <w:r>
        <w:rPr>
          <w:rFonts w:hint="eastAsia" w:ascii="仿宋_GB2312" w:hAnsi="Times New Roman" w:eastAsia="仿宋_GB2312" w:cs="Wingdings"/>
          <w:sz w:val="32"/>
          <w:szCs w:val="32"/>
        </w:rPr>
        <w:t>%，主要是厉行节约，压缩三公经费支出；较2019年度减少</w:t>
      </w:r>
      <w:r>
        <w:rPr>
          <w:rFonts w:ascii="仿宋_GB2312" w:hAnsi="Times New Roman" w:eastAsia="仿宋_GB2312" w:cs="Wingdings"/>
          <w:sz w:val="32"/>
          <w:szCs w:val="32"/>
        </w:rPr>
        <w:t>11.11</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29.08</w:t>
      </w:r>
      <w:r>
        <w:rPr>
          <w:rFonts w:hint="eastAsia" w:ascii="仿宋_GB2312" w:hAnsi="Times New Roman" w:eastAsia="仿宋_GB2312" w:cs="Wingdings"/>
          <w:sz w:val="32"/>
          <w:szCs w:val="32"/>
        </w:rPr>
        <w:t>%，主要是厉行节约，压缩三公经费支出。</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因公出国（境）团组</w:t>
      </w:r>
      <w:r>
        <w:rPr>
          <w:rFonts w:ascii="仿宋_GB2312" w:hAnsi="Times New Roman" w:eastAsia="仿宋_GB2312" w:cs="Wingdings"/>
          <w:sz w:val="32"/>
          <w:szCs w:val="32"/>
        </w:rPr>
        <w:t>0</w:t>
      </w:r>
      <w:r>
        <w:rPr>
          <w:rFonts w:hint="eastAsia" w:ascii="仿宋_GB2312" w:hAnsi="Times New Roman" w:eastAsia="仿宋_GB2312" w:cs="Wingdings"/>
          <w:sz w:val="32"/>
          <w:szCs w:val="32"/>
        </w:rPr>
        <w:t>个、共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人、参加其他单位组织的因公出国（境）团组</w:t>
      </w:r>
      <w:r>
        <w:rPr>
          <w:rFonts w:ascii="仿宋_GB2312" w:hAnsi="Times New Roman" w:eastAsia="仿宋_GB2312" w:cs="Wingdings"/>
          <w:sz w:val="32"/>
          <w:szCs w:val="32"/>
        </w:rPr>
        <w:t>0</w:t>
      </w:r>
      <w:r>
        <w:rPr>
          <w:rFonts w:hint="eastAsia" w:ascii="仿宋_GB2312" w:hAnsi="Times New Roman" w:eastAsia="仿宋_GB2312" w:cs="Wingdings"/>
          <w:sz w:val="32"/>
          <w:szCs w:val="32"/>
        </w:rPr>
        <w:t>个、共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人/无本单位组织的出国（境）团组。因公出国（境）费支出较预算增加</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万元，增长</w:t>
      </w:r>
      <w:r>
        <w:rPr>
          <w:rFonts w:ascii="仿宋_GB2312" w:hAnsi="Times New Roman" w:eastAsia="仿宋_GB2312" w:cs="Wingdings"/>
          <w:sz w:val="32"/>
          <w:szCs w:val="32"/>
        </w:rPr>
        <w:t>0</w:t>
      </w:r>
      <w:r>
        <w:rPr>
          <w:rFonts w:hint="eastAsia" w:ascii="仿宋_GB2312" w:hAnsi="Times New Roman" w:eastAsia="仿宋_GB2312" w:cs="Wingdings"/>
          <w:sz w:val="32"/>
          <w:szCs w:val="32"/>
        </w:rPr>
        <w:t>%,主要是厉行节约，压缩三公经费支出；较上年增加</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万元，增长</w:t>
      </w:r>
      <w:r>
        <w:rPr>
          <w:rFonts w:ascii="仿宋_GB2312" w:hAnsi="Times New Roman" w:eastAsia="仿宋_GB2312" w:cs="Wingdings"/>
          <w:sz w:val="32"/>
          <w:szCs w:val="32"/>
        </w:rPr>
        <w:t>0</w:t>
      </w:r>
      <w:r>
        <w:rPr>
          <w:rFonts w:hint="eastAsia" w:ascii="仿宋_GB2312" w:hAnsi="Times New Roman" w:eastAsia="仿宋_GB2312" w:cs="Wingdings"/>
          <w:sz w:val="32"/>
          <w:szCs w:val="32"/>
        </w:rPr>
        <w:t>%,主要是厉行节约，压缩三公经费支出。</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w:t>
      </w:r>
      <w:r>
        <w:rPr>
          <w:rFonts w:ascii="仿宋_GB2312" w:hAnsi="仿宋_GB2312" w:eastAsia="仿宋_GB2312" w:cs="仿宋_GB2312"/>
          <w:sz w:val="32"/>
          <w:szCs w:val="32"/>
        </w:rPr>
        <w:t>27.10</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70.57</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较预算减少11.30万元，降低29.43%，主要是厉行节约，压缩三公经费支出；较上年减少11.11万元，降低29.08%，主要是厉行节约，压缩三公经费支出。</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ascii="仿宋_GB2312" w:hAnsi="Times New Roman" w:eastAsia="仿宋_GB2312" w:cs="Wingdings"/>
          <w:sz w:val="32"/>
          <w:szCs w:val="32"/>
        </w:rPr>
        <w:t>0</w:t>
      </w:r>
      <w:r>
        <w:rPr>
          <w:rFonts w:hint="eastAsia" w:ascii="仿宋_GB2312" w:hAnsi="Times New Roman" w:eastAsia="仿宋_GB2312" w:cs="Wingdings"/>
          <w:sz w:val="32"/>
          <w:szCs w:val="32"/>
        </w:rPr>
        <w:t>辆，发生“公务用车购置”经费支出</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w:t>
      </w:r>
      <w:r>
        <w:rPr>
          <w:rFonts w:ascii="仿宋_GB2312" w:hAnsi="Times New Roman" w:eastAsia="仿宋_GB2312" w:cs="Wingdings"/>
          <w:sz w:val="32"/>
          <w:szCs w:val="32"/>
        </w:rPr>
        <w:t>，主要是</w:t>
      </w:r>
      <w:r>
        <w:rPr>
          <w:rFonts w:hint="eastAsia" w:ascii="仿宋_GB2312" w:hAnsi="Times New Roman" w:eastAsia="仿宋_GB2312" w:cs="Wingdings"/>
          <w:sz w:val="32"/>
          <w:szCs w:val="32"/>
        </w:rPr>
        <w:t>未发生</w:t>
      </w:r>
      <w:r>
        <w:rPr>
          <w:rFonts w:ascii="仿宋_GB2312" w:hAnsi="Times New Roman" w:eastAsia="仿宋_GB2312" w:cs="Wingdings"/>
          <w:sz w:val="32"/>
          <w:szCs w:val="32"/>
        </w:rPr>
        <w:t>“</w:t>
      </w:r>
      <w:r>
        <w:rPr>
          <w:rFonts w:hint="eastAsia" w:ascii="仿宋_GB2312" w:hAnsi="Times New Roman" w:eastAsia="仿宋_GB2312" w:cs="Wingdings"/>
          <w:sz w:val="32"/>
          <w:szCs w:val="32"/>
        </w:rPr>
        <w:t>公务用车购置</w:t>
      </w:r>
      <w:r>
        <w:rPr>
          <w:rFonts w:ascii="仿宋_GB2312" w:hAnsi="Times New Roman" w:eastAsia="仿宋_GB2312" w:cs="Wingdings"/>
          <w:sz w:val="32"/>
          <w:szCs w:val="32"/>
        </w:rPr>
        <w:t>”</w:t>
      </w:r>
      <w:r>
        <w:rPr>
          <w:rFonts w:hint="eastAsia" w:ascii="仿宋_GB2312" w:hAnsi="Times New Roman" w:eastAsia="仿宋_GB2312" w:cs="Wingdings"/>
          <w:sz w:val="32"/>
          <w:szCs w:val="32"/>
        </w:rPr>
        <w:t>经费支出</w:t>
      </w:r>
      <w:r>
        <w:rPr>
          <w:rFonts w:ascii="仿宋_GB2312" w:hAnsi="Times New Roman" w:eastAsia="仿宋_GB2312" w:cs="Wingdings"/>
          <w:sz w:val="32"/>
          <w:szCs w:val="32"/>
        </w:rPr>
        <w:t>；</w:t>
      </w:r>
      <w:r>
        <w:rPr>
          <w:rFonts w:hint="eastAsia" w:ascii="仿宋_GB2312" w:hAnsi="Times New Roman" w:eastAsia="仿宋_GB2312" w:cs="Wingdings"/>
          <w:sz w:val="32"/>
          <w:szCs w:val="32"/>
        </w:rPr>
        <w:t>公务用车购置费支出较预算增加</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万元，增长</w:t>
      </w:r>
      <w:r>
        <w:rPr>
          <w:rFonts w:ascii="仿宋_GB2312" w:hAnsi="Times New Roman" w:eastAsia="仿宋_GB2312" w:cs="Wingdings"/>
          <w:sz w:val="32"/>
          <w:szCs w:val="32"/>
        </w:rPr>
        <w:t>0</w:t>
      </w:r>
      <w:r>
        <w:rPr>
          <w:rFonts w:hint="eastAsia" w:ascii="仿宋_GB2312" w:hAnsi="Times New Roman" w:eastAsia="仿宋_GB2312" w:cs="Wingdings"/>
          <w:sz w:val="32"/>
          <w:szCs w:val="32"/>
        </w:rPr>
        <w:t>%；较上年增加</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万元，增长</w:t>
      </w:r>
      <w:r>
        <w:rPr>
          <w:rFonts w:ascii="仿宋_GB2312" w:hAnsi="Times New Roman" w:eastAsia="仿宋_GB2312" w:cs="Wingdings"/>
          <w:sz w:val="32"/>
          <w:szCs w:val="32"/>
        </w:rPr>
        <w:t>0</w:t>
      </w:r>
      <w:r>
        <w:rPr>
          <w:rFonts w:hint="eastAsia" w:ascii="仿宋_GB2312" w:hAnsi="Times New Roman" w:eastAsia="仿宋_GB2312" w:cs="Wingdings"/>
          <w:sz w:val="32"/>
          <w:szCs w:val="32"/>
        </w:rPr>
        <w:t>%</w:t>
      </w:r>
      <w:r>
        <w:rPr>
          <w:rFonts w:ascii="仿宋_GB2312" w:hAnsi="Times New Roman" w:eastAsia="仿宋_GB2312" w:cs="Wingdings"/>
          <w:sz w:val="32"/>
          <w:szCs w:val="32"/>
        </w:rPr>
        <w:t>，</w:t>
      </w:r>
      <w:r>
        <w:rPr>
          <w:rFonts w:hint="eastAsia" w:ascii="仿宋_GB2312" w:hAnsi="Times New Roman" w:eastAsia="仿宋_GB2312" w:cs="Wingdings"/>
          <w:sz w:val="32"/>
          <w:szCs w:val="32"/>
        </w:rPr>
        <w:t>主要是未发生“公务用车购置”经费支出。</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ascii="仿宋_GB2312" w:hAnsi="Times New Roman" w:eastAsia="仿宋_GB2312" w:cs="Wingdings"/>
          <w:sz w:val="32"/>
          <w:szCs w:val="32"/>
        </w:rPr>
        <w:t>15</w:t>
      </w:r>
      <w:r>
        <w:rPr>
          <w:rFonts w:hint="eastAsia" w:ascii="仿宋_GB2312" w:hAnsi="Times New Roman" w:eastAsia="仿宋_GB2312" w:cs="Wingdings"/>
          <w:sz w:val="32"/>
          <w:szCs w:val="32"/>
        </w:rPr>
        <w:t>辆,发生运行维护费支出</w:t>
      </w:r>
      <w:r>
        <w:rPr>
          <w:rFonts w:ascii="仿宋_GB2312" w:hAnsi="Times New Roman" w:eastAsia="仿宋_GB2312" w:cs="Wingdings"/>
          <w:sz w:val="32"/>
          <w:szCs w:val="32"/>
        </w:rPr>
        <w:t>27.10</w:t>
      </w:r>
      <w:r>
        <w:rPr>
          <w:rFonts w:hint="eastAsia" w:ascii="仿宋_GB2312" w:hAnsi="Times New Roman" w:eastAsia="仿宋_GB2312" w:cs="Wingdings"/>
          <w:sz w:val="32"/>
          <w:szCs w:val="32"/>
        </w:rPr>
        <w:t>万元。公车运行维护费支出较预算减少11.30万元，降低29.43%，主要是厉行节约，压缩三公经费支出；较上年减少11.11万元，降低29.08%，主要是厉行节约，压缩三公经费支出。</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本部门2020年发生</w:t>
      </w:r>
      <w:r>
        <w:rPr>
          <w:rFonts w:hint="eastAsia" w:ascii="仿宋_GB2312" w:hAnsi="Times New Roman" w:eastAsia="仿宋_GB2312" w:cs="Wingdings"/>
          <w:sz w:val="32"/>
          <w:szCs w:val="32"/>
        </w:rPr>
        <w:t>公务接待共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批次、</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人次。公务接待费支出较预算减少</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0</w:t>
      </w:r>
      <w:r>
        <w:rPr>
          <w:rFonts w:hint="eastAsia" w:ascii="仿宋_GB2312" w:hAnsi="Times New Roman" w:eastAsia="仿宋_GB2312" w:cs="Wingdings"/>
          <w:sz w:val="32"/>
          <w:szCs w:val="32"/>
        </w:rPr>
        <w:t>%,主要是未发生“</w:t>
      </w:r>
      <w:r>
        <w:rPr>
          <w:rFonts w:ascii="仿宋_GB2312" w:hAnsi="Times New Roman" w:eastAsia="仿宋_GB2312" w:cs="Wingdings"/>
          <w:sz w:val="32"/>
          <w:szCs w:val="32"/>
        </w:rPr>
        <w:t>公务接待费</w:t>
      </w:r>
      <w:r>
        <w:rPr>
          <w:rFonts w:hint="eastAsia" w:ascii="仿宋_GB2312" w:hAnsi="Times New Roman" w:eastAsia="仿宋_GB2312" w:cs="Wingdings"/>
          <w:sz w:val="32"/>
          <w:szCs w:val="32"/>
        </w:rPr>
        <w:t>”经费支出；较上年度减少</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0</w:t>
      </w:r>
      <w:r>
        <w:rPr>
          <w:rFonts w:hint="eastAsia" w:ascii="仿宋_GB2312" w:hAnsi="Times New Roman" w:eastAsia="仿宋_GB2312" w:cs="Wingdings"/>
          <w:sz w:val="32"/>
          <w:szCs w:val="32"/>
        </w:rPr>
        <w:t>%,主要是未发生“公务接待费”经费支出。</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7个，二级项目0个，共涉及资金443.68万元，占一般公共预算项目支出总额的100%；政府性基金预算一级项目0个，二级项目0个,共涉及资金0万元，占政府性基金预算项目支出总额的0。</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组织对“提前下达2020年省级基层公检法司转移支付资金 保财行【2019】30号 办案款”一级项目开展了部门评价，涉及一般公共预算支出40万元，政府性基金预算支出0万元。对“提前下达2020年省级基层公检法司转移支付资金 保财行【2019】30号 办案款”一级项目委托部内评审机构开展绩效评价。从评价情况来看，</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（一）资金投入情况分析。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1.项目资金到位情况分析。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提前下达2020年省级基层公检法司转移支付资金（保财行【2019】30号 办案款）40万元拨付到位。</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2.项目资金执行情况分析。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提前下达2020年省级基层公检法司转移支付资金（保财行【2019】30号 办案款）40万元已支付完成。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3.项目资金管理情况分析。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严格按照相关文件要求列支办案业务，从资金的申请上严格按照区财政局的有关规定申请资金拨付，实行专款专用。</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（二）总体绩效目标完成情况分析。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按照我院办案业务开展情况进行合理支配此笔资金，保障了业务庭室各项工作的顺利开展，为审判工作的立案诉讼、开庭审理、文书送达、卷宗归档提供了后勤保障。同时也提升了广大干警的业务素质和团队合作精神，维护了社会稳定，促进了经济发展。</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本部门在今年部门决算公开中反映提前下达2020年省级基层公检法司转移支付资金 保财行【2019】30号 办案款1个项目绩效自评结果。</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提前下达2020年省级基层公检法司转移支付资金 保财行【2019】30号 办案款项目自评综述：根据年初设定的绩效目标，提前下达2020年省级基层公检法司转移支付资金 保财行【2019】30号 办案款项目绩效自评得分为92.85分（绩效自评表附后）。全年预算数为40万元，执行数为40万元，完成预算的100%。项目绩效目标完成情况：一是数量指标。2020年共受理审判类案件3659件，审、执结3655件（含上年度未结案件148件），同比分别上升48.52%和45.46%。其中刑事案件收案329件，审结331件；民事案件收案2047件，审结2071件；执行立案1026件，执结1023件。；二是质量指标。2020年全年，我院实现审判流程公开、裁判文书公开、执行信息公开三大司法公开平台一体化建设，对智慧法庭建设，定期跟进数据，及时针对薄弱环节进行调度。全年网上公开审判流程信息及执行信息3659件，公开裁判文书3659件，网上直播庭审590件。通过“两微一端”发布法院相关信息680条，保障人民群众的知情权、监督权，进一步推动阳光司法。三是时效指标。高位推进“扫黑除恶”专项斗争，依法审结涉黑恶案件5件，判处罪犯7人，刑事审判庭获得“保定市扫黑除恶工作先进单位”荣誉称号。审慎办理多起涉众、存在重大风险隐患的民商案件，坚持服务大局，坚守人民立场。巩固“基本解决执行难”取得的阶段性胜利，开始向“切实解决执行难”阔步前进，执行各项指标居全市法院系统前列。四是成本指标。2020年我院为提高人民陪审员综合业务素质、拓宽司法渠道，给每名人民陪审员发放培训手册，人均培训成本控制在每人100元以内。在今后我院更要严格按照法院建设管理办法执行，专款专用，按时、按质、按量完成项目，保证审判工作顺利进行。</w:t>
      </w:r>
    </w:p>
    <w:p>
      <w:pPr>
        <w:snapToGrid w:val="0"/>
        <w:spacing w:line="600" w:lineRule="exact"/>
        <w:ind w:firstLine="640" w:firstLineChars="200"/>
        <w:jc w:val="left"/>
        <w:rPr>
          <w:rFonts w:ascii="仿宋_GB2312" w:hAnsi="仿宋_GB2312" w:eastAsia="仿宋_GB2312" w:cs="仿宋_GB2312"/>
          <w:sz w:val="32"/>
          <w:szCs w:val="32"/>
        </w:rPr>
      </w:pPr>
    </w:p>
    <w:p>
      <w:pPr>
        <w:snapToGrid w:val="0"/>
        <w:spacing w:line="600" w:lineRule="exact"/>
        <w:jc w:val="left"/>
        <w:rPr>
          <w:rFonts w:ascii="仿宋_GB2312" w:hAnsi="仿宋_GB2312" w:eastAsia="仿宋_GB2312" w:cs="仿宋_GB2312"/>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tbl>
      <w:tblPr>
        <w:tblStyle w:val="5"/>
        <w:tblW w:w="13680" w:type="dxa"/>
        <w:tblInd w:w="93" w:type="dxa"/>
        <w:tblLayout w:type="autofit"/>
        <w:tblCellMar>
          <w:top w:w="0" w:type="dxa"/>
          <w:left w:w="108" w:type="dxa"/>
          <w:bottom w:w="0" w:type="dxa"/>
          <w:right w:w="108" w:type="dxa"/>
        </w:tblCellMar>
      </w:tblPr>
      <w:tblGrid>
        <w:gridCol w:w="1389"/>
        <w:gridCol w:w="1588"/>
        <w:gridCol w:w="1652"/>
        <w:gridCol w:w="859"/>
        <w:gridCol w:w="835"/>
        <w:gridCol w:w="820"/>
        <w:gridCol w:w="819"/>
        <w:gridCol w:w="1021"/>
        <w:gridCol w:w="936"/>
        <w:gridCol w:w="966"/>
        <w:gridCol w:w="846"/>
        <w:gridCol w:w="982"/>
        <w:gridCol w:w="967"/>
      </w:tblGrid>
      <w:tr>
        <w:tblPrEx>
          <w:tblCellMar>
            <w:top w:w="0" w:type="dxa"/>
            <w:left w:w="108" w:type="dxa"/>
            <w:bottom w:w="0" w:type="dxa"/>
            <w:right w:w="108" w:type="dxa"/>
          </w:tblCellMar>
        </w:tblPrEx>
        <w:trPr>
          <w:trHeight w:val="90" w:hRule="atLeast"/>
        </w:trPr>
        <w:tc>
          <w:tcPr>
            <w:tcW w:w="13680" w:type="dxa"/>
            <w:gridSpan w:val="13"/>
            <w:tcBorders>
              <w:top w:val="nil"/>
              <w:left w:val="nil"/>
              <w:bottom w:val="nil"/>
              <w:right w:val="nil"/>
            </w:tcBorders>
            <w:shd w:val="clear" w:color="auto" w:fill="auto"/>
            <w:vAlign w:val="center"/>
          </w:tcPr>
          <w:p>
            <w:pPr>
              <w:widowControl/>
              <w:jc w:val="center"/>
              <w:textAlignment w:val="center"/>
              <w:rPr>
                <w:rFonts w:ascii="方正小标宋_GBK" w:hAnsi="方正小标宋_GBK" w:eastAsia="方正小标宋_GBK" w:cs="方正小标宋_GBK"/>
                <w:color w:val="000000"/>
                <w:sz w:val="24"/>
              </w:rPr>
            </w:pPr>
            <w:r>
              <w:rPr>
                <w:rFonts w:ascii="方正小标宋_GBK" w:hAnsi="方正小标宋_GBK" w:eastAsia="方正小标宋_GBK" w:cs="方正小标宋_GBK"/>
                <w:color w:val="000000"/>
                <w:kern w:val="0"/>
                <w:sz w:val="22"/>
                <w:szCs w:val="22"/>
              </w:rPr>
              <w:t>2020年度预算项目绩效自评表</w:t>
            </w:r>
          </w:p>
        </w:tc>
      </w:tr>
      <w:tr>
        <w:tblPrEx>
          <w:tblCellMar>
            <w:top w:w="0" w:type="dxa"/>
            <w:left w:w="108" w:type="dxa"/>
            <w:bottom w:w="0" w:type="dxa"/>
            <w:right w:w="108" w:type="dxa"/>
          </w:tblCellMar>
        </w:tblPrEx>
        <w:trPr>
          <w:trHeight w:val="340" w:hRule="atLeast"/>
        </w:trPr>
        <w:tc>
          <w:tcPr>
            <w:tcW w:w="0" w:type="auto"/>
            <w:tcBorders>
              <w:top w:val="nil"/>
              <w:left w:val="nil"/>
              <w:bottom w:val="nil"/>
              <w:right w:val="nil"/>
            </w:tcBorders>
            <w:shd w:val="clear" w:color="auto" w:fill="auto"/>
            <w:noWrap/>
            <w:vAlign w:val="center"/>
          </w:tcPr>
          <w:p>
            <w:pPr>
              <w:widowControl/>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填报单位：</w:t>
            </w:r>
          </w:p>
        </w:tc>
        <w:tc>
          <w:tcPr>
            <w:tcW w:w="3270" w:type="dxa"/>
            <w:gridSpan w:val="2"/>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保定市满城区人民法院</w:t>
            </w:r>
          </w:p>
        </w:tc>
        <w:tc>
          <w:tcPr>
            <w:tcW w:w="5340" w:type="dxa"/>
            <w:gridSpan w:val="6"/>
            <w:tcBorders>
              <w:top w:val="nil"/>
              <w:left w:val="nil"/>
              <w:bottom w:val="nil"/>
              <w:right w:val="nil"/>
            </w:tcBorders>
            <w:shd w:val="clear" w:color="auto" w:fill="auto"/>
            <w:vAlign w:val="cente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主管部门：</w:t>
            </w:r>
          </w:p>
        </w:tc>
        <w:tc>
          <w:tcPr>
            <w:tcW w:w="855" w:type="dxa"/>
            <w:tcBorders>
              <w:top w:val="nil"/>
              <w:left w:val="nil"/>
              <w:bottom w:val="nil"/>
              <w:right w:val="nil"/>
            </w:tcBorders>
            <w:shd w:val="clear" w:color="auto" w:fill="auto"/>
            <w:vAlign w:val="center"/>
          </w:tcPr>
          <w:p>
            <w:pPr>
              <w:jc w:val="center"/>
              <w:rPr>
                <w:rFonts w:ascii="宋体" w:hAnsi="宋体" w:eastAsia="宋体" w:cs="宋体"/>
                <w:color w:val="000000"/>
                <w:sz w:val="15"/>
                <w:szCs w:val="15"/>
              </w:rPr>
            </w:pPr>
          </w:p>
        </w:tc>
        <w:tc>
          <w:tcPr>
            <w:tcW w:w="855" w:type="dxa"/>
            <w:tcBorders>
              <w:top w:val="nil"/>
              <w:left w:val="nil"/>
              <w:bottom w:val="nil"/>
              <w:right w:val="nil"/>
            </w:tcBorders>
            <w:shd w:val="clear" w:color="auto" w:fill="auto"/>
            <w:vAlign w:val="center"/>
          </w:tcPr>
          <w:p>
            <w:pPr>
              <w:rPr>
                <w:rFonts w:ascii="宋体" w:hAnsi="宋体" w:eastAsia="宋体" w:cs="宋体"/>
                <w:color w:val="000000"/>
                <w:sz w:val="15"/>
                <w:szCs w:val="15"/>
              </w:rPr>
            </w:pPr>
          </w:p>
        </w:tc>
        <w:tc>
          <w:tcPr>
            <w:tcW w:w="1965" w:type="dxa"/>
            <w:gridSpan w:val="2"/>
            <w:tcBorders>
              <w:top w:val="nil"/>
              <w:left w:val="nil"/>
              <w:bottom w:val="single" w:color="000000" w:sz="4" w:space="0"/>
              <w:right w:val="nil"/>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金额单位：万元</w:t>
            </w:r>
          </w:p>
        </w:tc>
      </w:tr>
      <w:tr>
        <w:tblPrEx>
          <w:tblCellMar>
            <w:top w:w="0" w:type="dxa"/>
            <w:left w:w="108" w:type="dxa"/>
            <w:bottom w:w="0" w:type="dxa"/>
            <w:right w:w="108" w:type="dxa"/>
          </w:tblCellMar>
        </w:tblPrEx>
        <w:trPr>
          <w:trHeight w:val="7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项目编码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161-0401-YBN-TY7Z</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项目名称</w:t>
            </w:r>
          </w:p>
        </w:tc>
        <w:tc>
          <w:tcPr>
            <w:tcW w:w="25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提前下达2020年省级基层公检法司转移支付资金 保财行【2019】30号 办案款</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预算金额</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（调整后）</w:t>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执行金额</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40</w:t>
            </w:r>
          </w:p>
        </w:tc>
      </w:tr>
      <w:tr>
        <w:tblPrEx>
          <w:tblCellMar>
            <w:top w:w="0" w:type="dxa"/>
            <w:left w:w="108" w:type="dxa"/>
            <w:bottom w:w="0" w:type="dxa"/>
            <w:right w:w="108" w:type="dxa"/>
          </w:tblCellMar>
        </w:tblPrEx>
        <w:trPr>
          <w:trHeight w:val="2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项目实施计划</w:t>
            </w:r>
          </w:p>
        </w:tc>
        <w:tc>
          <w:tcPr>
            <w:tcW w:w="12285" w:type="dxa"/>
            <w:gridSpan w:val="12"/>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15"/>
                <w:szCs w:val="15"/>
              </w:rPr>
            </w:pPr>
            <w:r>
              <w:rPr>
                <w:rFonts w:hint="eastAsia" w:ascii="宋体" w:hAnsi="宋体" w:eastAsia="宋体" w:cs="宋体"/>
                <w:color w:val="000000"/>
                <w:kern w:val="0"/>
                <w:sz w:val="15"/>
                <w:szCs w:val="15"/>
              </w:rPr>
              <w:t>办案业务经费按时完成和使用。依法惩治刑事犯罪，监督行政机关依法行政，促进社会和谐，维护社会稳定，服务全区工作大局，发挥服务保障职能。</w:t>
            </w:r>
          </w:p>
        </w:tc>
      </w:tr>
      <w:tr>
        <w:tblPrEx>
          <w:tblCellMar>
            <w:top w:w="0" w:type="dxa"/>
            <w:left w:w="108" w:type="dxa"/>
            <w:bottom w:w="0" w:type="dxa"/>
            <w:right w:w="108" w:type="dxa"/>
          </w:tblCellMar>
        </w:tblPrEx>
        <w:trPr>
          <w:trHeight w:val="257" w:hRule="atLeast"/>
        </w:trPr>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资金</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支出计划（%）</w:t>
            </w:r>
          </w:p>
        </w:tc>
        <w:tc>
          <w:tcPr>
            <w:tcW w:w="3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第一季度</w:t>
            </w:r>
          </w:p>
        </w:tc>
        <w:tc>
          <w:tcPr>
            <w:tcW w:w="25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第二季度</w:t>
            </w:r>
          </w:p>
        </w:tc>
        <w:tc>
          <w:tcPr>
            <w:tcW w:w="36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第三季度</w:t>
            </w:r>
          </w:p>
        </w:tc>
        <w:tc>
          <w:tcPr>
            <w:tcW w:w="28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第四季度</w:t>
            </w:r>
          </w:p>
        </w:tc>
      </w:tr>
      <w:tr>
        <w:tblPrEx>
          <w:tblCellMar>
            <w:top w:w="0" w:type="dxa"/>
            <w:left w:w="108" w:type="dxa"/>
            <w:bottom w:w="0" w:type="dxa"/>
            <w:right w:w="108" w:type="dxa"/>
          </w:tblCellMar>
        </w:tblPrEx>
        <w:trPr>
          <w:trHeight w:val="243" w:hRule="atLeast"/>
        </w:trPr>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25.00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50.00</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75.00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100.00</w:t>
            </w:r>
          </w:p>
        </w:tc>
      </w:tr>
      <w:tr>
        <w:tblPrEx>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绩效目标</w:t>
            </w:r>
          </w:p>
        </w:tc>
        <w:tc>
          <w:tcPr>
            <w:tcW w:w="12285" w:type="dxa"/>
            <w:gridSpan w:val="12"/>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15"/>
                <w:szCs w:val="15"/>
              </w:rPr>
            </w:pPr>
            <w:r>
              <w:rPr>
                <w:rFonts w:hint="eastAsia" w:ascii="宋体" w:hAnsi="宋体" w:eastAsia="宋体" w:cs="宋体"/>
                <w:color w:val="000000"/>
                <w:kern w:val="0"/>
                <w:sz w:val="15"/>
                <w:szCs w:val="15"/>
              </w:rPr>
              <w:t>1、保障了我院办案业务需要</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2、提高了我院案件的结案率和案件的提前执结率</w:t>
            </w:r>
          </w:p>
        </w:tc>
      </w:tr>
      <w:tr>
        <w:tblPrEx>
          <w:tblCellMar>
            <w:top w:w="0" w:type="dxa"/>
            <w:left w:w="108" w:type="dxa"/>
            <w:bottom w:w="0" w:type="dxa"/>
            <w:right w:w="108" w:type="dxa"/>
          </w:tblCellMar>
        </w:tblPrEx>
        <w:trPr>
          <w:trHeight w:val="3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绩效指标</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分类</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绩效指标</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绩效指标描述</w:t>
            </w:r>
          </w:p>
        </w:tc>
        <w:tc>
          <w:tcPr>
            <w:tcW w:w="33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绩效指标评价标准</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评价标准确定依据</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单项指标</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实际完成值</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单项指标</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完成等级</w:t>
            </w:r>
          </w:p>
        </w:tc>
        <w:tc>
          <w:tcPr>
            <w:tcW w:w="28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自评得分</w:t>
            </w:r>
          </w:p>
        </w:tc>
      </w:tr>
      <w:tr>
        <w:tblPrEx>
          <w:tblCellMar>
            <w:top w:w="0" w:type="dxa"/>
            <w:left w:w="108" w:type="dxa"/>
            <w:bottom w:w="0" w:type="dxa"/>
            <w:right w:w="108" w:type="dxa"/>
          </w:tblCellMar>
        </w:tblPrEx>
        <w:trPr>
          <w:trHeight w:val="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15"/>
                <w:szCs w:val="15"/>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中</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差</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单项指标</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得分</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权重占比（%）</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单项指标</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折算得分</w:t>
            </w:r>
          </w:p>
        </w:tc>
      </w:tr>
      <w:tr>
        <w:tblPrEx>
          <w:tblCellMar>
            <w:top w:w="0" w:type="dxa"/>
            <w:left w:w="108" w:type="dxa"/>
            <w:bottom w:w="0" w:type="dxa"/>
            <w:right w:w="108" w:type="dxa"/>
          </w:tblCellMar>
        </w:tblPrEx>
        <w:trPr>
          <w:trHeight w:val="4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产出指标</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数量指标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审判案件和执行案件收案数量</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90分以上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80-90分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60-80分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60分以下</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上级文件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23.25</w:t>
            </w:r>
          </w:p>
        </w:tc>
      </w:tr>
      <w:tr>
        <w:tblPrEx>
          <w:tblCellMar>
            <w:top w:w="0" w:type="dxa"/>
            <w:left w:w="108" w:type="dxa"/>
            <w:bottom w:w="0" w:type="dxa"/>
            <w:right w:w="108" w:type="dxa"/>
          </w:tblCellMar>
        </w:tblPrEx>
        <w:trPr>
          <w:trHeight w:val="3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15"/>
                <w:szCs w:val="15"/>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质量指标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宣传工作实施开展情况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90分以上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80-90分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60-80分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60分以下</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上级文件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9.2</w:t>
            </w:r>
          </w:p>
        </w:tc>
      </w:tr>
      <w:tr>
        <w:tblPrEx>
          <w:tblCellMar>
            <w:top w:w="0" w:type="dxa"/>
            <w:left w:w="108" w:type="dxa"/>
            <w:bottom w:w="0" w:type="dxa"/>
            <w:right w:w="108" w:type="dxa"/>
          </w:tblCellMar>
        </w:tblPrEx>
        <w:trPr>
          <w:trHeight w:val="3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15"/>
                <w:szCs w:val="15"/>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时效指标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审判流程公开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90分以上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80-90分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60-80分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60分以下</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上级文件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13.8</w:t>
            </w:r>
          </w:p>
        </w:tc>
      </w:tr>
      <w:tr>
        <w:tblPrEx>
          <w:tblCellMar>
            <w:top w:w="0" w:type="dxa"/>
            <w:left w:w="108" w:type="dxa"/>
            <w:bottom w:w="0" w:type="dxa"/>
            <w:right w:w="108" w:type="dxa"/>
          </w:tblCellMar>
        </w:tblPrEx>
        <w:trPr>
          <w:trHeight w:val="3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15"/>
                <w:szCs w:val="15"/>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成本指标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汇编培训手册数量</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90分以上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80-90分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60-80分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60分以下</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上级文件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效果指标</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社会效益指标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网上开庭普及及效果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90分以上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80-90分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60-80分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60分以下</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上级文件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27.6</w:t>
            </w:r>
          </w:p>
        </w:tc>
      </w:tr>
      <w:tr>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预算执行率</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自评得分</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93%</w:t>
            </w:r>
          </w:p>
        </w:tc>
      </w:tr>
      <w:tr>
        <w:tblPrEx>
          <w:tblCellMar>
            <w:top w:w="0" w:type="dxa"/>
            <w:left w:w="108" w:type="dxa"/>
            <w:bottom w:w="0" w:type="dxa"/>
            <w:right w:w="108" w:type="dxa"/>
          </w:tblCellMar>
        </w:tblPrEx>
        <w:trPr>
          <w:trHeight w:val="200" w:hRule="atLeast"/>
        </w:trPr>
        <w:tc>
          <w:tcPr>
            <w:tcW w:w="0" w:type="auto"/>
            <w:tcBorders>
              <w:top w:val="nil"/>
              <w:left w:val="nil"/>
              <w:bottom w:val="nil"/>
              <w:right w:val="nil"/>
            </w:tcBorders>
            <w:shd w:val="clear" w:color="auto" w:fill="auto"/>
            <w:noWrap/>
            <w:vAlign w:val="center"/>
          </w:tcPr>
          <w:p>
            <w:pPr>
              <w:widowControl/>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填报人：</w:t>
            </w:r>
          </w:p>
        </w:tc>
        <w:tc>
          <w:tcPr>
            <w:tcW w:w="1590"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刘梦瑶</w:t>
            </w:r>
          </w:p>
        </w:tc>
        <w:tc>
          <w:tcPr>
            <w:tcW w:w="1680"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870"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840"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825"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825"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1035"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0" w:type="auto"/>
            <w:tcBorders>
              <w:top w:val="nil"/>
              <w:left w:val="nil"/>
              <w:bottom w:val="nil"/>
              <w:right w:val="nil"/>
            </w:tcBorders>
            <w:shd w:val="clear" w:color="auto" w:fill="auto"/>
            <w:noWrap/>
          </w:tcPr>
          <w:p>
            <w:pPr>
              <w:rPr>
                <w:rFonts w:ascii="宋体" w:hAnsi="宋体" w:eastAsia="宋体" w:cs="宋体"/>
                <w:color w:val="000000"/>
                <w:sz w:val="15"/>
                <w:szCs w:val="15"/>
              </w:rPr>
            </w:pPr>
          </w:p>
        </w:tc>
        <w:tc>
          <w:tcPr>
            <w:tcW w:w="0" w:type="auto"/>
            <w:tcBorders>
              <w:top w:val="nil"/>
              <w:left w:val="nil"/>
              <w:bottom w:val="nil"/>
              <w:right w:val="nil"/>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联系电话：</w:t>
            </w:r>
          </w:p>
        </w:tc>
        <w:tc>
          <w:tcPr>
            <w:tcW w:w="0" w:type="auto"/>
            <w:gridSpan w:val="3"/>
            <w:tcBorders>
              <w:top w:val="single" w:color="000000" w:sz="4" w:space="0"/>
              <w:left w:val="nil"/>
              <w:bottom w:val="nil"/>
              <w:right w:val="nil"/>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0312-5579026</w:t>
            </w:r>
          </w:p>
        </w:tc>
      </w:tr>
    </w:tbl>
    <w:p>
      <w:pPr>
        <w:snapToGrid w:val="0"/>
        <w:spacing w:line="600" w:lineRule="exact"/>
        <w:jc w:val="left"/>
        <w:rPr>
          <w:rFonts w:ascii="仿宋_GB2312" w:hAnsi="仿宋_GB2312" w:eastAsia="仿宋_GB2312" w:cs="仿宋_GB2312"/>
          <w:sz w:val="32"/>
          <w:szCs w:val="32"/>
        </w:rPr>
        <w:sectPr>
          <w:pgSz w:w="16838" w:h="11906" w:orient="landscape"/>
          <w:pgMar w:top="1531" w:right="2098" w:bottom="1531" w:left="1984" w:header="851" w:footer="992" w:gutter="0"/>
          <w:pgNumType w:fmt="numberInDash"/>
          <w:cols w:space="0" w:num="1"/>
          <w:titlePg/>
          <w:docGrid w:type="lines" w:linePitch="315" w:charSpace="0"/>
        </w:sectPr>
      </w:pPr>
    </w:p>
    <w:p>
      <w:pPr>
        <w:snapToGrid w:val="0"/>
        <w:spacing w:line="600" w:lineRule="exact"/>
        <w:jc w:val="left"/>
        <w:rPr>
          <w:rFonts w:ascii="仿宋_GB2312" w:hAnsi="仿宋_GB2312" w:eastAsia="仿宋_GB2312" w:cs="仿宋_GB2312"/>
          <w:sz w:val="32"/>
          <w:szCs w:val="32"/>
        </w:rPr>
      </w:pPr>
    </w:p>
    <w:p>
      <w:pPr>
        <w:keepNext/>
        <w:keepLines/>
        <w:snapToGrid w:val="0"/>
        <w:spacing w:line="600" w:lineRule="exact"/>
        <w:ind w:firstLine="643" w:firstLineChars="200"/>
        <w:outlineLvl w:val="1"/>
        <w:rPr>
          <w:rFonts w:ascii="黑体" w:hAnsi="黑体" w:eastAsia="楷体_GB2312" w:cs="黑体"/>
          <w:b/>
          <w:bCs/>
          <w:sz w:val="32"/>
          <w:szCs w:val="32"/>
        </w:rPr>
      </w:pPr>
      <w:r>
        <w:rPr>
          <w:rFonts w:hint="eastAsia" w:ascii="楷体_GB2312" w:hAnsi="楷体_GB2312" w:eastAsia="楷体_GB2312" w:cs="楷体_GB2312"/>
          <w:b/>
          <w:bCs/>
          <w:sz w:val="32"/>
          <w:szCs w:val="32"/>
        </w:rPr>
        <w:t>（三）财政评价项目绩效评价结果：无</w:t>
      </w:r>
    </w:p>
    <w:p>
      <w:pPr>
        <w:keepNext/>
        <w:keepLines/>
        <w:snapToGrid w:val="0"/>
        <w:spacing w:line="600" w:lineRule="exact"/>
        <w:ind w:firstLine="640" w:firstLineChars="200"/>
        <w:outlineLvl w:val="1"/>
        <w:rPr>
          <w:rFonts w:ascii="仿宋_GB2312" w:hAnsi="仿宋_GB2312" w:eastAsia="仿宋_GB2312" w:cs="仿宋_GB2312"/>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本部门2020年度机关运行经费支出27.10万元，比2019年度减少11.11万元，降低29.08%。主要原因是</w:t>
      </w:r>
      <w:r>
        <w:rPr>
          <w:rFonts w:hint="eastAsia" w:ascii="仿宋_GB2312" w:hAnsi="Times New Roman" w:eastAsia="仿宋_GB2312" w:cs="Wingdings"/>
          <w:sz w:val="32"/>
          <w:szCs w:val="32"/>
        </w:rPr>
        <w:t>厉行节约，压缩三公经费支出。</w:t>
      </w:r>
    </w:p>
    <w:p>
      <w:pPr>
        <w:keepNext/>
        <w:keepLines/>
        <w:snapToGrid w:val="0"/>
        <w:spacing w:line="60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本部门2020年度政府采购支出总额187.90万元，从采购类型来看，</w:t>
      </w:r>
      <w:r>
        <w:rPr>
          <w:rFonts w:hint="eastAsia" w:ascii="仿宋_GB2312" w:hAnsi="仿宋_GB2312" w:eastAsia="仿宋_GB2312" w:cs="仿宋_GB2312"/>
          <w:color w:val="000000"/>
          <w:kern w:val="0"/>
          <w:sz w:val="32"/>
          <w:szCs w:val="32"/>
        </w:rPr>
        <w:t>政府采购装备支出92.95万元、政府采购工程支出93.95万元、政府采购服务支出1.00万元。授予中小企业合同金0万元，占政府采购支出总额的0%，其中授予小微企业合同金额0万元，占政府采购支出总额的0%。</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截至2020年12月31日，本部门共有车辆15辆，比上年减少13辆，</w:t>
      </w:r>
      <w:r>
        <w:rPr>
          <w:rFonts w:hint="eastAsia" w:ascii="仿宋_GB2312" w:hAnsi="Times New Roman" w:eastAsia="仿宋_GB2312" w:cs="DengXian-Regular"/>
          <w:sz w:val="32"/>
          <w:szCs w:val="32"/>
        </w:rPr>
        <w:t>主要是厉行节约，压缩三公经费支出</w:t>
      </w:r>
      <w:r>
        <w:rPr>
          <w:rFonts w:hint="eastAsia" w:ascii="仿宋_GB2312" w:hAnsi="仿宋_GB2312" w:eastAsia="仿宋_GB2312" w:cs="仿宋_GB2312"/>
          <w:sz w:val="32"/>
          <w:szCs w:val="32"/>
        </w:rPr>
        <w:t>。其中，副部（省）级及以上领导用车0辆，主要领导干部用车0辆，机要通信用车0辆，应急保障用车0辆，执法执勤用车15辆，特种专业技术用车0辆，离退休干部用车0辆，其他用车0辆。</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单位价值50万元以上通用设备1（套），比上年增加1套，主要是建设诉讼服务大厅所需设备及软件 ，单位价值100万元以上专用设备0台比上年增加0套，</w:t>
      </w:r>
      <w:r>
        <w:rPr>
          <w:rFonts w:hint="eastAsia" w:ascii="仿宋_GB2312" w:hAnsi="Times New Roman" w:eastAsia="仿宋_GB2312" w:cs="DengXian-Regular"/>
          <w:sz w:val="32"/>
          <w:szCs w:val="32"/>
        </w:rPr>
        <w:t>主要是未有此项经费</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ind w:firstLine="640" w:firstLineChars="200"/>
        <w:rPr>
          <w:rFonts w:ascii="仿宋_GB2312" w:hAnsi="Times New Roman" w:eastAsia="仿宋_GB2312" w:cs="Wingdings"/>
          <w:sz w:val="32"/>
          <w:szCs w:val="32"/>
        </w:rPr>
      </w:pPr>
      <w:r>
        <w:rPr>
          <w:rFonts w:hint="eastAsia" w:ascii="仿宋_GB2312" w:hAnsi="仿宋_GB2312" w:eastAsia="仿宋_GB2312" w:cs="仿宋_GB2312"/>
          <w:sz w:val="32"/>
          <w:szCs w:val="32"/>
        </w:rPr>
        <w:t>1. 本部门2020年度未发生政府性基金预算、国有资金经营预算收支及结转结余情况，故政府性基金预算财政拨款收入支出决算表、国有资本经营预算财政拨款支出决算表以空表列示。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w:pict>
          <v:shape id="_x0000_s1029" o:spid="_x0000_s1029" o:spt="202" type="#_x0000_t202" style="position:absolute;left:0pt;margin-left:-80.5pt;margin-top:15.9pt;height:263.1pt;width:613.65pt;z-index:251662336;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path/>
            <v:fill type="pattern" on="t" color2="#FFFFFF" o:title="5%" focussize="0,0" r:id="rId14"/>
            <v:stroke weight="0.5pt" color="#7F7F7F" joinstyle="round"/>
            <v:imagedata o:title=""/>
            <o:lock v:ext="edit"/>
            <v:textbox>
              <w:txbxContent>
                <w:p>
                  <w:pPr>
                    <w:widowControl/>
                    <w:jc w:val="center"/>
                    <w:rPr>
                      <w:rFonts w:hint="eastAsia"/>
                    </w:rPr>
                  </w:pPr>
                  <w:r>
                    <w:rPr>
                      <w:rFonts w:hint="eastAsia" w:ascii="黑体" w:hAnsi="黑体" w:eastAsia="黑体" w:cs="黑体"/>
                      <w:color w:val="000000" w:themeColor="text1"/>
                      <w:sz w:val="90"/>
                      <w:szCs w:val="90"/>
                    </w:rPr>
                    <w:t>第三部分 相关名词解释</w:t>
                  </w:r>
                </w:p>
              </w:txbxContent>
            </v:textbox>
          </v:shape>
        </w:pic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bookmarkStart w:id="0" w:name="_GoBack"/>
      <w:bookmarkEnd w:id="0"/>
      <w:r>
        <w:rPr>
          <w:rFonts w:hint="eastAsia" w:ascii="仿宋_GB2312" w:hAnsi="宋体" w:eastAsia="仿宋_GB2312" w:cs="Times New Roman"/>
          <w:b/>
          <w:bCs/>
          <w:color w:val="000000"/>
          <w:kern w:val="0"/>
          <w:sz w:val="32"/>
          <w:szCs w:val="32"/>
        </w:rPr>
        <w:t>：</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pgSz w:w="11906" w:h="16838"/>
          <w:pgMar w:top="2098" w:right="1531" w:bottom="1984" w:left="1531" w:header="851" w:footer="992" w:gutter="0"/>
          <w:pgNumType w:fmt="numberInDash"/>
          <w:cols w:space="0" w:num="1"/>
          <w:titlePg/>
          <w:docGrid w:type="lines" w:linePitch="315"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w:pict>
          <v:shape id="_x0000_s1028" o:spid="_x0000_s1028" o:spt="202" type="#_x0000_t202" style="position:absolute;left:0pt;margin-left:-80.9pt;margin-top:90.65pt;height:263.1pt;width:613.65pt;z-index:251668480;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path/>
            <v:fill type="pattern" on="t" o:title="5%" focussize="0,0" r:id="rId14"/>
            <v:stroke weight="1pt" color="#A6A6A6" joinstyle="round"/>
            <v:imagedata o:title=""/>
            <o:lock v:ext="edit"/>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rPr>
                      <w:rFonts w:hint="eastAsia"/>
                    </w:rPr>
                  </w:pPr>
                  <w:r>
                    <w:rPr>
                      <w:rFonts w:hint="eastAsia" w:ascii="黑体" w:hAnsi="黑体" w:eastAsia="黑体" w:cs="黑体"/>
                      <w:color w:val="000000" w:themeColor="text1"/>
                      <w:sz w:val="90"/>
                      <w:szCs w:val="90"/>
                    </w:rPr>
                    <w:t>2020年度部门决算报表</w:t>
                  </w:r>
                </w:p>
                <w:p>
                  <w:pPr>
                    <w:rPr>
                      <w:rFonts w:hint="eastAsia"/>
                    </w:rPr>
                  </w:pPr>
                </w:p>
              </w:txbxContent>
            </v:textbox>
          </v:shape>
        </w:pic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部门：保定市满城区人民法院</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1868.59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2.00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1681.67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111.86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32.62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42.81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1868.59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1870.96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使用非财政拨款结余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2.49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0.12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1871.08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1871.08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color w:val="000000"/>
                <w:kern w:val="0"/>
                <w:sz w:val="18"/>
                <w:szCs w:val="18"/>
              </w:rPr>
              <w:t>注：本表反映部门本年度的总收支和年末结转结余情况。</w:t>
            </w:r>
          </w:p>
          <w:p>
            <w:pPr>
              <w:widowControl/>
              <w:jc w:val="left"/>
              <w:textAlignment w:val="center"/>
              <w:rPr>
                <w:rFonts w:ascii="宋体" w:hAnsi="宋体" w:eastAsia="宋体" w:cs="宋体"/>
                <w:color w:val="000000"/>
                <w:kern w:val="0"/>
                <w:sz w:val="18"/>
                <w:szCs w:val="18"/>
              </w:rPr>
            </w:pPr>
          </w:p>
        </w:tc>
      </w:tr>
    </w:tbl>
    <w:tbl>
      <w:tblPr>
        <w:tblStyle w:val="5"/>
        <w:tblW w:w="9580" w:type="dxa"/>
        <w:jc w:val="center"/>
        <w:tblLayout w:type="autofit"/>
        <w:tblCellMar>
          <w:top w:w="0" w:type="dxa"/>
          <w:left w:w="0" w:type="dxa"/>
          <w:bottom w:w="0" w:type="dxa"/>
          <w:right w:w="0" w:type="dxa"/>
        </w:tblCellMar>
      </w:tblPr>
      <w:tblGrid>
        <w:gridCol w:w="718"/>
        <w:gridCol w:w="41"/>
        <w:gridCol w:w="41"/>
        <w:gridCol w:w="3550"/>
        <w:gridCol w:w="999"/>
        <w:gridCol w:w="999"/>
        <w:gridCol w:w="666"/>
        <w:gridCol w:w="666"/>
        <w:gridCol w:w="666"/>
        <w:gridCol w:w="666"/>
        <w:gridCol w:w="667"/>
      </w:tblGrid>
      <w:tr>
        <w:tblPrEx>
          <w:tblCellMar>
            <w:top w:w="0" w:type="dxa"/>
            <w:left w:w="0" w:type="dxa"/>
            <w:bottom w:w="0" w:type="dxa"/>
            <w:right w:w="0" w:type="dxa"/>
          </w:tblCellMar>
        </w:tblPrEx>
        <w:trPr>
          <w:trHeight w:val="670" w:hRule="atLeast"/>
          <w:jc w:val="center"/>
        </w:trPr>
        <w:tc>
          <w:tcPr>
            <w:tcW w:w="9580"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18"/>
                <w:szCs w:val="18"/>
              </w:rPr>
              <w:t>保定市满城区人民法院</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1124"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1868.59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1868.59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信访事务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826.99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826.99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案件审判</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306.00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306.00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其他法院支出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546.31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546.31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89.54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89.54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32.62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32.62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42.81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42.81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pPr>
        <w:jc w:val="left"/>
        <w:rPr>
          <w:rFonts w:hint="eastAsia"/>
        </w:rPr>
      </w:pPr>
    </w:p>
    <w:p>
      <w:pPr>
        <w:rPr>
          <w:rFonts w:hint="eastAsia"/>
        </w:rPr>
      </w:pPr>
      <w:r>
        <w:br w:type="page"/>
      </w:r>
    </w:p>
    <w:tbl>
      <w:tblPr>
        <w:tblStyle w:val="5"/>
        <w:tblW w:w="9680" w:type="dxa"/>
        <w:jc w:val="center"/>
        <w:tblLayout w:type="fixed"/>
        <w:tblCellMar>
          <w:top w:w="0" w:type="dxa"/>
          <w:left w:w="0" w:type="dxa"/>
          <w:bottom w:w="0" w:type="dxa"/>
          <w:right w:w="0" w:type="dxa"/>
        </w:tblCellMar>
      </w:tblPr>
      <w:tblGrid>
        <w:gridCol w:w="754"/>
        <w:gridCol w:w="240"/>
        <w:gridCol w:w="111"/>
        <w:gridCol w:w="3699"/>
        <w:gridCol w:w="1457"/>
        <w:gridCol w:w="894"/>
        <w:gridCol w:w="851"/>
        <w:gridCol w:w="505"/>
        <w:gridCol w:w="534"/>
        <w:gridCol w:w="635"/>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75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6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5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9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5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35"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75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6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18"/>
                <w:szCs w:val="18"/>
              </w:rPr>
              <w:t>保定市满城区人民法院</w:t>
            </w:r>
          </w:p>
        </w:tc>
        <w:tc>
          <w:tcPr>
            <w:tcW w:w="145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9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5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9"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480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145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89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85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5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5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63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369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4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5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5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63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69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4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63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69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4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63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480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4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89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8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5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5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6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480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1870.96</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1292.13</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578.83</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2010308</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信访事务</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2.00</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2.00</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2040501</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826.88</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826.88</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2040504</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案件审判</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306.00</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306.00</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2040599</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其他法院支出</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548.79</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277.96</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270.83</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89.54</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89.54</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22.31</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22.31</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32.62</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32.62</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42.81</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42.81</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pPr>
        <w:rPr>
          <w:rFonts w:hint="eastAsia"/>
        </w:rPr>
      </w:pPr>
      <w:r>
        <w:br w:type="page"/>
      </w:r>
    </w:p>
    <w:tbl>
      <w:tblPr>
        <w:tblStyle w:val="5"/>
        <w:tblW w:w="9990" w:type="dxa"/>
        <w:jc w:val="center"/>
        <w:tblLayout w:type="fixed"/>
        <w:tblCellMar>
          <w:top w:w="0" w:type="dxa"/>
          <w:left w:w="0" w:type="dxa"/>
          <w:bottom w:w="0" w:type="dxa"/>
          <w:right w:w="0" w:type="dxa"/>
        </w:tblCellMar>
      </w:tblPr>
      <w:tblGrid>
        <w:gridCol w:w="502"/>
        <w:gridCol w:w="240"/>
        <w:gridCol w:w="566"/>
        <w:gridCol w:w="3680"/>
        <w:gridCol w:w="1356"/>
        <w:gridCol w:w="1317"/>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91"/>
              <w:gridCol w:w="101"/>
              <w:gridCol w:w="290"/>
              <w:gridCol w:w="748"/>
              <w:gridCol w:w="2456"/>
              <w:gridCol w:w="446"/>
              <w:gridCol w:w="762"/>
              <w:gridCol w:w="707"/>
              <w:gridCol w:w="730"/>
              <w:gridCol w:w="853"/>
              <w:gridCol w:w="252"/>
            </w:tblGrid>
            <w:tr>
              <w:tblPrEx>
                <w:tblCellMar>
                  <w:top w:w="0" w:type="dxa"/>
                  <w:left w:w="108" w:type="dxa"/>
                  <w:bottom w:w="0" w:type="dxa"/>
                  <w:right w:w="108" w:type="dxa"/>
                </w:tblCellMar>
              </w:tblPrEx>
              <w:trPr>
                <w:gridAfter w:val="1"/>
                <w:wAfter w:w="252" w:type="dxa"/>
                <w:trHeight w:val="90" w:hRule="atLeast"/>
              </w:trPr>
              <w:tc>
                <w:tcPr>
                  <w:tcW w:w="2492" w:type="dxa"/>
                  <w:gridSpan w:val="2"/>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29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62"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90"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91"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部门：</w:t>
                  </w:r>
                  <w:r>
                    <w:rPr>
                      <w:rFonts w:hint="eastAsia" w:ascii="宋体" w:hAnsi="宋体" w:eastAsia="宋体" w:cs="宋体"/>
                      <w:color w:val="000000"/>
                      <w:kern w:val="0"/>
                      <w:sz w:val="18"/>
                      <w:szCs w:val="18"/>
                    </w:rPr>
                    <w:t>保定市满城区人民法院</w:t>
                  </w:r>
                </w:p>
              </w:tc>
              <w:tc>
                <w:tcPr>
                  <w:tcW w:w="391" w:type="dxa"/>
                  <w:gridSpan w:val="2"/>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62"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0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58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91"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391"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62"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07"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30"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91"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391"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62"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7"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30"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1868.59</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2.00</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2.00</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1681.67</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1681.67</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111.86</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111.86</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32.62</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32.62</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42.81</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42.81</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1868.59</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1870.96</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1870.96</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2.49</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0.12</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0.12</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2.49</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391" w:type="dxa"/>
                  <w:gridSpan w:val="2"/>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1871.08</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1871.08</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1871.08</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9484" w:type="dxa"/>
                  <w:gridSpan w:val="10"/>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0"/>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50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68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646"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502"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4486" w:type="dxa"/>
            <w:gridSpan w:val="3"/>
            <w:tcBorders>
              <w:top w:val="nil"/>
              <w:left w:val="nil"/>
              <w:bottom w:val="nil"/>
              <w:right w:val="nil"/>
            </w:tcBorders>
            <w:shd w:val="clear" w:color="auto" w:fill="auto"/>
            <w:noWrap/>
            <w:tcMar>
              <w:top w:w="15" w:type="dxa"/>
              <w:left w:w="15" w:type="dxa"/>
              <w:right w:w="15" w:type="dxa"/>
            </w:tcMar>
            <w:vAlign w:val="bottom"/>
          </w:tcPr>
          <w:p>
            <w:pPr>
              <w:ind w:firstLine="245"/>
              <w:rPr>
                <w:rFonts w:ascii="Arial" w:hAnsi="Arial" w:cs="Arial"/>
                <w:color w:val="000000"/>
                <w:sz w:val="18"/>
                <w:szCs w:val="18"/>
              </w:rPr>
            </w:pPr>
            <w:r>
              <w:rPr>
                <w:rFonts w:hint="eastAsia" w:ascii="宋体" w:hAnsi="宋体" w:eastAsia="宋体" w:cs="宋体"/>
                <w:color w:val="000000"/>
                <w:kern w:val="0"/>
                <w:sz w:val="18"/>
                <w:szCs w:val="18"/>
              </w:rPr>
              <w:t>保定市满城区人民法院</w:t>
            </w:r>
          </w:p>
        </w:tc>
        <w:tc>
          <w:tcPr>
            <w:tcW w:w="135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646"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498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5002"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368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35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68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35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68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35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498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498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1870.96</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1292.13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578.83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2010308</w:t>
            </w:r>
          </w:p>
        </w:tc>
        <w:tc>
          <w:tcPr>
            <w:tcW w:w="3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信访事务</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2.00</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2040501</w:t>
            </w:r>
          </w:p>
        </w:tc>
        <w:tc>
          <w:tcPr>
            <w:tcW w:w="3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826.88</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826.88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2040504</w:t>
            </w:r>
          </w:p>
        </w:tc>
        <w:tc>
          <w:tcPr>
            <w:tcW w:w="3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案件审判</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306.00</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306.00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2040599</w:t>
            </w:r>
          </w:p>
        </w:tc>
        <w:tc>
          <w:tcPr>
            <w:tcW w:w="3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其他法院支出</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548.79</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277.96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270.83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3680"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135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89.54</w:t>
            </w:r>
          </w:p>
        </w:tc>
        <w:tc>
          <w:tcPr>
            <w:tcW w:w="1317"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89.54</w:t>
            </w:r>
          </w:p>
        </w:tc>
        <w:tc>
          <w:tcPr>
            <w:tcW w:w="2329"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368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135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22.31</w:t>
            </w:r>
          </w:p>
        </w:tc>
        <w:tc>
          <w:tcPr>
            <w:tcW w:w="1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22.31</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368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135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32.62</w:t>
            </w:r>
          </w:p>
        </w:tc>
        <w:tc>
          <w:tcPr>
            <w:tcW w:w="1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36.62</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368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135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42.81</w:t>
            </w:r>
          </w:p>
        </w:tc>
        <w:tc>
          <w:tcPr>
            <w:tcW w:w="1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42.81</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990" w:type="dxa"/>
            <w:gridSpan w:val="8"/>
            <w:tcBorders>
              <w:top w:val="single" w:color="auto" w:sz="4" w:space="0"/>
              <w:left w:val="nil"/>
              <w:bottom w:val="nil"/>
              <w:right w:val="nil"/>
            </w:tcBorders>
            <w:shd w:val="clear" w:color="auto" w:fill="auto"/>
            <w:noWrap/>
            <w:tcMar>
              <w:top w:w="15" w:type="dxa"/>
              <w:left w:w="15" w:type="dxa"/>
              <w:right w:w="15" w:type="dxa"/>
            </w:tcMar>
            <w:vAlign w:val="center"/>
          </w:tcPr>
          <w:p>
            <w:pPr>
              <w:tabs>
                <w:tab w:val="left" w:pos="660"/>
              </w:tabs>
              <w:jc w:val="left"/>
              <w:rPr>
                <w:rFonts w:ascii="宋体" w:hAnsi="宋体" w:eastAsia="宋体" w:cs="宋体"/>
                <w:color w:val="000000"/>
                <w:sz w:val="18"/>
                <w:szCs w:val="18"/>
              </w:rPr>
            </w:pPr>
            <w:r>
              <w:rPr>
                <w:rFonts w:hint="eastAsia" w:ascii="宋体" w:hAnsi="宋体" w:eastAsia="宋体" w:cs="宋体"/>
                <w:color w:val="000000"/>
                <w:sz w:val="18"/>
                <w:szCs w:val="18"/>
              </w:rPr>
              <w:tab/>
            </w:r>
            <w:r>
              <w:rPr>
                <w:rFonts w:hint="eastAsia" w:ascii="宋体" w:hAnsi="宋体" w:eastAsia="宋体" w:cs="宋体"/>
                <w:color w:val="000000"/>
                <w:sz w:val="18"/>
                <w:szCs w:val="18"/>
              </w:rPr>
              <w:t>注：本表反映部门本年度一般公共预算财政拨款支出情况。</w:t>
            </w:r>
          </w:p>
        </w:tc>
      </w:tr>
    </w:tbl>
    <w:p>
      <w:pPr>
        <w:rPr>
          <w:rFonts w:hint="eastAsia"/>
        </w:rPr>
      </w:pPr>
      <w:r>
        <w:br w:type="page"/>
      </w:r>
    </w:p>
    <w:p>
      <w:pPr>
        <w:widowControl/>
        <w:jc w:val="center"/>
        <w:textAlignment w:val="center"/>
        <w:rPr>
          <w:rFonts w:ascii="黑体" w:hAnsi="宋体" w:eastAsia="黑体" w:cs="黑体"/>
          <w:color w:val="000000"/>
          <w:kern w:val="0"/>
          <w:sz w:val="28"/>
          <w:szCs w:val="28"/>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20"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公开06表</w:t>
            </w:r>
          </w:p>
        </w:tc>
      </w:tr>
      <w:tr>
        <w:tblPrEx>
          <w:tblCellMar>
            <w:top w:w="0" w:type="dxa"/>
            <w:left w:w="0" w:type="dxa"/>
            <w:bottom w:w="0" w:type="dxa"/>
            <w:right w:w="0" w:type="dxa"/>
          </w:tblCellMar>
        </w:tblPrEx>
        <w:trPr>
          <w:trHeight w:val="226" w:hRule="atLeast"/>
          <w:jc w:val="center"/>
        </w:trPr>
        <w:tc>
          <w:tcPr>
            <w:tcW w:w="3728"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r>
              <w:rPr>
                <w:rFonts w:hint="eastAsia" w:ascii="宋体" w:hAnsi="宋体" w:eastAsia="宋体" w:cs="宋体"/>
                <w:color w:val="000000"/>
                <w:kern w:val="0"/>
                <w:sz w:val="16"/>
                <w:szCs w:val="16"/>
              </w:rPr>
              <w:t>部门：</w:t>
            </w:r>
            <w:r>
              <w:rPr>
                <w:rFonts w:hint="eastAsia" w:ascii="宋体" w:hAnsi="宋体" w:eastAsia="宋体" w:cs="宋体"/>
                <w:color w:val="000000"/>
                <w:kern w:val="0"/>
                <w:sz w:val="18"/>
                <w:szCs w:val="18"/>
              </w:rPr>
              <w:t>保定市满城区人民法院</w:t>
            </w: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994.79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278.38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417.55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35.16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166.98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25.06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0.46</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190.24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0.46</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87.33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17.50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22.31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7.20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41.39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42.81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5.52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1.10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18.50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13.50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3.81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205.20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0.79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w:t>
            </w:r>
            <w:r>
              <w:rPr>
                <w:rFonts w:hint="eastAsia" w:ascii="宋体" w:hAnsi="宋体" w:eastAsia="宋体" w:cs="宋体"/>
                <w:color w:val="000000"/>
                <w:kern w:val="0"/>
                <w:sz w:val="15"/>
                <w:szCs w:val="15"/>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0.80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1013.29</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278.84</w:t>
            </w:r>
          </w:p>
        </w:tc>
      </w:tr>
    </w:tbl>
    <w:p>
      <w:pPr>
        <w:widowControl/>
        <w:jc w:val="center"/>
        <w:textAlignment w:val="center"/>
        <w:rPr>
          <w:rFonts w:hint="eastAsia"/>
        </w:rP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2953"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rPr>
              <w:t>部门：保定市满城区人民法院</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38.40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38.40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38.40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27.10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27.10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27.10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eastAsia"/>
        </w:rPr>
      </w:pPr>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10208" w:type="dxa"/>
        <w:jc w:val="center"/>
        <w:tblLayout w:type="fixed"/>
        <w:tblCellMar>
          <w:top w:w="0" w:type="dxa"/>
          <w:left w:w="0" w:type="dxa"/>
          <w:bottom w:w="0" w:type="dxa"/>
          <w:right w:w="0" w:type="dxa"/>
        </w:tblCellMar>
      </w:tblPr>
      <w:tblGrid>
        <w:gridCol w:w="594"/>
        <w:gridCol w:w="1006"/>
        <w:gridCol w:w="240"/>
        <w:gridCol w:w="1827"/>
        <w:gridCol w:w="1090"/>
        <w:gridCol w:w="1090"/>
        <w:gridCol w:w="1090"/>
        <w:gridCol w:w="1090"/>
        <w:gridCol w:w="1090"/>
        <w:gridCol w:w="1091"/>
      </w:tblGrid>
      <w:tr>
        <w:tblPrEx>
          <w:tblCellMar>
            <w:top w:w="0" w:type="dxa"/>
            <w:left w:w="0" w:type="dxa"/>
            <w:bottom w:w="0" w:type="dxa"/>
            <w:right w:w="0" w:type="dxa"/>
          </w:tblCellMar>
        </w:tblPrEx>
        <w:trPr>
          <w:trHeight w:val="780" w:hRule="atLeast"/>
          <w:jc w:val="center"/>
        </w:trPr>
        <w:tc>
          <w:tcPr>
            <w:tcW w:w="10208"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59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82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81"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594"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3073" w:type="dxa"/>
            <w:gridSpan w:val="3"/>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rPr>
              <w:t>保定市满城区人民法院</w:t>
            </w: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81"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366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09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09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27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09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184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1827"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09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09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0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84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82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84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82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366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366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18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8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8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8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8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ascii="宋体" w:hAnsi="宋体" w:eastAsia="宋体" w:cs="宋体"/>
          <w:sz w:val="20"/>
          <w:szCs w:val="22"/>
        </w:rPr>
      </w:pPr>
      <w:r>
        <w:rPr>
          <w:rFonts w:hint="eastAsia" w:ascii="宋体" w:hAnsi="宋体" w:eastAsia="宋体" w:cs="宋体"/>
          <w:sz w:val="20"/>
          <w:szCs w:val="22"/>
        </w:rPr>
        <w:t>注：本部门本年度无相关收入（或支出、收支及结转结余等）情况，按要求空表列示。</w:t>
      </w: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宋体" w:hAnsi="宋体" w:eastAsia="宋体" w:cs="宋体"/>
          <w:sz w:val="20"/>
          <w:szCs w:val="22"/>
        </w:rPr>
      </w:pPr>
      <w:r>
        <w:rPr>
          <w:rFonts w:hint="eastAsia" w:ascii="宋体" w:hAnsi="宋体" w:eastAsia="宋体" w:cs="宋体"/>
          <w:sz w:val="20"/>
          <w:szCs w:val="22"/>
        </w:rPr>
        <w:t>注：本部门本年度无相关收入（或支出、收支及结转结余等）情况，按要求空表列示。</w:t>
      </w: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r>
        <w:rPr>
          <w:rFonts w:hint="eastAsia"/>
          <w:sz w:val="32"/>
        </w:rPr>
        <w:pict>
          <v:rect id="_x0000_s1027" o:spid="_x0000_s1027" o:spt="1" style="position:absolute;left:0pt;margin-left:-78.2pt;margin-top:-106.6pt;height:842.2pt;width:601pt;z-index:251667456;v-text-anchor:middle;mso-width-relative:page;mso-height-relative:page;" fillcolor="#BDD7EE"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path/>
            <v:fill on="t" focussize="0,0"/>
            <v:stroke on="f" weight="1pt"/>
            <v:imagedata o:title=""/>
            <o:lock v:ext="edit"/>
            <v:textbox>
              <w:txbxContent>
                <w:p/>
              </w:txbxContent>
            </v:textbox>
          </v:rect>
        </w:pic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ongolian Baiti">
    <w:panose1 w:val="03000500000000000000"/>
    <w:charset w:val="00"/>
    <w:family w:val="script"/>
    <w:pitch w:val="default"/>
    <w:sig w:usb0="80000023" w:usb1="00000000" w:usb2="00020000" w:usb3="00000000" w:csb0="00000001" w:csb1="00000000"/>
  </w:font>
  <w:font w:name="微软雅黑">
    <w:panose1 w:val="020B0503020204020204"/>
    <w:charset w:val="86"/>
    <w:family w:val="swiss"/>
    <w:pitch w:val="variable"/>
    <w:sig w:usb0="80000287" w:usb1="2ACF3C50" w:usb2="00000016" w:usb3="00000000" w:csb0="0004001F" w:csb1="00000000"/>
  </w:font>
  <w:font w:name="方正小标宋_GBK">
    <w:altName w:val="Times New Roman"/>
    <w:panose1 w:val="00000000000000000000"/>
    <w:charset w:val="00"/>
    <w:family w:val="auto"/>
    <w:pitch w:val="default"/>
    <w:sig w:usb0="00000000" w:usb1="00000000" w:usb2="00000000" w:usb3="00000000" w:csb0="00000000" w:csb1="00000000"/>
  </w:font>
  <w:font w:name="DengXian-Regular">
    <w:altName w:val="宋体"/>
    <w:panose1 w:val="00000000000000000000"/>
    <w:charset w:val="86"/>
    <w:family w:val="auto"/>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ABA880"/>
    <w:multiLevelType w:val="singleLevel"/>
    <w:tmpl w:val="41ABA880"/>
    <w:lvl w:ilvl="0" w:tentative="0">
      <w:start w:val="4"/>
      <w:numFmt w:val="chineseCounting"/>
      <w:lvlText w:val="(%1)"/>
      <w:lvlJc w:val="left"/>
      <w:pPr>
        <w:tabs>
          <w:tab w:val="left" w:pos="312"/>
        </w:tabs>
      </w:pPr>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embedSystemFonts/>
  <w:bordersDoNotSurroundHeader w:val="1"/>
  <w:bordersDoNotSurroundFooter w:val="1"/>
  <w:documentProtection w:enforcement="0"/>
  <w:defaultTabStop w:val="420"/>
  <w:drawingGridHorizontalSpacing w:val="105"/>
  <w:drawingGridVerticalSpacing w:val="158"/>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M2NDBjNmRmOTgwN2I3ZjFmYWY1NWM1NzgyN2Y5NmIifQ=="/>
  </w:docVars>
  <w:rsids>
    <w:rsidRoot w:val="34C45458"/>
    <w:rsid w:val="00022BC9"/>
    <w:rsid w:val="00061A05"/>
    <w:rsid w:val="0013676C"/>
    <w:rsid w:val="0018668E"/>
    <w:rsid w:val="001B73D2"/>
    <w:rsid w:val="001E62BF"/>
    <w:rsid w:val="00293E7B"/>
    <w:rsid w:val="002D1F4F"/>
    <w:rsid w:val="00366D90"/>
    <w:rsid w:val="003D678E"/>
    <w:rsid w:val="00565A4A"/>
    <w:rsid w:val="006441B2"/>
    <w:rsid w:val="007E1444"/>
    <w:rsid w:val="00801F46"/>
    <w:rsid w:val="00801F66"/>
    <w:rsid w:val="009334BF"/>
    <w:rsid w:val="026F52C7"/>
    <w:rsid w:val="058B71E0"/>
    <w:rsid w:val="0A4E6851"/>
    <w:rsid w:val="0B1E35FB"/>
    <w:rsid w:val="0D9B41E0"/>
    <w:rsid w:val="0EA325C9"/>
    <w:rsid w:val="12AE7DB8"/>
    <w:rsid w:val="13967770"/>
    <w:rsid w:val="177B7880"/>
    <w:rsid w:val="17B92D38"/>
    <w:rsid w:val="1AFB6EFD"/>
    <w:rsid w:val="1CE50E19"/>
    <w:rsid w:val="1D131CB5"/>
    <w:rsid w:val="1ECC633B"/>
    <w:rsid w:val="2CBB3987"/>
    <w:rsid w:val="2F0F2C9B"/>
    <w:rsid w:val="2FB96948"/>
    <w:rsid w:val="300711FE"/>
    <w:rsid w:val="303B2B34"/>
    <w:rsid w:val="3327616A"/>
    <w:rsid w:val="334C2218"/>
    <w:rsid w:val="34C45458"/>
    <w:rsid w:val="35C83C42"/>
    <w:rsid w:val="375B7FE2"/>
    <w:rsid w:val="3B104CC4"/>
    <w:rsid w:val="42CA08A1"/>
    <w:rsid w:val="45AF0D98"/>
    <w:rsid w:val="511B05B9"/>
    <w:rsid w:val="5194498F"/>
    <w:rsid w:val="52CC682E"/>
    <w:rsid w:val="59E75237"/>
    <w:rsid w:val="5D0C63C4"/>
    <w:rsid w:val="5EA06201"/>
    <w:rsid w:val="69C96605"/>
    <w:rsid w:val="6BE90EE0"/>
    <w:rsid w:val="73D82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8">
    <w:name w:val="font11"/>
    <w:basedOn w:val="7"/>
    <w:uiPriority w:val="0"/>
    <w:rPr>
      <w:rFonts w:hint="eastAsia" w:ascii="宋体" w:hAnsi="宋体" w:eastAsia="宋体" w:cs="宋体"/>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2.GI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r>
              <a:rPr lang="en-US" altLang="zh-CN">
                <a:latin typeface="楷体_GB2312" pitchFamily="3" charset="-122"/>
                <a:ea typeface="楷体_GB2312" pitchFamily="3" charset="-122"/>
                <a:cs typeface="楷体_GB2312" pitchFamily="3" charset="-122"/>
                <a:sym typeface="楷体_GB2312" pitchFamily="3" charset="-122"/>
              </a:rPr>
              <a:t>2019-2020</a:t>
            </a:r>
            <a:r>
              <a:rPr lang="zh-CN" altLang="en-US">
                <a:latin typeface="楷体_GB2312" pitchFamily="3" charset="-122"/>
                <a:ea typeface="楷体_GB2312" pitchFamily="3" charset="-122"/>
                <a:cs typeface="楷体_GB2312" pitchFamily="3" charset="-122"/>
                <a:sym typeface="楷体_GB2312" pitchFamily="3" charset="-122"/>
              </a:rPr>
              <a:t>年收支总计对比情况（图</a:t>
            </a:r>
            <a:r>
              <a:rPr lang="en-US" altLang="zh-CN">
                <a:latin typeface="楷体_GB2312" pitchFamily="3" charset="-122"/>
                <a:ea typeface="楷体_GB2312" pitchFamily="3" charset="-122"/>
                <a:cs typeface="楷体_GB2312" pitchFamily="3" charset="-122"/>
                <a:sym typeface="楷体_GB2312" pitchFamily="3" charset="-122"/>
              </a:rPr>
              <a:t>1</a:t>
            </a:r>
            <a:r>
              <a:rPr lang="zh-CN" altLang="en-US">
                <a:latin typeface="楷体_GB2312" pitchFamily="3" charset="-122"/>
                <a:ea typeface="楷体_GB2312" pitchFamily="3" charset="-122"/>
                <a:cs typeface="楷体_GB2312" pitchFamily="3" charset="-122"/>
                <a:sym typeface="楷体_GB2312" pitchFamily="3" charset="-122"/>
              </a:rPr>
              <a:t>）</a:t>
            </a:r>
            <a:endParaRPr lang="zh-CN" altLang="en-US">
              <a:latin typeface="楷体_GB2312" pitchFamily="3" charset="-122"/>
              <a:ea typeface="楷体_GB2312" pitchFamily="3" charset="-122"/>
              <a:cs typeface="楷体_GB2312" pitchFamily="3" charset="-122"/>
              <a:sym typeface="楷体_GB2312" pitchFamily="3" charset="-122"/>
            </a:endParaRPr>
          </a:p>
        </c:rich>
      </c:tx>
      <c:layout>
        <c:manualLayout>
          <c:xMode val="edge"/>
          <c:yMode val="edge"/>
          <c:x val="0.209718361608105"/>
          <c:y val="0.85055865921787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收入总计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1639.57</c:v>
                </c:pt>
                <c:pt idx="1">
                  <c:v>1871.08</c:v>
                </c:pt>
              </c:numCache>
            </c:numRef>
          </c:val>
        </c:ser>
        <c:ser>
          <c:idx val="1"/>
          <c:order val="1"/>
          <c:tx>
            <c:strRef>
              <c:f>Sheet1!$C$1</c:f>
              <c:strCache>
                <c:ptCount val="1"/>
                <c:pt idx="0">
                  <c:v>支出总计</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c:v>
                </c:pt>
                <c:pt idx="1">
                  <c:v>2020年</c:v>
                </c:pt>
              </c:strCache>
            </c:strRef>
          </c:cat>
          <c:val>
            <c:numRef>
              <c:f>Sheet1!$C$2:$C$3</c:f>
              <c:numCache>
                <c:formatCode>General</c:formatCode>
                <c:ptCount val="2"/>
                <c:pt idx="0">
                  <c:v>1637.09</c:v>
                </c:pt>
                <c:pt idx="1">
                  <c:v>1871.08</c:v>
                </c:pt>
              </c:numCache>
            </c:numRef>
          </c:val>
        </c:ser>
        <c:dLbls>
          <c:showLegendKey val="0"/>
          <c:showVal val="1"/>
          <c:showCatName val="0"/>
          <c:showSerName val="0"/>
          <c:showPercent val="0"/>
          <c:showBubbleSize val="0"/>
        </c:dLbls>
        <c:gapWidth val="219"/>
        <c:overlap val="-27"/>
        <c:axId val="194699264"/>
        <c:axId val="194700800"/>
      </c:barChart>
      <c:catAx>
        <c:axId val="1946992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crossAx val="194700800"/>
        <c:crosses val="autoZero"/>
        <c:auto val="1"/>
        <c:lblAlgn val="ctr"/>
        <c:lblOffset val="100"/>
        <c:noMultiLvlLbl val="0"/>
      </c:catAx>
      <c:valAx>
        <c:axId val="194700800"/>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crossAx val="19469926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legendEntry>
      <c:layout>
        <c:manualLayout>
          <c:xMode val="edge"/>
          <c:yMode val="edge"/>
          <c:x val="0.696484872219067"/>
          <c:y val="0.7812474941523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楷体_GB2312" pitchFamily="3" charset="-122"/>
          <a:ea typeface="楷体_GB2312" pitchFamily="3" charset="-122"/>
          <a:cs typeface="楷体_GB2312" pitchFamily="3" charset="-122"/>
          <a:sym typeface="楷体_GB2312"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810253767873246"/>
          <c:y val="0.17638036809816"/>
          <c:w val="0.830091459487312"/>
          <c:h val="0.668273444347064"/>
        </c:manualLayout>
      </c:layout>
      <c:pie3DChart>
        <c:varyColors val="1"/>
        <c:ser>
          <c:idx val="0"/>
          <c:order val="0"/>
          <c:tx>
            <c:strRef>
              <c:f>Sheet1!$B$1</c:f>
              <c:strCache>
                <c:ptCount val="1"/>
                <c:pt idx="0">
                  <c:v>系列 1</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c:spPr>
          </c:dPt>
          <c:dPt>
            <c:idx val="1"/>
            <c:bubble3D val="0"/>
            <c:spPr>
              <a:solidFill>
                <a:schemeClr val="accent2"/>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1292.13</c:v>
                </c:pt>
                <c:pt idx="1">
                  <c:v>578.83</c:v>
                </c:pt>
              </c:numCache>
            </c:numRef>
          </c:val>
        </c:ser>
        <c:ser>
          <c:idx val="1"/>
          <c:order val="1"/>
          <c:tx>
            <c:strRef>
              <c:f>Sheet1!$C$1</c:f>
              <c:strCache>
                <c:ptCount val="1"/>
                <c:pt idx="0">
                  <c:v>系列 2</c:v>
                </c:pt>
              </c:strCache>
            </c:strRef>
          </c:tx>
          <c:explosion val="0"/>
          <c:dPt>
            <c:idx val="0"/>
            <c:bubble3D val="0"/>
            <c:spPr>
              <a:solidFill>
                <a:schemeClr val="accent1"/>
              </a:solidFill>
              <a:ln w="25400">
                <a:solidFill>
                  <a:schemeClr val="lt1"/>
                </a:solidFill>
              </a:ln>
              <a:effectLst/>
            </c:spPr>
          </c:dPt>
          <c:dPt>
            <c:idx val="1"/>
            <c:bubble3D val="0"/>
            <c:spPr>
              <a:solidFill>
                <a:schemeClr val="accent2"/>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Sheet1!$C$2:$C$3</c:f>
              <c:numCache>
                <c:formatCode>General</c:formatCode>
                <c:ptCount val="2"/>
                <c:pt idx="0">
                  <c:v>2.4</c:v>
                </c:pt>
                <c:pt idx="1">
                  <c:v>4.4</c:v>
                </c:pt>
              </c:numCache>
            </c:numRef>
          </c:val>
        </c:ser>
        <c:ser>
          <c:idx val="2"/>
          <c:order val="2"/>
          <c:tx>
            <c:strRef>
              <c:f>Sheet1!#REF!</c:f>
              <c:strCache>
                <c:ptCount val="1"/>
                <c:pt idx="0">
                  <c:v/>
                </c:pt>
              </c:strCache>
            </c:strRef>
          </c:tx>
          <c:explosion val="0"/>
          <c:dPt>
            <c:idx val="0"/>
            <c:bubble3D val="0"/>
            <c:spPr>
              <a:solidFill>
                <a:schemeClr val="accent1"/>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443004115226"/>
          <c:y val="0.166666666666667"/>
          <c:w val="0.463007407407407"/>
          <c:h val="0.781325"/>
        </c:manualLayout>
      </c:layout>
      <c:pieChart>
        <c:varyColors val="1"/>
        <c:ser>
          <c:idx val="0"/>
          <c:order val="0"/>
          <c:tx>
            <c:strRef>
              <c:f>Sheet1!$B$1</c:f>
              <c:strCache>
                <c:ptCount val="1"/>
                <c:pt idx="0">
                  <c:v>系列 1</c:v>
                </c:pt>
              </c:strCache>
            </c:strRef>
          </c:tx>
          <c:explosion val="0"/>
          <c:dPt>
            <c:idx val="0"/>
            <c:bubble3D val="0"/>
            <c:spPr>
              <a:gradFill rotWithShape="1">
                <a:gsLst>
                  <a:gs pos="0">
                    <a:schemeClr val="accent5">
                      <a:shade val="45000"/>
                      <a:satMod val="103000"/>
                      <a:lumMod val="102000"/>
                      <a:tint val="94000"/>
                    </a:schemeClr>
                  </a:gs>
                  <a:gs pos="50000">
                    <a:schemeClr val="accent5">
                      <a:shade val="45000"/>
                      <a:satMod val="110000"/>
                      <a:lumMod val="100000"/>
                      <a:shade val="100000"/>
                    </a:schemeClr>
                  </a:gs>
                  <a:gs pos="100000">
                    <a:schemeClr val="accent5">
                      <a:shade val="4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solidFill>
                <a:srgbClr val="00B0F0"/>
              </a:solidFill>
              <a:ln>
                <a:noFill/>
              </a:ln>
              <a:effectLst>
                <a:outerShdw blurRad="57150" dist="19050" dir="5400000" algn="ctr" rotWithShape="0">
                  <a:srgbClr val="000000">
                    <a:alpha val="63000"/>
                  </a:srgbClr>
                </a:outerShdw>
              </a:effectLst>
            </c:spPr>
          </c:dPt>
          <c:dPt>
            <c:idx val="2"/>
            <c:bubble3D val="0"/>
            <c:spPr>
              <a:solidFill>
                <a:srgbClr val="70AD47">
                  <a:lumMod val="60000"/>
                  <a:lumOff val="40000"/>
                </a:srgbClr>
              </a:solidFill>
              <a:ln>
                <a:noFill/>
              </a:ln>
              <a:effectLst>
                <a:outerShdw blurRad="57150" dist="19050" dir="5400000" algn="ctr" rotWithShape="0">
                  <a:srgbClr val="000000">
                    <a:alpha val="63000"/>
                  </a:srgbClr>
                </a:outerShdw>
              </a:effectLst>
            </c:spPr>
          </c:dPt>
          <c:dPt>
            <c:idx val="3"/>
            <c:bubble3D val="0"/>
            <c:spPr>
              <a:solidFill>
                <a:srgbClr val="FF0000"/>
              </a:solidFill>
              <a:ln>
                <a:noFill/>
              </a:ln>
              <a:effectLst>
                <a:outerShdw blurRad="57150" dist="19050" dir="5400000" algn="ctr" rotWithShape="0">
                  <a:srgbClr val="000000">
                    <a:alpha val="63000"/>
                  </a:srgbClr>
                </a:outerShdw>
              </a:effectLst>
            </c:spPr>
          </c:dPt>
          <c:dPt>
            <c:idx val="4"/>
            <c:bubble3D val="0"/>
            <c:spPr>
              <a:solidFill>
                <a:srgbClr val="FFC000"/>
              </a:solidFill>
              <a:ln>
                <a:noFill/>
              </a:ln>
              <a:effectLst>
                <a:outerShdw blurRad="57150" dist="19050" dir="5400000" algn="ctr" rotWithShape="0">
                  <a:srgbClr val="000000">
                    <a:alpha val="63000"/>
                  </a:srgbClr>
                </a:outerShdw>
              </a:effectLst>
            </c:spPr>
          </c:dPt>
          <c:dLbls>
            <c:delete val="1"/>
          </c:dLbls>
          <c:cat>
            <c:strRef>
              <c:f>Sheet1!$A$2:$A$6</c:f>
              <c:strCache>
                <c:ptCount val="5"/>
                <c:pt idx="0">
                  <c:v>一般公共服务支出</c:v>
                </c:pt>
                <c:pt idx="1">
                  <c:v>公共安全支出</c:v>
                </c:pt>
                <c:pt idx="2">
                  <c:v>社会保障和就业支出</c:v>
                </c:pt>
                <c:pt idx="3">
                  <c:v>卫生健康支出</c:v>
                </c:pt>
                <c:pt idx="4">
                  <c:v>住房保障支出</c:v>
                </c:pt>
              </c:strCache>
            </c:strRef>
          </c:cat>
          <c:val>
            <c:numRef>
              <c:f>Sheet1!$B$2:$B$6</c:f>
              <c:numCache>
                <c:formatCode>General</c:formatCode>
                <c:ptCount val="5"/>
                <c:pt idx="0">
                  <c:v>2</c:v>
                </c:pt>
                <c:pt idx="1">
                  <c:v>1681.67</c:v>
                </c:pt>
                <c:pt idx="2">
                  <c:v>111.86</c:v>
                </c:pt>
                <c:pt idx="3">
                  <c:v>32.62</c:v>
                </c:pt>
                <c:pt idx="4">
                  <c:v>42.81</c:v>
                </c:pt>
              </c:numCache>
            </c:numRef>
          </c:val>
        </c:ser>
        <c:ser>
          <c:idx val="1"/>
          <c:order val="1"/>
          <c:tx>
            <c:strRef>
              <c:f>Sheet1!$C$1</c:f>
              <c:strCache>
                <c:ptCount val="1"/>
                <c:pt idx="0">
                  <c:v>系列 2</c:v>
                </c:pt>
              </c:strCache>
            </c:strRef>
          </c:tx>
          <c:explosion val="0"/>
          <c:dPt>
            <c:idx val="0"/>
            <c:bubble3D val="0"/>
            <c:spPr>
              <a:gradFill rotWithShape="1">
                <a:gsLst>
                  <a:gs pos="0">
                    <a:schemeClr val="accent5">
                      <a:shade val="45000"/>
                      <a:satMod val="103000"/>
                      <a:lumMod val="102000"/>
                      <a:tint val="94000"/>
                    </a:schemeClr>
                  </a:gs>
                  <a:gs pos="50000">
                    <a:schemeClr val="accent5">
                      <a:shade val="45000"/>
                      <a:satMod val="110000"/>
                      <a:lumMod val="100000"/>
                      <a:shade val="100000"/>
                    </a:schemeClr>
                  </a:gs>
                  <a:gs pos="100000">
                    <a:schemeClr val="accent5">
                      <a:shade val="4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5">
                      <a:shade val="61000"/>
                      <a:satMod val="103000"/>
                      <a:lumMod val="102000"/>
                      <a:tint val="94000"/>
                    </a:schemeClr>
                  </a:gs>
                  <a:gs pos="50000">
                    <a:schemeClr val="accent5">
                      <a:shade val="61000"/>
                      <a:satMod val="110000"/>
                      <a:lumMod val="100000"/>
                      <a:shade val="100000"/>
                    </a:schemeClr>
                  </a:gs>
                  <a:gs pos="100000">
                    <a:schemeClr val="accent5">
                      <a:shade val="61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5">
                      <a:shade val="92000"/>
                      <a:satMod val="103000"/>
                      <a:lumMod val="102000"/>
                      <a:tint val="94000"/>
                    </a:schemeClr>
                  </a:gs>
                  <a:gs pos="50000">
                    <a:schemeClr val="accent5">
                      <a:shade val="92000"/>
                      <a:satMod val="110000"/>
                      <a:lumMod val="100000"/>
                      <a:shade val="100000"/>
                    </a:schemeClr>
                  </a:gs>
                  <a:gs pos="100000">
                    <a:schemeClr val="accent5">
                      <a:shade val="92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tint val="93000"/>
                      <a:satMod val="103000"/>
                      <a:lumMod val="102000"/>
                      <a:tint val="94000"/>
                    </a:schemeClr>
                  </a:gs>
                  <a:gs pos="50000">
                    <a:schemeClr val="accent5">
                      <a:tint val="93000"/>
                      <a:satMod val="110000"/>
                      <a:lumMod val="100000"/>
                      <a:shade val="100000"/>
                    </a:schemeClr>
                  </a:gs>
                  <a:gs pos="100000">
                    <a:schemeClr val="accent5">
                      <a:tint val="93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lt1">
                          <a:lumMod val="95000"/>
                          <a:alpha val="54000"/>
                        </a:schemeClr>
                      </a:solidFill>
                      <a:prstDash val="solid"/>
                      <a:round/>
                    </a:ln>
                    <a:effectLst/>
                  </c:spPr>
                </c15:leaderLines>
              </c:ext>
            </c:extLst>
          </c:dLbls>
          <c:cat>
            <c:strRef>
              <c:f>Sheet1!$A$2:$A$6</c:f>
              <c:strCache>
                <c:ptCount val="5"/>
                <c:pt idx="0">
                  <c:v>一般公共服务支出</c:v>
                </c:pt>
                <c:pt idx="1">
                  <c:v>公共安全支出</c:v>
                </c:pt>
                <c:pt idx="2">
                  <c:v>社会保障和就业支出</c:v>
                </c:pt>
                <c:pt idx="3">
                  <c:v>卫生健康支出</c:v>
                </c:pt>
                <c:pt idx="4">
                  <c:v>住房保障支出</c:v>
                </c:pt>
              </c:strCache>
            </c:strRef>
          </c:cat>
          <c:val>
            <c:numRef>
              <c:f>Sheet1!$C$2:$C$6</c:f>
              <c:numCache>
                <c:formatCode>General</c:formatCode>
                <c:ptCount val="5"/>
                <c:pt idx="0">
                  <c:v>2.4</c:v>
                </c:pt>
                <c:pt idx="1">
                  <c:v>4.4</c:v>
                </c:pt>
                <c:pt idx="2">
                  <c:v>1.8</c:v>
                </c:pt>
                <c:pt idx="3">
                  <c:v>2.8</c:v>
                </c:pt>
                <c:pt idx="4">
                  <c:v>2</c:v>
                </c:pt>
              </c:numCache>
            </c:numRef>
          </c:val>
        </c:ser>
        <c:ser>
          <c:idx val="2"/>
          <c:order val="2"/>
          <c:tx>
            <c:strRef>
              <c:f>Sheet1!$D$1</c:f>
              <c:strCache>
                <c:ptCount val="1"/>
                <c:pt idx="0">
                  <c:v>系列 3</c:v>
                </c:pt>
              </c:strCache>
            </c:strRef>
          </c:tx>
          <c:explosion val="0"/>
          <c:dPt>
            <c:idx val="0"/>
            <c:bubble3D val="0"/>
            <c:spPr>
              <a:gradFill rotWithShape="1">
                <a:gsLst>
                  <a:gs pos="0">
                    <a:schemeClr val="accent5">
                      <a:shade val="45000"/>
                      <a:satMod val="103000"/>
                      <a:lumMod val="102000"/>
                      <a:tint val="94000"/>
                    </a:schemeClr>
                  </a:gs>
                  <a:gs pos="50000">
                    <a:schemeClr val="accent5">
                      <a:shade val="45000"/>
                      <a:satMod val="110000"/>
                      <a:lumMod val="100000"/>
                      <a:shade val="100000"/>
                    </a:schemeClr>
                  </a:gs>
                  <a:gs pos="100000">
                    <a:schemeClr val="accent5">
                      <a:shade val="4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5">
                      <a:shade val="61000"/>
                      <a:satMod val="103000"/>
                      <a:lumMod val="102000"/>
                      <a:tint val="94000"/>
                    </a:schemeClr>
                  </a:gs>
                  <a:gs pos="50000">
                    <a:schemeClr val="accent5">
                      <a:shade val="61000"/>
                      <a:satMod val="110000"/>
                      <a:lumMod val="100000"/>
                      <a:shade val="100000"/>
                    </a:schemeClr>
                  </a:gs>
                  <a:gs pos="100000">
                    <a:schemeClr val="accent5">
                      <a:shade val="61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5">
                      <a:shade val="92000"/>
                      <a:satMod val="103000"/>
                      <a:lumMod val="102000"/>
                      <a:tint val="94000"/>
                    </a:schemeClr>
                  </a:gs>
                  <a:gs pos="50000">
                    <a:schemeClr val="accent5">
                      <a:shade val="92000"/>
                      <a:satMod val="110000"/>
                      <a:lumMod val="100000"/>
                      <a:shade val="100000"/>
                    </a:schemeClr>
                  </a:gs>
                  <a:gs pos="100000">
                    <a:schemeClr val="accent5">
                      <a:shade val="92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tint val="93000"/>
                      <a:satMod val="103000"/>
                      <a:lumMod val="102000"/>
                      <a:tint val="94000"/>
                    </a:schemeClr>
                  </a:gs>
                  <a:gs pos="50000">
                    <a:schemeClr val="accent5">
                      <a:tint val="93000"/>
                      <a:satMod val="110000"/>
                      <a:lumMod val="100000"/>
                      <a:shade val="100000"/>
                    </a:schemeClr>
                  </a:gs>
                  <a:gs pos="100000">
                    <a:schemeClr val="accent5">
                      <a:tint val="93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lt1">
                          <a:lumMod val="95000"/>
                          <a:alpha val="54000"/>
                        </a:schemeClr>
                      </a:solidFill>
                      <a:prstDash val="solid"/>
                      <a:round/>
                    </a:ln>
                    <a:effectLst/>
                  </c:spPr>
                </c15:leaderLines>
              </c:ext>
            </c:extLst>
          </c:dLbls>
          <c:cat>
            <c:strRef>
              <c:f>Sheet1!$A$2:$A$6</c:f>
              <c:strCache>
                <c:ptCount val="5"/>
                <c:pt idx="0">
                  <c:v>一般公共服务支出</c:v>
                </c:pt>
                <c:pt idx="1">
                  <c:v>公共安全支出</c:v>
                </c:pt>
                <c:pt idx="2">
                  <c:v>社会保障和就业支出</c:v>
                </c:pt>
                <c:pt idx="3">
                  <c:v>卫生健康支出</c:v>
                </c:pt>
                <c:pt idx="4">
                  <c:v>住房保障支出</c:v>
                </c:pt>
              </c:strCache>
            </c:strRef>
          </c:cat>
          <c:val>
            <c:numRef>
              <c:f>Sheet1!$D$2:$D$6</c:f>
              <c:numCache>
                <c:formatCode>General</c:formatCode>
                <c:ptCount val="5"/>
                <c:pt idx="0">
                  <c:v>2</c:v>
                </c:pt>
                <c:pt idx="1">
                  <c:v>2</c:v>
                </c:pt>
                <c:pt idx="2">
                  <c:v>3</c:v>
                </c:pt>
                <c:pt idx="3">
                  <c:v>5</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bg1">
                      <a:lumMod val="85000"/>
                    </a:schemeClr>
                  </a:solidFill>
                </a:uFill>
                <a:latin typeface="微软雅黑" panose="020B0503020204020204" pitchFamily="34" charset="-122"/>
                <a:ea typeface="微软雅黑" panose="020B0503020204020204" pitchFamily="34" charset="-122"/>
                <a:cs typeface="+mn-cs"/>
              </a:defRPr>
            </a:pPr>
          </a:p>
        </c:txPr>
      </c:legendEntry>
      <c:legendEntry>
        <c:idx val="1"/>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bg1">
                      <a:lumMod val="85000"/>
                    </a:schemeClr>
                  </a:solidFill>
                </a:uFill>
                <a:latin typeface="微软雅黑" panose="020B0503020204020204" pitchFamily="34" charset="-122"/>
                <a:ea typeface="微软雅黑" panose="020B0503020204020204" pitchFamily="34" charset="-122"/>
                <a:cs typeface="+mn-cs"/>
              </a:defRPr>
            </a:pPr>
          </a:p>
        </c:txPr>
      </c:legendEntry>
      <c:legendEntry>
        <c:idx val="2"/>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bg1">
                      <a:lumMod val="85000"/>
                    </a:schemeClr>
                  </a:solidFill>
                </a:uFill>
                <a:latin typeface="微软雅黑" panose="020B0503020204020204" pitchFamily="34" charset="-122"/>
                <a:ea typeface="微软雅黑" panose="020B0503020204020204" pitchFamily="34" charset="-122"/>
                <a:cs typeface="+mn-cs"/>
              </a:defRPr>
            </a:pPr>
          </a:p>
        </c:txPr>
      </c:legendEntry>
      <c:legendEntry>
        <c:idx val="3"/>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bg1">
                      <a:lumMod val="85000"/>
                    </a:schemeClr>
                  </a:solidFill>
                </a:uFill>
                <a:latin typeface="微软雅黑" panose="020B0503020204020204" pitchFamily="34" charset="-122"/>
                <a:ea typeface="微软雅黑" panose="020B0503020204020204" pitchFamily="34" charset="-122"/>
                <a:cs typeface="+mn-cs"/>
              </a:defRPr>
            </a:pPr>
          </a:p>
        </c:txPr>
      </c:legendEntry>
      <c:legendEntry>
        <c:idx val="4"/>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bg1">
                      <a:lumMod val="85000"/>
                    </a:schemeClr>
                  </a:solidFill>
                </a:uFill>
                <a:latin typeface="微软雅黑" panose="020B0503020204020204" pitchFamily="34" charset="-122"/>
                <a:ea typeface="微软雅黑" panose="020B0503020204020204" pitchFamily="34" charset="-122"/>
                <a:cs typeface="+mn-cs"/>
              </a:defRPr>
            </a:pPr>
          </a:p>
        </c:txPr>
      </c:legendEntry>
      <c:layout/>
      <c:overlay val="0"/>
      <c:spPr>
        <a:noFill/>
        <a:ln>
          <a:noFill/>
        </a:ln>
        <a:effectLst/>
      </c:spPr>
      <c:txPr>
        <a:bodyPr rot="0" spcFirstLastPara="0" vertOverflow="ellipsis" vert="horz" wrap="square" anchor="ctr" anchorCtr="1" forceAA="0"/>
        <a:lstStyle/>
        <a:p>
          <a:pPr>
            <a:defRPr lang="zh-CN" sz="900" b="0" i="0" u="none" strike="noStrike" kern="1200" cap="none" spc="0" normalizeH="0" baseline="0">
              <a:solidFill>
                <a:schemeClr val="tx1"/>
              </a:solidFill>
              <a:uFill>
                <a:solidFill>
                  <a:schemeClr val="bg1">
                    <a:lumMod val="85000"/>
                  </a:schemeClr>
                </a:solidFill>
              </a:uFill>
              <a:latin typeface="微软雅黑" panose="020B0503020204020204" pitchFamily="34" charset="-122"/>
              <a:ea typeface="微软雅黑" panose="020B0503020204020204" pitchFamily="34" charset="-122"/>
              <a:cs typeface="+mn-cs"/>
            </a:defRPr>
          </a:pPr>
        </a:p>
      </c:txPr>
    </c:legend>
    <c:plotVisOnly val="1"/>
    <c:dispBlanksAs val="zero"/>
    <c:showDLblsOverMax val="0"/>
  </c:chart>
  <c:spPr>
    <a:noFill/>
    <a:ln w="6350" cap="flat" cmpd="sng" algn="ctr">
      <a:noFill/>
      <a:prstDash val="solid"/>
      <a:round/>
    </a:ln>
    <a:effectLst>
      <a:innerShdw blurRad="63500" dist="50800" dir="10800000">
        <a:prstClr val="black">
          <a:alpha val="50000"/>
        </a:prstClr>
      </a:innerShdw>
    </a:effectLst>
  </c:spPr>
  <c:txPr>
    <a:bodyPr/>
    <a:lstStyle/>
    <a:p>
      <a:pPr>
        <a:defRPr lang="zh-CN">
          <a:latin typeface="微软雅黑" panose="020B0503020204020204" pitchFamily="34" charset="-122"/>
          <a:ea typeface="微软雅黑" panose="020B0503020204020204" pitchFamily="34"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自定义 1">
    <a:dk1>
      <a:sysClr val="windowText" lastClr="000000"/>
    </a:dk1>
    <a:lt1>
      <a:sysClr val="window" lastClr="FFFFFF"/>
    </a:lt1>
    <a:dk2>
      <a:srgbClr val="9C27B0"/>
    </a:dk2>
    <a:lt2>
      <a:srgbClr val="673AB7"/>
    </a:lt2>
    <a:accent1>
      <a:srgbClr val="2196F3"/>
    </a:accent1>
    <a:accent2>
      <a:srgbClr val="00BCD4"/>
    </a:accent2>
    <a:accent3>
      <a:srgbClr val="4CAF50"/>
    </a:accent3>
    <a:accent4>
      <a:srgbClr val="CDDC39"/>
    </a:accent4>
    <a:accent5>
      <a:srgbClr val="FFC107"/>
    </a:accent5>
    <a:accent6>
      <a:srgbClr val="FF5722"/>
    </a:accent6>
    <a:hlink>
      <a:srgbClr val="9C27B0"/>
    </a:hlink>
    <a:folHlink>
      <a:srgbClr val="673AB7"/>
    </a:folHlink>
  </a:clrScheme>
  <a:fontScheme name="Office 主题​​">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主题​​">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QBPC</Company>
  <Pages>33</Pages>
  <Words>8974</Words>
  <Characters>10823</Characters>
  <Lines>93</Lines>
  <Paragraphs>26</Paragraphs>
  <TotalTime>0</TotalTime>
  <ScaleCrop>false</ScaleCrop>
  <LinksUpToDate>false</LinksUpToDate>
  <CharactersWithSpaces>11118</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2022-05-25T02:52:00Z</dcterms:created>
  <dc:creator>王明新TIAD</dc:creator>
  <cp:lastModifiedBy>Administrator</cp:lastModifiedBy>
  <cp:lastPrinted>2021-09-29T02:29:00Z</cp:lastPrinted>
  <dcterms:modified xsi:type="dcterms:W3CDTF">2022-05-25T02:58:23Z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3646BBF8B5F44020A52FBC64681695D3</vt:lpwstr>
  </property>
</Properties>
</file>