
<file path=[Content_Types].xml><?xml version="1.0" encoding="utf-8"?>
<Types xmlns="http://schemas.openxmlformats.org/package/2006/content-types">
  <Default Extension="xml" ContentType="application/xml"/>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9264" behindDoc="1" locked="0" layoutInCell="1" allowOverlap="1">
            <wp:simplePos x="0" y="0"/>
            <wp:positionH relativeFrom="column">
              <wp:posOffset>-973455</wp:posOffset>
            </wp:positionH>
            <wp:positionV relativeFrom="page">
              <wp:posOffset>-3175</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0"/>
                    <a:srcRect/>
                    <a:stretch>
                      <a:fillRect/>
                    </a:stretch>
                  </pic:blipFill>
                  <pic:spPr>
                    <a:xfrm>
                      <a:off x="0" y="0"/>
                      <a:ext cx="7559675" cy="10689590"/>
                    </a:xfrm>
                    <a:prstGeom prst="rect">
                      <a:avLst/>
                    </a:prstGeom>
                  </pic:spPr>
                </pic:pic>
              </a:graphicData>
            </a:graphic>
          </wp:anchor>
        </w:drawing>
      </w:r>
      <w:r>
        <w:br w:type="page"/>
      </w:r>
    </w:p>
    <w:p>
      <w:pPr>
        <w:rPr>
          <w:rFonts w:ascii="黑体" w:hAnsi="黑体" w:eastAsia="黑体" w:cs="黑体"/>
          <w:sz w:val="72"/>
          <w:szCs w:val="96"/>
        </w:rPr>
      </w:pP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4"/>
          <w:szCs w:val="44"/>
          <w:highlight w:val="yellow"/>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保定市满城区坨南乡人民政府</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jc w:val="center"/>
        <w:rPr>
          <w:rFonts w:hint="default" w:ascii="黑体" w:hAnsi="黑体" w:eastAsia="黑体" w:cs="黑体"/>
          <w:sz w:val="72"/>
          <w:szCs w:val="96"/>
          <w:highlight w:val="yellow"/>
          <w:lang w:val="en-US" w:eastAsia="zh-CN"/>
        </w:rPr>
      </w:pPr>
      <w:r>
        <w:rPr>
          <w:rFonts w:hint="eastAsia" w:ascii="黑体" w:hAnsi="黑体" w:eastAsia="黑体" w:cs="黑体"/>
          <w:spacing w:val="-20"/>
          <w:sz w:val="72"/>
          <w:szCs w:val="96"/>
          <w:lang w:val="en-US" w:eastAsia="zh-CN"/>
        </w:rPr>
        <w:t>保定市满城区坨南乡人民政府</w:t>
      </w: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rPr>
          <w:rFonts w:ascii="黑体" w:hAnsi="Times New Roman" w:eastAsia="黑体" w:cs="Times New Roman"/>
          <w:sz w:val="48"/>
          <w:szCs w:val="48"/>
        </w:rPr>
      </w:pP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60288"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5.7pt;margin-top:80.7pt;height:263.1pt;width:613.65pt;z-index:251660288;v-text-anchor:middle;mso-width-relative:page;mso-height-relative:page;" fillcolor="#44964D [1612]" filled="t" stroked="t" coordsize="21600,21600" o:gfxdata="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SyNAytsAAAANAQAADwAAAAAAAAABACAAAAAiAAAAZHJzL2Rv&#10;d25yZXYueG1sUEsBAhQAFAAAAAgAh07iQBdLH66pAgAAcQUAAA4AAAAAAAAAAQAgAAAAKgEAAGRy&#10;cy9lMm9Eb2MueG1sUEsFBgAAAAAGAAYAWQEAAEUGAAAAAA==&#10;">
                <v:fill type="pattern" on="t" color2="#CCE8CF [3212]" o:title="5%" focussize="0,0" r:id="rId11"/>
                <v:stroke weight="1pt" color="#63B96C [2092]" joinstyle="round"/>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v:textbox>
              </v:shape>
            </w:pict>
          </mc:Fallback>
        </mc:AlternateContent>
      </w:r>
      <w: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一）宣传贯彻执行党的路线方针政策和党中央、上级党组织及本乡党员代表大会(党员大会)的决议。贯彻执行法律、法规、规章和上级人民代表大会及其常务委员会决议及上级政府的决定、命令，执行本级人民代表大会的决议。</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（二）加强党对基层治理的全面领导，统筹抓好基层党建工作和基层党组织建设各项制度。推进全面从严治党，强化“两个责任”，确保党的路线方针政策在基层得到全面贯彻落实。</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（三）讨论和决定本乡经济建设、政治建设、文化建设、社会建设、生态文明建设和党的建设以及乡村振兴中的重大问题。</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（四）组织召开本级人民代表大会，充分行使重大事项决定权、监督权和任免权，做好人大代表工作，联系选民、反映群众意见和要求。</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五）组织实施与群众生活密切相关的各项公共服务，落实基层“最多跑一次”改革工作，拓宽服务渠道，改进服务方式，建立健全群众办事一次办结机制，推进乡便民服务平台标准化建设，实行“一站式服务”“一枚印章管审批（服务）”，提升群众获得感和幸福感。</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六）执行本行政区域内的经济和社会发展计划、预算，管理本行政区域内的经济、教育、科学、文化、卫生健康、体育事业、人力资源和社会保障、医疗保障和财政、统计、民政、司法行政等行政工作。落实本行政区域内发展规划、专项规划、区域规划、国土空间规划。</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七）乡党委领导乡政权机关、群团组织和其他各类组织,加强指导和规范，支持和保证这些机关和组织依照国家法律法规以及各自章程履行职责。坚持党管武装的根本原则和制度,协调各方力量，对乡人民武装工作实行统一领导。</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（八）加强乡党委自身建设和村党组织建设，以及其他隶属乡党委的党组织建设，抓好发展党员工作，加强党员队伍建设。维护和执行党的纪律，监督党员干部和其他任何工作人员严格遵守国家法律法规。</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（九）按照干部管理权限，负责对干部的教育、培训、选拔、考核和监督工作。协助管理上级有关部门驻乡单位的干部。做好人才服务工作。</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十）领导本乡的基层治理，加强社会主义民主法治建设和精神文明建设，加强社会治安综合治理,推行网格化管理服务，落实社会矛盾纠纷排查调处机制，综合发挥人民调解、行政调解和司法调解的作用，及时化解辖区社会矛盾，维护安全稳定。做好综合执法、应急管理、自然资源和生态环保、乡村振兴、民生保障、脱贫致富、民族宗教、防范邪教等工作。承担民兵预备役、征兵、退役军人服务、拥军优属等工作。</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十一）保护社会主义的全民所有的财产和劳动群众集体所有的财产，保护公民私人所有的合法财产，维护社会秩序，保障公民的人身权利、民主权利和其他权利。保护各种经济组织的合法权益。保障各少数民族的合法权利和利益，尊重少数民族的风俗习惯。保障宪法和法律赋予妇女的男女平等、同工同酬和婚姻自由等各项权利。</w:t>
      </w:r>
    </w:p>
    <w:p>
      <w:pPr>
        <w:widowControl/>
        <w:spacing w:line="580" w:lineRule="exact"/>
        <w:ind w:firstLine="640" w:firstLineChars="200"/>
        <w:rPr>
          <w:rFonts w:ascii="仿宋_GB2312" w:hAnsi="Calibri" w:eastAsia="仿宋_GB2312" w:cs="Arial Black"/>
          <w:kern w:val="0"/>
          <w:sz w:val="32"/>
          <w:szCs w:val="32"/>
        </w:rPr>
      </w:pPr>
      <w:r>
        <w:rPr>
          <w:rFonts w:hint="eastAsia" w:ascii="仿宋_GB2312" w:eastAsia="仿宋_GB2312" w:cs="Arial Black"/>
          <w:kern w:val="0"/>
          <w:sz w:val="32"/>
          <w:szCs w:val="32"/>
        </w:rPr>
        <w:t>（十二）承办上级党委、人大、政府交办的其他事项。</w:t>
      </w: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 Black"/>
          <w:kern w:val="0"/>
          <w:sz w:val="32"/>
          <w:szCs w:val="32"/>
        </w:rPr>
      </w:pPr>
      <w:r>
        <w:rPr>
          <w:rFonts w:hint="eastAsia" w:ascii="仿宋_GB2312" w:hAnsi="Calibri" w:eastAsia="仿宋_GB2312" w:cs="Arial Black"/>
          <w:kern w:val="0"/>
          <w:sz w:val="32"/>
          <w:szCs w:val="32"/>
        </w:rPr>
        <w:t>从决算编报单位构成看，纳入20</w:t>
      </w:r>
      <w:r>
        <w:rPr>
          <w:rFonts w:ascii="仿宋_GB2312" w:hAnsi="Calibri" w:eastAsia="仿宋_GB2312" w:cs="Arial Black"/>
          <w:kern w:val="0"/>
          <w:sz w:val="32"/>
          <w:szCs w:val="32"/>
        </w:rPr>
        <w:t>20</w:t>
      </w:r>
      <w:r>
        <w:rPr>
          <w:rFonts w:hint="eastAsia" w:ascii="仿宋_GB2312" w:hAnsi="Calibri" w:eastAsia="仿宋_GB2312" w:cs="Arial Black"/>
          <w:kern w:val="0"/>
          <w:sz w:val="32"/>
          <w:szCs w:val="32"/>
        </w:rPr>
        <w:t>年度本部门决算汇编范围的独立核算单位（以下简称“单位”）共</w:t>
      </w:r>
      <w:r>
        <w:rPr>
          <w:rFonts w:hint="eastAsia" w:ascii="仿宋_GB2312" w:hAnsi="Calibri" w:eastAsia="仿宋_GB2312" w:cs="Arial Black"/>
          <w:kern w:val="0"/>
          <w:sz w:val="32"/>
          <w:szCs w:val="32"/>
          <w:lang w:val="en-US" w:eastAsia="zh-CN"/>
        </w:rPr>
        <w:t>1</w:t>
      </w:r>
      <w:r>
        <w:rPr>
          <w:rFonts w:hint="eastAsia" w:ascii="仿宋_GB2312" w:hAnsi="Calibri" w:eastAsia="仿宋_GB2312" w:cs="Arial Black"/>
          <w:kern w:val="0"/>
          <w:sz w:val="32"/>
          <w:szCs w:val="32"/>
        </w:rPr>
        <w:t>个，具体情况如下：</w:t>
      </w:r>
    </w:p>
    <w:tbl>
      <w:tblPr>
        <w:tblStyle w:val="6"/>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426"/>
        <w:gridCol w:w="2404"/>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68"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序号</w:t>
            </w:r>
          </w:p>
        </w:tc>
        <w:tc>
          <w:tcPr>
            <w:tcW w:w="3426"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单位名称</w:t>
            </w:r>
          </w:p>
        </w:tc>
        <w:tc>
          <w:tcPr>
            <w:tcW w:w="2404"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单位基本性质</w:t>
            </w:r>
          </w:p>
        </w:tc>
        <w:tc>
          <w:tcPr>
            <w:tcW w:w="2622"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1</w:t>
            </w:r>
          </w:p>
        </w:tc>
        <w:tc>
          <w:tcPr>
            <w:tcW w:w="3426" w:type="dxa"/>
          </w:tcPr>
          <w:p>
            <w:pPr>
              <w:spacing w:line="560" w:lineRule="exact"/>
              <w:rPr>
                <w:rFonts w:ascii="仿宋_GB2312" w:hAnsi="Calibri" w:eastAsia="仿宋_GB2312" w:cs="Arial Black"/>
                <w:kern w:val="0"/>
                <w:sz w:val="28"/>
                <w:szCs w:val="28"/>
              </w:rPr>
            </w:pPr>
            <w:r>
              <w:rPr>
                <w:rFonts w:hint="eastAsia" w:ascii="仿宋_GB2312" w:hAnsi="Calibri" w:eastAsia="仿宋_GB2312" w:cs="Arial Black"/>
                <w:kern w:val="0"/>
                <w:sz w:val="28"/>
                <w:szCs w:val="28"/>
              </w:rPr>
              <w:t>保定市满城区</w:t>
            </w:r>
            <w:r>
              <w:rPr>
                <w:rFonts w:hint="eastAsia" w:ascii="仿宋_GB2312" w:hAnsi="Calibri" w:eastAsia="仿宋_GB2312" w:cs="Arial Black"/>
                <w:kern w:val="0"/>
                <w:sz w:val="28"/>
                <w:szCs w:val="28"/>
                <w:lang w:eastAsia="zh-CN"/>
              </w:rPr>
              <w:t>坨南</w:t>
            </w:r>
            <w:r>
              <w:rPr>
                <w:rFonts w:hint="eastAsia" w:ascii="仿宋_GB2312" w:hAnsi="Calibri" w:eastAsia="仿宋_GB2312" w:cs="Arial Black"/>
                <w:kern w:val="0"/>
                <w:sz w:val="28"/>
                <w:szCs w:val="28"/>
              </w:rPr>
              <w:t>乡人民政府</w:t>
            </w:r>
          </w:p>
        </w:tc>
        <w:tc>
          <w:tcPr>
            <w:tcW w:w="2404"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行政单位</w:t>
            </w:r>
          </w:p>
        </w:tc>
        <w:tc>
          <w:tcPr>
            <w:tcW w:w="2622"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420" w:type="dxa"/>
            <w:gridSpan w:val="4"/>
            <w:tcBorders>
              <w:top w:val="single" w:color="auto" w:sz="4" w:space="0"/>
              <w:left w:val="nil"/>
              <w:bottom w:val="nil"/>
              <w:right w:val="nil"/>
            </w:tcBorders>
          </w:tcPr>
          <w:p>
            <w:pPr>
              <w:spacing w:line="560" w:lineRule="exact"/>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2、经费形式分为财政拨款、财政性资金基本保证、财政性资金定额或定项补助、财政性资金零补助四类。</w:t>
            </w: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
      <w:pPr>
        <w:widowControl/>
        <w:spacing w:after="160" w:line="580" w:lineRule="exact"/>
        <w:ind w:firstLine="1440" w:firstLineChars="200"/>
        <w:rPr>
          <w:rFonts w:ascii="Times New Roman" w:hAnsi="Times New Roman" w:eastAsia="黑体" w:cs="Times New Roman"/>
          <w:sz w:val="32"/>
          <w:szCs w:val="32"/>
        </w:rPr>
        <w:sectPr>
          <w:headerReference r:id="rId7" w:type="default"/>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2336"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2336;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v:textbox>
              </v:shape>
            </w:pict>
          </mc:Fallback>
        </mc:AlternateContent>
      </w: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3360"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2"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5pt;margin-top:-207.65pt;height:263.1pt;width:613.65pt;z-index:251663360;v-text-anchor:middle;mso-width-relative:page;mso-height-relative:page;" fillcolor="#44964D [1612]" filled="t" stroked="t" coordsize="21600,21600" o:gfxdata="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HWMf4jbAAAADgEAAA8AAAAAAAAAAQAgAAAAIgAAAGRycy9kb3du&#10;cmV2LnhtbFBLAQIUABQAAAAIAIdO4kDBH3UupwIAAG0FAAAOAAAAAAAAAAEAIAAAACoBAABkcnMv&#10;ZTJvRG9jLnhtbFBLBQYAAAAABgAGAFkBAABDBgAAAAA=&#10;">
                <v:fill type="pattern" on="t" color2="#CCE8CF [3212]" o:title="5%" focussize="0,0" r:id="rId11"/>
                <v:stroke weight="1pt" color="#63B96C [2092]"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v:textbox>
              </v:shape>
            </w:pict>
          </mc:Fallback>
        </mc:AlternateConten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600" w:lineRule="exact"/>
        <w:ind w:firstLine="640" w:firstLineChars="200"/>
        <w:rPr>
          <w:rFonts w:ascii="仿宋_GB2312" w:hAnsi="Times New Roman" w:eastAsia="仿宋_GB2312" w:cs="Wingdings"/>
          <w:sz w:val="32"/>
          <w:szCs w:val="32"/>
          <w:highlight w:val="yellow"/>
        </w:rPr>
      </w:pPr>
      <w:r>
        <w:rPr>
          <w:rFonts w:hint="eastAsia" w:ascii="仿宋_GB2312" w:hAnsi="Times New Roman" w:eastAsia="仿宋_GB2312" w:cs="Wingdings"/>
          <w:sz w:val="32"/>
          <w:szCs w:val="32"/>
        </w:rPr>
        <w:t>本部门2020年度收、支总计（含结转和结余）</w:t>
      </w:r>
      <w:r>
        <w:rPr>
          <w:rFonts w:hint="eastAsia" w:ascii="仿宋_GB2312" w:hAnsi="Times New Roman" w:eastAsia="仿宋_GB2312" w:cs="Wingdings"/>
          <w:sz w:val="32"/>
          <w:szCs w:val="32"/>
          <w:lang w:val="en-US" w:eastAsia="zh-CN"/>
        </w:rPr>
        <w:t>1225.24</w:t>
      </w:r>
      <w:r>
        <w:rPr>
          <w:rFonts w:hint="eastAsia" w:ascii="仿宋_GB2312" w:hAnsi="Times New Roman" w:eastAsia="仿宋_GB2312" w:cs="Wingdings"/>
          <w:sz w:val="32"/>
          <w:szCs w:val="32"/>
        </w:rPr>
        <w:t>万元。与2019年度决算相比，收支各增加</w:t>
      </w:r>
      <w:r>
        <w:rPr>
          <w:rFonts w:hint="eastAsia" w:ascii="仿宋_GB2312" w:hAnsi="Times New Roman" w:eastAsia="仿宋_GB2312" w:cs="Wingdings"/>
          <w:sz w:val="32"/>
          <w:szCs w:val="32"/>
          <w:lang w:val="en-US" w:eastAsia="zh-CN"/>
        </w:rPr>
        <w:t>407.75</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49.88</w:t>
      </w:r>
      <w:r>
        <w:rPr>
          <w:rFonts w:hint="eastAsia" w:ascii="仿宋_GB2312" w:hAnsi="Times New Roman" w:eastAsia="仿宋_GB2312" w:cs="Wingdings"/>
          <w:sz w:val="32"/>
          <w:szCs w:val="32"/>
        </w:rPr>
        <w:t>%，主要原因是人员工资和保险调整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w:t>
      </w:r>
      <w:r>
        <w:rPr>
          <w:rFonts w:hint="eastAsia" w:ascii="仿宋_GB2312" w:hAnsi="Times New Roman" w:eastAsia="仿宋_GB2312" w:cs="Wingdings"/>
          <w:sz w:val="32"/>
          <w:szCs w:val="32"/>
          <w:lang w:eastAsia="zh-CN"/>
        </w:rPr>
        <w:t>信访稳定、</w:t>
      </w:r>
      <w:r>
        <w:rPr>
          <w:rFonts w:hint="eastAsia" w:ascii="仿宋_GB2312" w:hAnsi="Times New Roman" w:eastAsia="仿宋_GB2312" w:cs="Wingdings"/>
          <w:sz w:val="32"/>
          <w:szCs w:val="32"/>
        </w:rPr>
        <w:t>农村环境保护、农林水支出等多个项目支出。</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snapToGrid w:val="0"/>
        <w:spacing w:line="600" w:lineRule="exact"/>
        <w:ind w:firstLine="640" w:firstLineChars="200"/>
        <w:outlineLvl w:val="1"/>
        <w:rPr>
          <w:rFonts w:hint="eastAsia" w:ascii="仿宋_GB2312" w:hAnsi="Times New Roman" w:eastAsia="仿宋_GB2312" w:cs="Wingdings"/>
          <w:sz w:val="32"/>
          <w:szCs w:val="32"/>
        </w:rPr>
      </w:pPr>
      <w:r>
        <w:rPr>
          <w:rFonts w:hint="eastAsia" w:ascii="仿宋_GB2312" w:hAnsi="Times New Roman" w:eastAsia="仿宋_GB2312" w:cs="Wingdings"/>
          <w:sz w:val="32"/>
          <w:szCs w:val="32"/>
        </w:rPr>
        <w:t>本部门2020年度本年收入合计</w:t>
      </w:r>
      <w:r>
        <w:rPr>
          <w:rFonts w:hint="eastAsia" w:ascii="仿宋_GB2312" w:hAnsi="Times New Roman" w:eastAsia="仿宋_GB2312" w:cs="Wingdings"/>
          <w:sz w:val="32"/>
          <w:szCs w:val="32"/>
          <w:lang w:val="en-US" w:eastAsia="zh-CN"/>
        </w:rPr>
        <w:t>1225.24</w:t>
      </w:r>
      <w:r>
        <w:rPr>
          <w:rFonts w:hint="eastAsia" w:ascii="仿宋_GB2312" w:hAnsi="Times New Roman" w:eastAsia="仿宋_GB2312" w:cs="Wingdings"/>
          <w:sz w:val="32"/>
          <w:szCs w:val="32"/>
        </w:rPr>
        <w:t>万元，其中：财政拨款收入</w:t>
      </w:r>
      <w:r>
        <w:rPr>
          <w:rFonts w:hint="eastAsia" w:ascii="仿宋_GB2312" w:hAnsi="Times New Roman" w:eastAsia="仿宋_GB2312" w:cs="Wingdings"/>
          <w:sz w:val="32"/>
          <w:szCs w:val="32"/>
          <w:lang w:val="en-US" w:eastAsia="zh-CN"/>
        </w:rPr>
        <w:t>1225.24</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100.00</w:t>
      </w:r>
      <w:r>
        <w:rPr>
          <w:rFonts w:hint="eastAsia" w:ascii="仿宋_GB2312" w:hAnsi="Times New Roman" w:eastAsia="仿宋_GB2312" w:cs="Wingdings"/>
          <w:sz w:val="32"/>
          <w:szCs w:val="32"/>
        </w:rPr>
        <w:t>%；事业收入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%；经营收入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%；其他收入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keepNext/>
        <w:keepLines/>
        <w:snapToGrid w:val="0"/>
        <w:spacing w:line="600" w:lineRule="exact"/>
        <w:ind w:firstLine="640" w:firstLineChars="200"/>
        <w:outlineLvl w:val="1"/>
        <w:rPr>
          <w:rFonts w:ascii="黑体" w:hAnsi="Calibri" w:eastAsia="黑体" w:cs="Times New Roman"/>
          <w:b/>
          <w:bCs/>
          <w:sz w:val="32"/>
          <w:szCs w:val="32"/>
        </w:rPr>
      </w:pPr>
      <w:r>
        <w:rPr>
          <w:rFonts w:hint="eastAsia" w:ascii="仿宋_GB2312" w:hAnsi="Times New Roman" w:eastAsia="仿宋_GB2312" w:cs="Wingdings"/>
          <w:sz w:val="32"/>
          <w:szCs w:val="32"/>
        </w:rPr>
        <w:t>本部门2020年度本年支出合计</w:t>
      </w:r>
      <w:r>
        <w:rPr>
          <w:rFonts w:hint="eastAsia" w:ascii="仿宋_GB2312" w:hAnsi="Times New Roman" w:eastAsia="仿宋_GB2312" w:cs="Wingdings"/>
          <w:sz w:val="32"/>
          <w:szCs w:val="32"/>
          <w:lang w:val="en-US" w:eastAsia="zh-CN"/>
        </w:rPr>
        <w:t>1225.24</w:t>
      </w:r>
      <w:r>
        <w:rPr>
          <w:rFonts w:hint="eastAsia" w:ascii="仿宋_GB2312" w:hAnsi="Times New Roman" w:eastAsia="仿宋_GB2312" w:cs="Wingdings"/>
          <w:sz w:val="32"/>
          <w:szCs w:val="32"/>
        </w:rPr>
        <w:t>万元，其中：基本支出</w:t>
      </w:r>
      <w:r>
        <w:rPr>
          <w:rFonts w:hint="eastAsia" w:ascii="仿宋_GB2312" w:hAnsi="Times New Roman" w:eastAsia="仿宋_GB2312" w:cs="Wingdings"/>
          <w:sz w:val="32"/>
          <w:szCs w:val="32"/>
          <w:lang w:val="en-US" w:eastAsia="zh-CN"/>
        </w:rPr>
        <w:t>523.31</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42.71</w:t>
      </w:r>
      <w:r>
        <w:rPr>
          <w:rFonts w:hint="eastAsia" w:ascii="仿宋_GB2312" w:hAnsi="Times New Roman" w:eastAsia="仿宋_GB2312" w:cs="Wingdings"/>
          <w:sz w:val="32"/>
          <w:szCs w:val="32"/>
        </w:rPr>
        <w:t>%；项目支出</w:t>
      </w:r>
      <w:r>
        <w:rPr>
          <w:rFonts w:hint="eastAsia" w:ascii="仿宋_GB2312" w:hAnsi="Times New Roman" w:eastAsia="仿宋_GB2312" w:cs="Wingdings"/>
          <w:sz w:val="32"/>
          <w:szCs w:val="32"/>
          <w:lang w:val="en-US" w:eastAsia="zh-CN"/>
        </w:rPr>
        <w:t>701.93</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57.29</w:t>
      </w:r>
      <w:r>
        <w:rPr>
          <w:rFonts w:hint="eastAsia" w:ascii="仿宋_GB2312" w:hAnsi="Times New Roman" w:eastAsia="仿宋_GB2312" w:cs="Wingdings"/>
          <w:sz w:val="32"/>
          <w:szCs w:val="32"/>
        </w:rPr>
        <w:t>%；经营支出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本部门2020年度财政拨款本年收入</w:t>
      </w:r>
      <w:r>
        <w:rPr>
          <w:rFonts w:hint="eastAsia" w:ascii="仿宋_GB2312" w:hAnsi="Times New Roman" w:eastAsia="仿宋_GB2312" w:cs="Wingdings"/>
          <w:sz w:val="32"/>
          <w:szCs w:val="32"/>
          <w:lang w:val="en-US" w:eastAsia="zh-CN"/>
        </w:rPr>
        <w:t>1225.24</w:t>
      </w:r>
      <w:r>
        <w:rPr>
          <w:rFonts w:hint="eastAsia" w:ascii="仿宋_GB2312" w:hAnsi="Times New Roman" w:eastAsia="仿宋_GB2312" w:cs="Wingdings"/>
          <w:sz w:val="32"/>
          <w:szCs w:val="32"/>
        </w:rPr>
        <w:t>万元,比2019年度增加</w:t>
      </w:r>
      <w:r>
        <w:rPr>
          <w:rFonts w:hint="eastAsia" w:ascii="仿宋_GB2312" w:hAnsi="Times New Roman" w:eastAsia="仿宋_GB2312" w:cs="Wingdings"/>
          <w:sz w:val="32"/>
          <w:szCs w:val="32"/>
          <w:lang w:val="en-US" w:eastAsia="zh-CN"/>
        </w:rPr>
        <w:t>407.75</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49.88</w:t>
      </w:r>
      <w:r>
        <w:rPr>
          <w:rFonts w:hint="eastAsia" w:ascii="仿宋_GB2312" w:hAnsi="Times New Roman" w:eastAsia="仿宋_GB2312" w:cs="Wingdings"/>
          <w:sz w:val="32"/>
          <w:szCs w:val="32"/>
        </w:rPr>
        <w:t>%，主要是增加了人员工资和保险调整</w:t>
      </w:r>
      <w:r>
        <w:rPr>
          <w:rFonts w:hint="eastAsia" w:ascii="仿宋_GB2312" w:hAnsi="Times New Roman" w:eastAsia="仿宋_GB2312" w:cs="Wingdings"/>
          <w:sz w:val="32"/>
          <w:szCs w:val="32"/>
          <w:lang w:eastAsia="zh-CN"/>
        </w:rPr>
        <w:t>，信访稳定</w:t>
      </w:r>
      <w:r>
        <w:rPr>
          <w:rFonts w:hint="eastAsia" w:ascii="仿宋_GB2312" w:hAnsi="Times New Roman" w:eastAsia="仿宋_GB2312" w:cs="Wingdings"/>
          <w:sz w:val="32"/>
          <w:szCs w:val="32"/>
        </w:rPr>
        <w:t>、农村环境保护、农林水支出等多个项目</w:t>
      </w:r>
      <w:r>
        <w:rPr>
          <w:rFonts w:hint="eastAsia" w:ascii="仿宋_GB2312" w:hAnsi="Times New Roman" w:eastAsia="仿宋_GB2312" w:cs="Wingdings"/>
          <w:sz w:val="32"/>
          <w:szCs w:val="32"/>
          <w:lang w:val="en-US" w:eastAsia="zh-CN"/>
        </w:rPr>
        <w:t>收入</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1225.24</w:t>
      </w:r>
      <w:r>
        <w:rPr>
          <w:rFonts w:hint="eastAsia" w:ascii="仿宋_GB2312" w:hAnsi="Times New Roman" w:eastAsia="仿宋_GB2312" w:cs="Wingdings"/>
          <w:sz w:val="32"/>
          <w:szCs w:val="32"/>
        </w:rPr>
        <w:t>万元，增加</w:t>
      </w:r>
      <w:r>
        <w:rPr>
          <w:rFonts w:hint="eastAsia" w:ascii="仿宋_GB2312" w:hAnsi="Times New Roman" w:eastAsia="仿宋_GB2312" w:cs="Wingdings"/>
          <w:sz w:val="32"/>
          <w:szCs w:val="32"/>
          <w:lang w:val="en-US" w:eastAsia="zh-CN"/>
        </w:rPr>
        <w:t>407.75</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49.88</w:t>
      </w:r>
      <w:r>
        <w:rPr>
          <w:rFonts w:hint="eastAsia" w:ascii="仿宋_GB2312" w:hAnsi="Times New Roman" w:eastAsia="仿宋_GB2312" w:cs="Wingdings"/>
          <w:sz w:val="32"/>
          <w:szCs w:val="32"/>
        </w:rPr>
        <w:t>%，主要是人员工资和保险调整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w:t>
      </w:r>
      <w:r>
        <w:rPr>
          <w:rFonts w:hint="eastAsia" w:ascii="仿宋_GB2312" w:hAnsi="Times New Roman" w:eastAsia="仿宋_GB2312" w:cs="Wingdings"/>
          <w:sz w:val="32"/>
          <w:szCs w:val="32"/>
          <w:lang w:eastAsia="zh-CN"/>
        </w:rPr>
        <w:t>信访稳定</w:t>
      </w:r>
      <w:r>
        <w:rPr>
          <w:rFonts w:hint="eastAsia" w:ascii="仿宋_GB2312" w:hAnsi="Times New Roman" w:eastAsia="仿宋_GB2312" w:cs="Wingdings"/>
          <w:sz w:val="32"/>
          <w:szCs w:val="32"/>
        </w:rPr>
        <w:t>、农村环境保护、农林水支出等多个项目支出。具体情况如下：</w:t>
      </w:r>
    </w:p>
    <w:p>
      <w:pPr>
        <w:numPr>
          <w:ilvl w:val="0"/>
          <w:numId w:val="1"/>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一般公共预算财政拨款本年收入</w:t>
      </w:r>
      <w:r>
        <w:rPr>
          <w:rFonts w:hint="eastAsia" w:ascii="仿宋_GB2312" w:hAnsi="Times New Roman" w:eastAsia="仿宋_GB2312" w:cs="Wingdings"/>
          <w:sz w:val="32"/>
          <w:szCs w:val="32"/>
          <w:lang w:val="en-US" w:eastAsia="zh-CN"/>
        </w:rPr>
        <w:t>1225.24</w:t>
      </w:r>
      <w:r>
        <w:rPr>
          <w:rFonts w:hint="eastAsia" w:ascii="仿宋_GB2312" w:hAnsi="Times New Roman" w:eastAsia="仿宋_GB2312" w:cs="Wingdings"/>
          <w:sz w:val="32"/>
          <w:szCs w:val="32"/>
        </w:rPr>
        <w:t>万元,比2019年度增加</w:t>
      </w:r>
      <w:r>
        <w:rPr>
          <w:rFonts w:hint="eastAsia" w:ascii="仿宋_GB2312" w:hAnsi="Times New Roman" w:eastAsia="仿宋_GB2312" w:cs="Wingdings"/>
          <w:sz w:val="32"/>
          <w:szCs w:val="32"/>
          <w:lang w:val="en-US" w:eastAsia="zh-CN"/>
        </w:rPr>
        <w:t>407.75</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49.88</w:t>
      </w:r>
      <w:r>
        <w:rPr>
          <w:rFonts w:hint="eastAsia" w:ascii="仿宋_GB2312" w:hAnsi="Times New Roman" w:eastAsia="仿宋_GB2312" w:cs="Wingdings"/>
          <w:sz w:val="32"/>
          <w:szCs w:val="32"/>
        </w:rPr>
        <w:t>%，主要是人员工资和保险调整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w:t>
      </w:r>
      <w:r>
        <w:rPr>
          <w:rFonts w:hint="eastAsia" w:ascii="仿宋_GB2312" w:hAnsi="Times New Roman" w:eastAsia="仿宋_GB2312" w:cs="Wingdings"/>
          <w:sz w:val="32"/>
          <w:szCs w:val="32"/>
          <w:lang w:eastAsia="zh-CN"/>
        </w:rPr>
        <w:t>信访稳定</w:t>
      </w:r>
      <w:r>
        <w:rPr>
          <w:rFonts w:hint="eastAsia" w:ascii="仿宋_GB2312" w:hAnsi="Times New Roman" w:eastAsia="仿宋_GB2312" w:cs="Wingdings"/>
          <w:sz w:val="32"/>
          <w:szCs w:val="32"/>
        </w:rPr>
        <w:t>、农村环境保护、农林水支出等多个项目</w:t>
      </w:r>
      <w:r>
        <w:rPr>
          <w:rFonts w:hint="eastAsia" w:ascii="仿宋_GB2312" w:hAnsi="Times New Roman" w:eastAsia="仿宋_GB2312" w:cs="Wingdings"/>
          <w:sz w:val="32"/>
          <w:szCs w:val="32"/>
          <w:lang w:val="en-US" w:eastAsia="zh-CN"/>
        </w:rPr>
        <w:t>收入</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1225.24</w:t>
      </w:r>
      <w:r>
        <w:rPr>
          <w:rFonts w:hint="eastAsia" w:ascii="仿宋_GB2312" w:hAnsi="Times New Roman" w:eastAsia="仿宋_GB2312" w:cs="Wingdings"/>
          <w:sz w:val="32"/>
          <w:szCs w:val="32"/>
        </w:rPr>
        <w:t>万元，增加</w:t>
      </w:r>
      <w:r>
        <w:rPr>
          <w:rFonts w:hint="eastAsia" w:ascii="仿宋_GB2312" w:hAnsi="Times New Roman" w:eastAsia="仿宋_GB2312" w:cs="Wingdings"/>
          <w:sz w:val="32"/>
          <w:szCs w:val="32"/>
          <w:lang w:val="en-US" w:eastAsia="zh-CN"/>
        </w:rPr>
        <w:t>407.75</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49.88</w:t>
      </w:r>
      <w:r>
        <w:rPr>
          <w:rFonts w:hint="eastAsia" w:ascii="仿宋_GB2312" w:hAnsi="Times New Roman" w:eastAsia="仿宋_GB2312" w:cs="Wingdings"/>
          <w:sz w:val="32"/>
          <w:szCs w:val="32"/>
        </w:rPr>
        <w:t>%，主要是人员工资和保险调整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w:t>
      </w:r>
      <w:r>
        <w:rPr>
          <w:rFonts w:hint="eastAsia" w:ascii="仿宋_GB2312" w:hAnsi="Times New Roman" w:eastAsia="仿宋_GB2312" w:cs="Wingdings"/>
          <w:sz w:val="32"/>
          <w:szCs w:val="32"/>
          <w:lang w:eastAsia="zh-CN"/>
        </w:rPr>
        <w:t>信访稳定</w:t>
      </w:r>
      <w:r>
        <w:rPr>
          <w:rFonts w:hint="eastAsia" w:ascii="仿宋_GB2312" w:hAnsi="Times New Roman" w:eastAsia="仿宋_GB2312" w:cs="Wingdings"/>
          <w:sz w:val="32"/>
          <w:szCs w:val="32"/>
        </w:rPr>
        <w:t>、农村环境保护、农林水支出等多个项目支出。</w:t>
      </w:r>
    </w:p>
    <w:p>
      <w:pPr>
        <w:numPr>
          <w:ilvl w:val="0"/>
          <w:numId w:val="1"/>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政府性基金预算财政拨款本年收入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万元，比上年增加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%，主要原因是</w:t>
      </w:r>
      <w:r>
        <w:rPr>
          <w:rFonts w:hint="eastAsia" w:ascii="仿宋_GB2312" w:hAnsi="Times New Roman" w:eastAsia="仿宋_GB2312" w:cs="Wingdings"/>
          <w:sz w:val="32"/>
          <w:szCs w:val="32"/>
          <w:lang w:eastAsia="zh-CN"/>
        </w:rPr>
        <w:t>无</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万元，比上年增加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w:t>
      </w:r>
      <w:r>
        <w:rPr>
          <w:rFonts w:hint="eastAsia" w:ascii="仿宋_GB2312" w:hAnsi="Times New Roman" w:eastAsia="仿宋_GB2312" w:cs="Wingdings"/>
          <w:sz w:val="32"/>
          <w:szCs w:val="32"/>
          <w:lang w:eastAsia="zh-CN"/>
        </w:rPr>
        <w:t>原因无。</w:t>
      </w: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本部门2020年度财政拨款本年收入</w:t>
      </w:r>
      <w:r>
        <w:rPr>
          <w:rFonts w:hint="eastAsia" w:ascii="仿宋_GB2312" w:hAnsi="Times New Roman" w:eastAsia="仿宋_GB2312" w:cs="Wingdings"/>
          <w:sz w:val="32"/>
          <w:szCs w:val="32"/>
          <w:lang w:val="en-US" w:eastAsia="zh-CN"/>
        </w:rPr>
        <w:t>1225.24</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145.25</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381.68</w:t>
      </w:r>
      <w:r>
        <w:rPr>
          <w:rFonts w:hint="eastAsia" w:ascii="仿宋_GB2312" w:hAnsi="Times New Roman" w:eastAsia="仿宋_GB2312" w:cs="Wingdings"/>
          <w:sz w:val="32"/>
          <w:szCs w:val="32"/>
        </w:rPr>
        <w:t>万元，决算数大于预算数主要原因是人员工资和保险调整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增加了大气、农村环境保护、农林水支出等多个项目</w:t>
      </w:r>
      <w:r>
        <w:rPr>
          <w:rFonts w:hint="eastAsia" w:ascii="仿宋_GB2312" w:hAnsi="Times New Roman" w:eastAsia="仿宋_GB2312" w:cs="Wingdings"/>
          <w:sz w:val="32"/>
          <w:szCs w:val="32"/>
          <w:lang w:val="en-US" w:eastAsia="zh-CN"/>
        </w:rPr>
        <w:t>收入</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1225.24</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145.25</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381.68</w:t>
      </w:r>
      <w:r>
        <w:rPr>
          <w:rFonts w:hint="eastAsia" w:ascii="仿宋_GB2312" w:hAnsi="Times New Roman" w:eastAsia="仿宋_GB2312" w:cs="Wingdings"/>
          <w:sz w:val="32"/>
          <w:szCs w:val="32"/>
        </w:rPr>
        <w:t>万元，决算数大于预算数主要原因是主要是人员工资和保险调整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w:t>
      </w:r>
      <w:r>
        <w:rPr>
          <w:rFonts w:hint="eastAsia" w:ascii="仿宋_GB2312" w:hAnsi="Times New Roman" w:eastAsia="仿宋_GB2312" w:cs="Wingdings"/>
          <w:sz w:val="32"/>
          <w:szCs w:val="32"/>
          <w:lang w:eastAsia="zh-CN"/>
        </w:rPr>
        <w:t>信访稳定</w:t>
      </w:r>
      <w:r>
        <w:rPr>
          <w:rFonts w:hint="eastAsia" w:ascii="仿宋_GB2312" w:hAnsi="Times New Roman" w:eastAsia="仿宋_GB2312" w:cs="Wingdings"/>
          <w:sz w:val="32"/>
          <w:szCs w:val="32"/>
        </w:rPr>
        <w:t>、农村环境保护、农林水支出等多个项目支出。具体情况如下：</w:t>
      </w:r>
    </w:p>
    <w:p>
      <w:pPr>
        <w:numPr>
          <w:ilvl w:val="0"/>
          <w:numId w:val="2"/>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一般公共预算财政拨款本年收入完成年初预算</w:t>
      </w:r>
      <w:r>
        <w:rPr>
          <w:rFonts w:hint="eastAsia" w:ascii="仿宋_GB2312" w:hAnsi="Times New Roman" w:eastAsia="仿宋_GB2312" w:cs="Wingdings"/>
          <w:sz w:val="32"/>
          <w:szCs w:val="32"/>
          <w:lang w:val="en-US" w:eastAsia="zh-CN"/>
        </w:rPr>
        <w:t>145.25</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381.68</w:t>
      </w:r>
      <w:r>
        <w:rPr>
          <w:rFonts w:hint="eastAsia" w:ascii="仿宋_GB2312" w:hAnsi="Times New Roman" w:eastAsia="仿宋_GB2312" w:cs="Wingdings"/>
          <w:sz w:val="32"/>
          <w:szCs w:val="32"/>
        </w:rPr>
        <w:t>万元，主要是人员工资和保险调整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w:t>
      </w:r>
      <w:r>
        <w:rPr>
          <w:rFonts w:hint="eastAsia" w:ascii="仿宋_GB2312" w:hAnsi="Times New Roman" w:eastAsia="仿宋_GB2312" w:cs="Wingdings"/>
          <w:sz w:val="32"/>
          <w:szCs w:val="32"/>
          <w:lang w:eastAsia="zh-CN"/>
        </w:rPr>
        <w:t>信访稳定</w:t>
      </w:r>
      <w:r>
        <w:rPr>
          <w:rFonts w:hint="eastAsia" w:ascii="仿宋_GB2312" w:hAnsi="Times New Roman" w:eastAsia="仿宋_GB2312" w:cs="Wingdings"/>
          <w:sz w:val="32"/>
          <w:szCs w:val="32"/>
        </w:rPr>
        <w:t>、农村环境保护、农林水支出等多个项目</w:t>
      </w:r>
      <w:r>
        <w:rPr>
          <w:rFonts w:hint="eastAsia" w:ascii="仿宋_GB2312" w:hAnsi="Times New Roman" w:eastAsia="仿宋_GB2312" w:cs="Wingdings"/>
          <w:sz w:val="32"/>
          <w:szCs w:val="32"/>
          <w:lang w:val="en-US" w:eastAsia="zh-CN"/>
        </w:rPr>
        <w:t>收入</w:t>
      </w:r>
      <w:r>
        <w:rPr>
          <w:rFonts w:hint="eastAsia" w:ascii="仿宋_GB2312" w:hAnsi="Times New Roman" w:eastAsia="仿宋_GB2312" w:cs="Wingdings"/>
          <w:sz w:val="32"/>
          <w:szCs w:val="32"/>
        </w:rPr>
        <w:t>；支出完成年初预算</w:t>
      </w:r>
      <w:r>
        <w:rPr>
          <w:rFonts w:hint="eastAsia" w:ascii="仿宋_GB2312" w:hAnsi="Times New Roman" w:eastAsia="仿宋_GB2312" w:cs="Wingdings"/>
          <w:sz w:val="32"/>
          <w:szCs w:val="32"/>
          <w:lang w:val="en-US" w:eastAsia="zh-CN"/>
        </w:rPr>
        <w:t>145.25</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381.68</w:t>
      </w:r>
      <w:r>
        <w:rPr>
          <w:rFonts w:hint="eastAsia" w:ascii="仿宋_GB2312" w:hAnsi="Times New Roman" w:eastAsia="仿宋_GB2312" w:cs="Wingdings"/>
          <w:sz w:val="32"/>
          <w:szCs w:val="32"/>
        </w:rPr>
        <w:t>万元，主要是人员工资和保险调整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w:t>
      </w:r>
      <w:r>
        <w:rPr>
          <w:rFonts w:hint="eastAsia" w:ascii="仿宋_GB2312" w:hAnsi="Times New Roman" w:eastAsia="仿宋_GB2312" w:cs="Wingdings"/>
          <w:sz w:val="32"/>
          <w:szCs w:val="32"/>
          <w:lang w:eastAsia="zh-CN"/>
        </w:rPr>
        <w:t>信访稳定</w:t>
      </w:r>
      <w:r>
        <w:rPr>
          <w:rFonts w:hint="eastAsia" w:ascii="仿宋_GB2312" w:hAnsi="Times New Roman" w:eastAsia="仿宋_GB2312" w:cs="Wingdings"/>
          <w:sz w:val="32"/>
          <w:szCs w:val="32"/>
        </w:rPr>
        <w:t>、农村环境保护、农林水支出等多个项目支出。</w:t>
      </w:r>
    </w:p>
    <w:p>
      <w:pPr>
        <w:numPr>
          <w:ilvl w:val="0"/>
          <w:numId w:val="2"/>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政府性基金预算财政拨款本年收入</w:t>
      </w:r>
      <w:r>
        <w:rPr>
          <w:rFonts w:hint="eastAsia" w:ascii="仿宋_GB2312" w:hAnsi="Times New Roman" w:eastAsia="仿宋_GB2312" w:cs="Wingdings"/>
          <w:sz w:val="32"/>
          <w:szCs w:val="32"/>
          <w:lang w:val="en-US" w:eastAsia="zh-CN"/>
        </w:rPr>
        <w:t>0万元，年初预算数0万元，调整预算数0万元，</w:t>
      </w:r>
      <w:r>
        <w:rPr>
          <w:rFonts w:hint="eastAsia" w:ascii="仿宋_GB2312" w:hAnsi="Times New Roman" w:eastAsia="仿宋_GB2312" w:cs="Wingdings"/>
          <w:sz w:val="32"/>
          <w:szCs w:val="32"/>
        </w:rPr>
        <w:t>完成</w:t>
      </w:r>
      <w:r>
        <w:rPr>
          <w:rFonts w:hint="eastAsia" w:ascii="仿宋_GB2312" w:hAnsi="Times New Roman" w:eastAsia="仿宋_GB2312" w:cs="Wingdings"/>
          <w:sz w:val="32"/>
          <w:szCs w:val="32"/>
          <w:lang w:val="en-US" w:eastAsia="zh-CN"/>
        </w:rPr>
        <w:t>调整</w:t>
      </w:r>
      <w:r>
        <w:rPr>
          <w:rFonts w:hint="eastAsia" w:ascii="仿宋_GB2312" w:hAnsi="Times New Roman" w:eastAsia="仿宋_GB2312" w:cs="Wingdings"/>
          <w:sz w:val="32"/>
          <w:szCs w:val="32"/>
        </w:rPr>
        <w:t>预算</w:t>
      </w:r>
      <w:r>
        <w:rPr>
          <w:rFonts w:hint="eastAsia" w:ascii="仿宋_GB2312" w:hAnsi="Times New Roman" w:eastAsia="仿宋_GB2312" w:cs="Wingdings"/>
          <w:sz w:val="32"/>
          <w:szCs w:val="32"/>
          <w:highlight w:val="none"/>
          <w:lang w:val="en-US" w:eastAsia="zh-CN"/>
        </w:rPr>
        <w:t>0</w:t>
      </w:r>
      <w:r>
        <w:rPr>
          <w:rFonts w:hint="eastAsia" w:ascii="仿宋_GB2312" w:hAnsi="Times New Roman" w:eastAsia="仿宋_GB2312" w:cs="Wingdings"/>
          <w:sz w:val="32"/>
          <w:szCs w:val="32"/>
          <w:highlight w:val="none"/>
        </w:rPr>
        <w:t>%</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万元，主要</w:t>
      </w:r>
      <w:r>
        <w:rPr>
          <w:rFonts w:hint="eastAsia" w:ascii="仿宋_GB2312" w:hAnsi="Times New Roman" w:eastAsia="仿宋_GB2312" w:cs="Wingdings"/>
          <w:sz w:val="32"/>
          <w:szCs w:val="32"/>
          <w:lang w:eastAsia="zh-CN"/>
        </w:rPr>
        <w:t>原因无</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0万元，年初预算数0万元，调整预算数0万元，</w:t>
      </w:r>
      <w:r>
        <w:rPr>
          <w:rFonts w:hint="eastAsia" w:ascii="仿宋_GB2312" w:hAnsi="Times New Roman" w:eastAsia="仿宋_GB2312" w:cs="Wingdings"/>
          <w:sz w:val="32"/>
          <w:szCs w:val="32"/>
        </w:rPr>
        <w:t>完成</w:t>
      </w:r>
      <w:r>
        <w:rPr>
          <w:rFonts w:hint="eastAsia" w:ascii="仿宋_GB2312" w:hAnsi="Times New Roman" w:eastAsia="仿宋_GB2312" w:cs="Wingdings"/>
          <w:sz w:val="32"/>
          <w:szCs w:val="32"/>
          <w:lang w:val="en-US" w:eastAsia="zh-CN"/>
        </w:rPr>
        <w:t>调整</w:t>
      </w:r>
      <w:r>
        <w:rPr>
          <w:rFonts w:hint="eastAsia" w:ascii="仿宋_GB2312" w:hAnsi="Times New Roman" w:eastAsia="仿宋_GB2312" w:cs="Wingdings"/>
          <w:sz w:val="32"/>
          <w:szCs w:val="32"/>
        </w:rPr>
        <w:t>预算</w:t>
      </w:r>
      <w:r>
        <w:rPr>
          <w:rFonts w:hint="eastAsia" w:ascii="仿宋_GB2312" w:hAnsi="Times New Roman" w:eastAsia="仿宋_GB2312" w:cs="Wingdings"/>
          <w:sz w:val="32"/>
          <w:szCs w:val="32"/>
          <w:highlight w:val="none"/>
          <w:lang w:val="en-US" w:eastAsia="zh-CN"/>
        </w:rPr>
        <w:t>0</w:t>
      </w:r>
      <w:r>
        <w:rPr>
          <w:rFonts w:hint="eastAsia" w:ascii="仿宋_GB2312" w:hAnsi="Times New Roman" w:eastAsia="仿宋_GB2312" w:cs="Wingdings"/>
          <w:sz w:val="32"/>
          <w:szCs w:val="32"/>
          <w:highlight w:val="none"/>
        </w:rPr>
        <w:t>%</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万元，主要</w:t>
      </w:r>
      <w:r>
        <w:rPr>
          <w:rFonts w:hint="eastAsia" w:ascii="仿宋_GB2312" w:hAnsi="Times New Roman" w:eastAsia="仿宋_GB2312" w:cs="Wingdings"/>
          <w:sz w:val="32"/>
          <w:szCs w:val="32"/>
          <w:lang w:eastAsia="zh-CN"/>
        </w:rPr>
        <w:t>原因无</w:t>
      </w:r>
      <w:r>
        <w:rPr>
          <w:rFonts w:hint="eastAsia" w:ascii="仿宋_GB2312" w:hAnsi="Times New Roman" w:eastAsia="仿宋_GB2312" w:cs="Wingdings"/>
          <w:sz w:val="32"/>
          <w:szCs w:val="32"/>
        </w:rPr>
        <w:t>。</w:t>
      </w:r>
    </w:p>
    <w:p>
      <w:pPr>
        <w:numPr>
          <w:ilvl w:val="0"/>
          <w:numId w:val="3"/>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年度财政拨款支出</w:t>
      </w:r>
      <w:r>
        <w:rPr>
          <w:rFonts w:hint="eastAsia" w:ascii="仿宋_GB2312" w:hAnsi="Times New Roman" w:eastAsia="仿宋_GB2312" w:cs="Wingdings"/>
          <w:sz w:val="32"/>
          <w:szCs w:val="32"/>
          <w:lang w:val="en-US" w:eastAsia="zh-CN"/>
        </w:rPr>
        <w:t>1225.24</w:t>
      </w:r>
      <w:r>
        <w:rPr>
          <w:rFonts w:hint="eastAsia" w:ascii="仿宋_GB2312" w:hAnsi="Times New Roman" w:eastAsia="仿宋_GB2312" w:cs="Wingdings"/>
          <w:sz w:val="32"/>
          <w:szCs w:val="32"/>
        </w:rPr>
        <w:t>万元，主要用于以下方面：比如：一般公共服务（类）支出</w:t>
      </w:r>
      <w:r>
        <w:rPr>
          <w:rFonts w:hint="eastAsia" w:ascii="仿宋_GB2312" w:hAnsi="Times New Roman" w:eastAsia="仿宋_GB2312" w:cs="Wingdings"/>
          <w:sz w:val="32"/>
          <w:szCs w:val="32"/>
          <w:lang w:val="en-US" w:eastAsia="zh-CN"/>
        </w:rPr>
        <w:t>457.42</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37.33</w:t>
      </w:r>
      <w:r>
        <w:rPr>
          <w:rFonts w:hint="eastAsia" w:ascii="仿宋_GB2312" w:hAnsi="Times New Roman" w:eastAsia="仿宋_GB2312" w:cs="Wingdings"/>
          <w:sz w:val="32"/>
          <w:szCs w:val="32"/>
        </w:rPr>
        <w:t>%，；文化旅游体育与传媒</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lang w:val="en-US" w:eastAsia="zh-CN"/>
        </w:rPr>
        <w:t>类</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17.00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1.39</w:t>
      </w:r>
      <w:r>
        <w:rPr>
          <w:rFonts w:hint="eastAsia" w:ascii="仿宋_GB2312" w:hAnsi="Times New Roman" w:eastAsia="仿宋_GB2312" w:cs="Wingdings"/>
          <w:sz w:val="32"/>
          <w:szCs w:val="32"/>
        </w:rPr>
        <w:t>%；社会保障和就业</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lang w:val="en-US" w:eastAsia="zh-CN"/>
        </w:rPr>
        <w:t>类</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64.35</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5.25</w:t>
      </w:r>
      <w:r>
        <w:rPr>
          <w:rFonts w:hint="eastAsia" w:ascii="仿宋_GB2312" w:hAnsi="Times New Roman" w:eastAsia="仿宋_GB2312" w:cs="Wingdings"/>
          <w:sz w:val="32"/>
          <w:szCs w:val="32"/>
        </w:rPr>
        <w:t>%；卫生健康</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lang w:val="en-US" w:eastAsia="zh-CN"/>
        </w:rPr>
        <w:t>类</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23.52</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1.92</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节能环保（</w:t>
      </w:r>
      <w:r>
        <w:rPr>
          <w:rFonts w:hint="eastAsia" w:ascii="仿宋_GB2312" w:hAnsi="Times New Roman" w:eastAsia="仿宋_GB2312" w:cs="Wingdings"/>
          <w:sz w:val="32"/>
          <w:szCs w:val="32"/>
          <w:lang w:val="en-US" w:eastAsia="zh-CN"/>
        </w:rPr>
        <w:t>类</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8.00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0.65</w:t>
      </w:r>
      <w:r>
        <w:rPr>
          <w:rFonts w:hint="eastAsia" w:ascii="仿宋_GB2312" w:hAnsi="Times New Roman" w:eastAsia="仿宋_GB2312" w:cs="Wingdings"/>
          <w:sz w:val="32"/>
          <w:szCs w:val="32"/>
        </w:rPr>
        <w:t>%；农林水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lang w:val="en-US" w:eastAsia="zh-CN"/>
        </w:rPr>
        <w:t>类</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633.43</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51.70</w:t>
      </w:r>
      <w:r>
        <w:rPr>
          <w:rFonts w:hint="eastAsia" w:ascii="仿宋_GB2312" w:hAnsi="Times New Roman" w:eastAsia="仿宋_GB2312" w:cs="Wingdings"/>
          <w:sz w:val="32"/>
          <w:szCs w:val="32"/>
        </w:rPr>
        <w:t>%;住房保障</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lang w:val="en-US" w:eastAsia="zh-CN"/>
        </w:rPr>
        <w:t>类</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21.51万元，占1.76%</w:t>
      </w:r>
      <w:r>
        <w:rPr>
          <w:rFonts w:hint="eastAsia" w:ascii="仿宋_GB2312" w:hAnsi="Times New Roman" w:eastAsia="仿宋_GB2312" w:cs="Wingdings"/>
          <w:sz w:val="32"/>
          <w:szCs w:val="32"/>
        </w:rPr>
        <w:t>。</w:t>
      </w: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hint="eastAsia" w:ascii="仿宋_GB2312" w:hAnsi="Times New Roman" w:eastAsia="仿宋_GB2312" w:cs="Wingdings"/>
          <w:sz w:val="32"/>
          <w:szCs w:val="32"/>
          <w:lang w:eastAsia="zh-CN"/>
        </w:rPr>
      </w:pPr>
      <w:r>
        <w:rPr>
          <w:rFonts w:hint="eastAsia" w:ascii="仿宋_GB2312" w:hAnsi="Times New Roman" w:eastAsia="仿宋_GB2312" w:cs="Wingdings"/>
          <w:sz w:val="32"/>
          <w:szCs w:val="32"/>
        </w:rPr>
        <w:t>2020 年度财政拨款基本支出</w:t>
      </w:r>
      <w:r>
        <w:rPr>
          <w:rFonts w:hint="eastAsia" w:ascii="仿宋_GB2312" w:hAnsi="Times New Roman" w:eastAsia="仿宋_GB2312" w:cs="Wingdings"/>
          <w:sz w:val="32"/>
          <w:szCs w:val="32"/>
          <w:lang w:val="en-US" w:eastAsia="zh-CN"/>
        </w:rPr>
        <w:t>523.31</w:t>
      </w:r>
      <w:r>
        <w:rPr>
          <w:rFonts w:hint="eastAsia" w:ascii="仿宋_GB2312" w:hAnsi="Times New Roman" w:eastAsia="仿宋_GB2312" w:cs="Wingdings"/>
          <w:sz w:val="32"/>
          <w:szCs w:val="32"/>
        </w:rPr>
        <w:t xml:space="preserve">万元，其中：人员经费 </w:t>
      </w:r>
      <w:r>
        <w:rPr>
          <w:rFonts w:hint="eastAsia" w:ascii="仿宋_GB2312" w:hAnsi="Times New Roman" w:eastAsia="仿宋_GB2312" w:cs="Wingdings"/>
          <w:sz w:val="32"/>
          <w:szCs w:val="32"/>
          <w:lang w:val="en-US" w:eastAsia="zh-CN"/>
        </w:rPr>
        <w:t>483.02</w:t>
      </w:r>
      <w:r>
        <w:rPr>
          <w:rFonts w:hint="eastAsia" w:ascii="仿宋_GB2312" w:hAnsi="Times New Roman" w:eastAsia="仿宋_GB2312" w:cs="Wingdings"/>
          <w:sz w:val="32"/>
          <w:szCs w:val="32"/>
        </w:rPr>
        <w:t>万元，主要包括基本工资、津贴补贴、奖金、绩效工资、机关事业单位基本养老保险缴费、职业年金缴费、职工基本医疗保险缴费、住房公积金、其他社会保障缴费、其他工资福利支出、退休费、抚恤金、生活补助、奖励金、其他对个人和家庭的补助支出；公用经费</w:t>
      </w:r>
      <w:r>
        <w:rPr>
          <w:rFonts w:hint="eastAsia" w:ascii="仿宋_GB2312" w:hAnsi="Times New Roman" w:eastAsia="仿宋_GB2312" w:cs="Wingdings"/>
          <w:sz w:val="32"/>
          <w:szCs w:val="32"/>
          <w:lang w:val="en-US" w:eastAsia="zh-CN"/>
        </w:rPr>
        <w:t>40.28</w:t>
      </w:r>
      <w:r>
        <w:rPr>
          <w:rFonts w:hint="eastAsia" w:ascii="仿宋_GB2312" w:hAnsi="Times New Roman" w:eastAsia="仿宋_GB2312" w:cs="Wingdings"/>
          <w:sz w:val="32"/>
          <w:szCs w:val="32"/>
        </w:rPr>
        <w:t>万元，主要包括办公费</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邮电费、取暖费、公务用车运行维护费、其他交通费用、其他商品和服务支出</w:t>
      </w:r>
      <w:r>
        <w:rPr>
          <w:rFonts w:hint="eastAsia" w:ascii="仿宋_GB2312" w:hAnsi="Times New Roman" w:eastAsia="仿宋_GB2312" w:cs="Wingdings"/>
          <w:sz w:val="32"/>
          <w:szCs w:val="32"/>
          <w:lang w:eastAsia="zh-CN"/>
        </w:rPr>
        <w:t>。</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w:t>
      </w:r>
      <w:r>
        <w:rPr>
          <w:rFonts w:hint="eastAsia" w:ascii="仿宋_GB2312" w:hAnsi="Times New Roman" w:eastAsia="仿宋_GB2312" w:cs="Wingdings"/>
          <w:sz w:val="32"/>
          <w:szCs w:val="32"/>
          <w:lang w:val="en-US" w:eastAsia="zh-CN"/>
        </w:rPr>
        <w:t>7.20</w:t>
      </w:r>
      <w:r>
        <w:rPr>
          <w:rFonts w:hint="eastAsia" w:ascii="仿宋_GB2312" w:hAnsi="Times New Roman" w:eastAsia="仿宋_GB2312" w:cs="Wingdings"/>
          <w:sz w:val="32"/>
          <w:szCs w:val="32"/>
        </w:rPr>
        <w:t>万元，支出决算为</w:t>
      </w:r>
      <w:r>
        <w:rPr>
          <w:rFonts w:hint="eastAsia" w:ascii="仿宋_GB2312" w:hAnsi="Times New Roman" w:eastAsia="仿宋_GB2312" w:cs="Wingdings"/>
          <w:sz w:val="32"/>
          <w:szCs w:val="32"/>
          <w:lang w:val="en-US" w:eastAsia="zh-CN"/>
        </w:rPr>
        <w:t>7.20</w:t>
      </w:r>
      <w:r>
        <w:rPr>
          <w:rFonts w:hint="eastAsia" w:ascii="仿宋_GB2312" w:hAnsi="Times New Roman" w:eastAsia="仿宋_GB2312" w:cs="Wingdings"/>
          <w:sz w:val="32"/>
          <w:szCs w:val="32"/>
        </w:rPr>
        <w:t>元，完成预算的</w:t>
      </w:r>
      <w:r>
        <w:rPr>
          <w:rFonts w:hint="eastAsia" w:ascii="仿宋_GB2312" w:hAnsi="Times New Roman" w:eastAsia="仿宋_GB2312" w:cs="Wingdings"/>
          <w:sz w:val="32"/>
          <w:szCs w:val="32"/>
          <w:lang w:val="en-US" w:eastAsia="zh-CN"/>
        </w:rPr>
        <w:t>100.00</w:t>
      </w:r>
      <w:r>
        <w:rPr>
          <w:rFonts w:hint="eastAsia" w:ascii="仿宋_GB2312" w:hAnsi="Times New Roman" w:eastAsia="仿宋_GB2312" w:cs="Wingdings"/>
          <w:sz w:val="32"/>
          <w:szCs w:val="32"/>
        </w:rPr>
        <w:t>%,较预算增加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2020年防火、矿山巡查增多</w:t>
      </w:r>
      <w:r>
        <w:rPr>
          <w:rFonts w:hint="eastAsia" w:ascii="仿宋_GB2312" w:hAnsi="Times New Roman" w:eastAsia="仿宋_GB2312" w:cs="Wingdings"/>
          <w:sz w:val="32"/>
          <w:szCs w:val="32"/>
        </w:rPr>
        <w:t>；较2019年度增加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2020年公车防火、矿山巡查增多</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w:t>
      </w:r>
      <w:r>
        <w:rPr>
          <w:rFonts w:hint="eastAsia" w:ascii="仿宋_GB2312" w:hAnsi="仿宋_GB2312" w:eastAsia="仿宋_GB2312" w:cs="仿宋_GB2312"/>
          <w:b w:val="0"/>
          <w:bCs w:val="0"/>
          <w:sz w:val="32"/>
          <w:szCs w:val="32"/>
          <w:lang w:val="en-US" w:eastAsia="zh-CN"/>
        </w:rPr>
        <w:t>年因公出国（境）费</w:t>
      </w:r>
      <w:r>
        <w:rPr>
          <w:rFonts w:hint="eastAsia" w:ascii="仿宋_GB2312" w:hAnsi="仿宋_GB2312" w:eastAsia="仿宋_GB2312" w:cs="仿宋_GB2312"/>
          <w:b w:val="0"/>
          <w:bCs w:val="0"/>
          <w:sz w:val="32"/>
          <w:szCs w:val="32"/>
        </w:rPr>
        <w:t>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万元，完成预算的</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w:t>
      </w:r>
      <w:r>
        <w:rPr>
          <w:rFonts w:hint="eastAsia" w:ascii="仿宋_GB2312" w:hAnsi="Times New Roman" w:eastAsia="仿宋_GB2312" w:cs="Wingdings"/>
          <w:sz w:val="32"/>
          <w:szCs w:val="32"/>
        </w:rPr>
        <w:t>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人、参加其他单位组织的因公出国（境）团组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人/无本单位组织的出国（境）团组。因公出国（境）费支出较预算增加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未发生因公出国（境）费支出</w:t>
      </w:r>
      <w:r>
        <w:rPr>
          <w:rFonts w:hint="eastAsia" w:ascii="仿宋_GB2312" w:hAnsi="Times New Roman" w:eastAsia="仿宋_GB2312" w:cs="Wingdings"/>
          <w:sz w:val="32"/>
          <w:szCs w:val="32"/>
        </w:rPr>
        <w:t>；较上年增加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未发生因公出国（境）费支出</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2.公务用车购置及运行维护费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lang w:eastAsia="zh-CN"/>
        </w:rPr>
        <w:t>本部门2020</w:t>
      </w:r>
      <w:r>
        <w:rPr>
          <w:rFonts w:hint="eastAsia" w:ascii="仿宋_GB2312" w:hAnsi="仿宋_GB2312" w:eastAsia="仿宋_GB2312" w:cs="仿宋_GB2312"/>
          <w:b w:val="0"/>
          <w:bCs w:val="0"/>
          <w:sz w:val="32"/>
          <w:szCs w:val="32"/>
          <w:lang w:val="en-US" w:eastAsia="zh-CN"/>
        </w:rPr>
        <w:t>年</w:t>
      </w:r>
      <w:r>
        <w:rPr>
          <w:rFonts w:hint="eastAsia" w:ascii="仿宋_GB2312" w:hAnsi="仿宋_GB2312" w:eastAsia="仿宋_GB2312" w:cs="仿宋_GB2312"/>
          <w:b w:val="0"/>
          <w:bCs w:val="0"/>
          <w:sz w:val="32"/>
          <w:szCs w:val="32"/>
        </w:rPr>
        <w:t>公务用车购置及运行维护费</w:t>
      </w:r>
      <w:r>
        <w:rPr>
          <w:rFonts w:hint="eastAsia" w:ascii="仿宋_GB2312" w:hAnsi="仿宋_GB2312" w:eastAsia="仿宋_GB2312" w:cs="仿宋_GB2312"/>
          <w:b w:val="0"/>
          <w:bCs w:val="0"/>
          <w:sz w:val="32"/>
          <w:szCs w:val="32"/>
          <w:lang w:eastAsia="zh-CN"/>
        </w:rPr>
        <w:t>支出</w:t>
      </w:r>
      <w:r>
        <w:rPr>
          <w:rFonts w:hint="eastAsia" w:ascii="仿宋_GB2312" w:hAnsi="仿宋_GB2312" w:eastAsia="仿宋_GB2312" w:cs="仿宋_GB2312"/>
          <w:b w:val="0"/>
          <w:bCs w:val="0"/>
          <w:sz w:val="32"/>
          <w:szCs w:val="32"/>
          <w:lang w:val="en-US" w:eastAsia="zh-CN"/>
        </w:rPr>
        <w:t>7.20</w:t>
      </w:r>
      <w:r>
        <w:rPr>
          <w:rFonts w:hint="eastAsia" w:ascii="仿宋_GB2312" w:hAnsi="仿宋_GB2312" w:eastAsia="仿宋_GB2312" w:cs="仿宋_GB2312"/>
          <w:b w:val="0"/>
          <w:bCs w:val="0"/>
          <w:sz w:val="32"/>
          <w:szCs w:val="32"/>
          <w:lang w:eastAsia="zh-CN"/>
        </w:rPr>
        <w:t>万元，完成预算的</w:t>
      </w:r>
      <w:r>
        <w:rPr>
          <w:rFonts w:hint="eastAsia" w:ascii="仿宋_GB2312" w:hAnsi="仿宋_GB2312" w:eastAsia="仿宋_GB2312" w:cs="仿宋_GB2312"/>
          <w:b w:val="0"/>
          <w:bCs w:val="0"/>
          <w:sz w:val="32"/>
          <w:szCs w:val="32"/>
          <w:lang w:val="en-US" w:eastAsia="zh-CN"/>
        </w:rPr>
        <w:t>100.00</w:t>
      </w:r>
      <w:r>
        <w:rPr>
          <w:rFonts w:hint="eastAsia" w:ascii="仿宋_GB2312" w:hAnsi="仿宋_GB2312" w:eastAsia="仿宋_GB2312" w:cs="仿宋_GB2312"/>
          <w:b w:val="0"/>
          <w:bCs w:val="0"/>
          <w:sz w:val="32"/>
          <w:szCs w:val="32"/>
          <w:lang w:eastAsia="zh-CN"/>
        </w:rPr>
        <w:t>%，</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2020年防火、矿山巡查增多</w:t>
      </w:r>
      <w:r>
        <w:rPr>
          <w:rFonts w:hint="eastAsia" w:ascii="仿宋_GB2312" w:hAnsi="Times New Roman" w:eastAsia="仿宋_GB2312" w:cs="Wingdings"/>
          <w:sz w:val="32"/>
          <w:szCs w:val="32"/>
        </w:rPr>
        <w:t>；较上年</w:t>
      </w:r>
      <w:r>
        <w:rPr>
          <w:rFonts w:hint="eastAsia" w:ascii="仿宋_GB2312" w:hAnsi="Times New Roman" w:eastAsia="仿宋_GB2312" w:cs="Wingdings"/>
          <w:sz w:val="32"/>
          <w:szCs w:val="32"/>
          <w:lang w:eastAsia="zh-CN"/>
        </w:rPr>
        <w:t>增加</w:t>
      </w:r>
      <w:r>
        <w:rPr>
          <w:rFonts w:hint="eastAsia" w:ascii="仿宋_GB2312" w:hAnsi="Times New Roman" w:eastAsia="仿宋_GB2312" w:cs="Wingdings"/>
          <w:sz w:val="32"/>
          <w:szCs w:val="32"/>
          <w:lang w:val="en-US" w:eastAsia="zh-CN"/>
        </w:rPr>
        <w:t>0.03</w:t>
      </w:r>
      <w:r>
        <w:rPr>
          <w:rFonts w:hint="eastAsia" w:ascii="仿宋_GB2312" w:hAnsi="Times New Roman" w:eastAsia="仿宋_GB2312" w:cs="Wingdings"/>
          <w:sz w:val="32"/>
          <w:szCs w:val="32"/>
        </w:rPr>
        <w:t>万元，</w:t>
      </w:r>
      <w:r>
        <w:rPr>
          <w:rFonts w:hint="eastAsia" w:ascii="仿宋_GB2312" w:hAnsi="Times New Roman" w:eastAsia="仿宋_GB2312" w:cs="Wingdings"/>
          <w:sz w:val="32"/>
          <w:szCs w:val="32"/>
          <w:lang w:eastAsia="zh-CN"/>
        </w:rPr>
        <w:t>增长</w:t>
      </w:r>
      <w:r>
        <w:rPr>
          <w:rFonts w:hint="eastAsia" w:ascii="仿宋_GB2312" w:hAnsi="Times New Roman" w:eastAsia="仿宋_GB2312" w:cs="Wingdings"/>
          <w:sz w:val="32"/>
          <w:szCs w:val="32"/>
          <w:lang w:val="en-US" w:eastAsia="zh-CN"/>
        </w:rPr>
        <w:t>4.18</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2020年防火、矿山巡查增多</w:t>
      </w:r>
      <w:r>
        <w:rPr>
          <w:rFonts w:hint="eastAsia" w:ascii="仿宋_GB2312" w:hAnsi="Times New Roman" w:eastAsia="仿宋_GB2312" w:cs="Wingdings"/>
          <w:sz w:val="32"/>
          <w:szCs w:val="32"/>
        </w:rPr>
        <w:t>。</w:t>
      </w:r>
      <w:r>
        <w:rPr>
          <w:rFonts w:hint="eastAsia" w:ascii="仿宋_GB2312" w:hAnsi="Times New Roman" w:eastAsia="仿宋_GB2312" w:cs="Mongolian Baiti"/>
          <w:b/>
          <w:bCs/>
          <w:sz w:val="32"/>
          <w:szCs w:val="32"/>
        </w:rPr>
        <w:t>其中：</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辆，发生“公务用车购置”经费支出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万元。公务用车购置费支出较预算增加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未发生公务用车购置经费支出</w:t>
      </w:r>
      <w:r>
        <w:rPr>
          <w:rFonts w:hint="eastAsia" w:ascii="仿宋_GB2312" w:hAnsi="Times New Roman" w:eastAsia="仿宋_GB2312" w:cs="Wingdings"/>
          <w:sz w:val="32"/>
          <w:szCs w:val="32"/>
        </w:rPr>
        <w:t>；较上年增加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未发生公务用车购置经费支出</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w:t>
      </w:r>
      <w:r>
        <w:rPr>
          <w:rFonts w:hint="eastAsia" w:ascii="仿宋_GB2312" w:hAnsi="Times New Roman" w:eastAsia="仿宋_GB2312" w:cs="Wingdings"/>
          <w:sz w:val="32"/>
          <w:szCs w:val="32"/>
          <w:lang w:val="en-US" w:eastAsia="zh-CN"/>
        </w:rPr>
        <w:t>3</w:t>
      </w:r>
      <w:r>
        <w:rPr>
          <w:rFonts w:hint="eastAsia" w:ascii="仿宋_GB2312" w:hAnsi="Times New Roman" w:eastAsia="仿宋_GB2312" w:cs="Wingdings"/>
          <w:sz w:val="32"/>
          <w:szCs w:val="32"/>
        </w:rPr>
        <w:t>辆</w:t>
      </w:r>
      <w:r>
        <w:rPr>
          <w:rFonts w:hint="eastAsia" w:ascii="仿宋_GB2312" w:hAnsi="Times New Roman" w:eastAsia="仿宋_GB2312" w:cs="Wingdings"/>
          <w:sz w:val="32"/>
          <w:szCs w:val="32"/>
          <w:lang w:val="en-US" w:eastAsia="zh-CN"/>
        </w:rPr>
        <w:t>,发生运行维护费支出7.20万元，</w:t>
      </w:r>
      <w:r>
        <w:rPr>
          <w:rFonts w:hint="eastAsia" w:ascii="仿宋_GB2312" w:hAnsi="Times New Roman" w:eastAsia="仿宋_GB2312" w:cs="Wingdings"/>
          <w:sz w:val="32"/>
          <w:szCs w:val="32"/>
        </w:rPr>
        <w:t>。公车运行维护费支出较预算增加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2020年防火、矿山巡查增多</w:t>
      </w:r>
      <w:r>
        <w:rPr>
          <w:rFonts w:hint="eastAsia" w:ascii="仿宋_GB2312" w:hAnsi="Times New Roman" w:eastAsia="仿宋_GB2312" w:cs="Wingdings"/>
          <w:sz w:val="32"/>
          <w:szCs w:val="32"/>
        </w:rPr>
        <w:t>；较上年增加</w:t>
      </w:r>
      <w:r>
        <w:rPr>
          <w:rFonts w:hint="eastAsia" w:ascii="仿宋_GB2312" w:hAnsi="Times New Roman" w:eastAsia="仿宋_GB2312" w:cs="Wingdings"/>
          <w:sz w:val="32"/>
          <w:szCs w:val="32"/>
          <w:lang w:val="en-US" w:eastAsia="zh-CN"/>
        </w:rPr>
        <w:t>0.03</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4.18</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2020年公车防火、矿山巡查增多</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3.公务接待费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本部门2020年公务用车购置及运行维护费支出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万元，完成预算的</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发生</w:t>
      </w:r>
      <w:r>
        <w:rPr>
          <w:rFonts w:hint="eastAsia" w:ascii="仿宋_GB2312" w:hAnsi="Times New Roman" w:eastAsia="仿宋_GB2312" w:cs="Wingdings"/>
          <w:sz w:val="32"/>
          <w:szCs w:val="32"/>
        </w:rPr>
        <w:t>公务接待共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批次、</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人次。公务接待费支出较预算减少</w:t>
      </w:r>
      <w:r>
        <w:rPr>
          <w:rFonts w:hint="eastAsia" w:ascii="仿宋_GB2312" w:hAnsi="Times New Roman" w:eastAsia="仿宋_GB2312" w:cs="Wingdings"/>
          <w:sz w:val="32"/>
          <w:szCs w:val="32"/>
          <w:lang w:val="en-US" w:eastAsia="zh-CN"/>
        </w:rPr>
        <w:t>0.86</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100.00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未发生公务接待费支出</w:t>
      </w:r>
      <w:r>
        <w:rPr>
          <w:rFonts w:hint="eastAsia" w:ascii="仿宋_GB2312" w:hAnsi="Times New Roman" w:eastAsia="仿宋_GB2312" w:cs="Wingdings"/>
          <w:sz w:val="32"/>
          <w:szCs w:val="32"/>
        </w:rPr>
        <w:t>；较上年度减少</w:t>
      </w:r>
      <w:r>
        <w:rPr>
          <w:rFonts w:hint="eastAsia" w:ascii="仿宋_GB2312" w:hAnsi="Times New Roman" w:eastAsia="仿宋_GB2312" w:cs="Wingdings"/>
          <w:sz w:val="32"/>
          <w:szCs w:val="32"/>
          <w:lang w:val="en-US" w:eastAsia="zh-CN"/>
        </w:rPr>
        <w:t>0.87</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100.00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未发生公务接待费支出</w:t>
      </w:r>
      <w:r>
        <w:rPr>
          <w:rFonts w:hint="eastAsia" w:ascii="仿宋_GB2312" w:hAnsi="Times New Roman" w:eastAsia="仿宋_GB2312" w:cs="Wingdings"/>
          <w:sz w:val="32"/>
          <w:szCs w:val="32"/>
        </w:rPr>
        <w:t>。</w:t>
      </w: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根据预算绩效管理要求，本部门组织对2020年度项目支出全面开展绩效自评，其中，一般公共预算</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级项目</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704.93</w:t>
      </w:r>
      <w:r>
        <w:rPr>
          <w:rFonts w:hint="eastAsia"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100.00%</w:t>
      </w:r>
      <w:r>
        <w:rPr>
          <w:rFonts w:hint="eastAsia" w:ascii="仿宋_GB2312" w:hAnsi="仿宋_GB2312" w:eastAsia="仿宋_GB2312" w:cs="仿宋_GB2312"/>
          <w:sz w:val="32"/>
          <w:szCs w:val="32"/>
        </w:rPr>
        <w:t>；政府性基金预算</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级项目</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万元，占政府性基金预算项目支出总额的</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组织对“</w:t>
      </w:r>
      <w:r>
        <w:rPr>
          <w:rFonts w:hint="eastAsia" w:ascii="仿宋_GB2312" w:hAnsi="仿宋_GB2312" w:eastAsia="仿宋_GB2312" w:cs="仿宋_GB2312"/>
          <w:sz w:val="32"/>
          <w:szCs w:val="32"/>
          <w:lang w:eastAsia="zh-CN"/>
        </w:rPr>
        <w:t>办公楼防水工程经费，</w:t>
      </w:r>
      <w:r>
        <w:rPr>
          <w:rFonts w:hint="eastAsia" w:ascii="仿宋_GB2312" w:hAnsi="仿宋_GB2312" w:eastAsia="仿宋_GB2312" w:cs="仿宋_GB2312"/>
          <w:sz w:val="32"/>
          <w:szCs w:val="32"/>
          <w:lang w:val="en-US" w:eastAsia="zh-CN"/>
        </w:rPr>
        <w:t>河道清理经费，2020年7-9月区财政局农村“两委”干部补贴资金等12个项目</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级项目开展了部门评价，涉及一般公共预算支出</w:t>
      </w:r>
      <w:r>
        <w:rPr>
          <w:rFonts w:hint="eastAsia" w:ascii="仿宋_GB2312" w:hAnsi="仿宋_GB2312" w:eastAsia="仿宋_GB2312" w:cs="仿宋_GB2312"/>
          <w:sz w:val="32"/>
          <w:szCs w:val="32"/>
          <w:lang w:val="en-US" w:eastAsia="zh-CN"/>
        </w:rPr>
        <w:t>125.22</w:t>
      </w:r>
      <w:r>
        <w:rPr>
          <w:rFonts w:hint="eastAsia" w:ascii="仿宋_GB2312" w:hAnsi="仿宋_GB2312" w:eastAsia="仿宋_GB2312" w:cs="仿宋_GB2312"/>
          <w:sz w:val="32"/>
          <w:szCs w:val="32"/>
        </w:rPr>
        <w:t>万元，政府性基金预算支出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万元。其中，对“</w:t>
      </w:r>
      <w:r>
        <w:rPr>
          <w:rFonts w:hint="eastAsia" w:ascii="仿宋_GB2312" w:hAnsi="仿宋_GB2312" w:eastAsia="仿宋_GB2312" w:cs="仿宋_GB2312"/>
          <w:sz w:val="32"/>
          <w:szCs w:val="32"/>
          <w:lang w:val="en-US" w:eastAsia="zh-CN"/>
        </w:rPr>
        <w:t>村干部基础职务补贴</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维稳经费</w:t>
      </w:r>
      <w:r>
        <w:rPr>
          <w:rFonts w:hint="eastAsia" w:ascii="仿宋_GB2312" w:hAnsi="仿宋_GB2312" w:eastAsia="仿宋_GB2312" w:cs="仿宋_GB2312"/>
          <w:sz w:val="32"/>
          <w:szCs w:val="32"/>
        </w:rPr>
        <w:t>”等项目分别委托</w:t>
      </w:r>
      <w:r>
        <w:rPr>
          <w:rFonts w:hint="eastAsia" w:ascii="仿宋_GB2312" w:hAnsi="仿宋_GB2312" w:eastAsia="仿宋_GB2312" w:cs="仿宋_GB2312"/>
          <w:sz w:val="32"/>
          <w:szCs w:val="32"/>
          <w:lang w:val="en-US" w:eastAsia="zh-CN"/>
        </w:rPr>
        <w:t>单位内控</w:t>
      </w:r>
      <w:r>
        <w:rPr>
          <w:rFonts w:hint="eastAsia" w:ascii="仿宋_GB2312" w:hAnsi="仿宋_GB2312" w:eastAsia="仿宋_GB2312" w:cs="仿宋_GB2312"/>
          <w:sz w:val="32"/>
          <w:szCs w:val="32"/>
        </w:rPr>
        <w:t>机构开展绩效评价。从评价情况来看，本部门对</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个项目均能按时、按质、按量对资金予以作用及发放到位。</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w:t>
      </w:r>
      <w:r>
        <w:rPr>
          <w:rFonts w:hint="eastAsia" w:ascii="仿宋_GB2312" w:hAnsi="仿宋_GB2312" w:eastAsia="仿宋_GB2312" w:cs="仿宋_GB2312"/>
          <w:sz w:val="32"/>
          <w:szCs w:val="32"/>
          <w:lang w:val="en-US" w:eastAsia="zh-CN"/>
        </w:rPr>
        <w:t>一般公共预算</w:t>
      </w:r>
      <w:r>
        <w:rPr>
          <w:rFonts w:hint="eastAsia" w:ascii="仿宋_GB2312" w:hAnsi="仿宋_GB2312" w:eastAsia="仿宋_GB2312" w:cs="仿宋_GB2312"/>
          <w:sz w:val="32"/>
          <w:szCs w:val="32"/>
        </w:rPr>
        <w:t>项目及</w:t>
      </w:r>
      <w:r>
        <w:rPr>
          <w:rFonts w:hint="eastAsia" w:ascii="仿宋_GB2312" w:hAnsi="仿宋_GB2312" w:eastAsia="仿宋_GB2312" w:cs="仿宋_GB2312"/>
          <w:sz w:val="32"/>
          <w:szCs w:val="32"/>
          <w:lang w:val="en-US" w:eastAsia="zh-CN"/>
        </w:rPr>
        <w:t>政府性基金预算</w:t>
      </w:r>
      <w:r>
        <w:rPr>
          <w:rFonts w:hint="eastAsia" w:ascii="仿宋_GB2312" w:hAnsi="仿宋_GB2312" w:eastAsia="仿宋_GB2312" w:cs="仿宋_GB2312"/>
          <w:sz w:val="32"/>
          <w:szCs w:val="32"/>
        </w:rPr>
        <w:t>项目等</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个项目绩效自评结果。</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补充工作经费</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补充工作经费</w:t>
      </w:r>
      <w:r>
        <w:rPr>
          <w:rFonts w:hint="eastAsia" w:ascii="仿宋_GB2312" w:hAnsi="仿宋_GB2312" w:eastAsia="仿宋_GB2312" w:cs="仿宋_GB2312"/>
          <w:sz w:val="32"/>
          <w:szCs w:val="32"/>
        </w:rPr>
        <w:t>”项目绩效自评得分为100分（绩效自评表附后）。全年预算数为</w:t>
      </w:r>
      <w:r>
        <w:rPr>
          <w:rFonts w:hint="eastAsia" w:ascii="仿宋_GB2312" w:hAnsi="仿宋_GB2312" w:eastAsia="仿宋_GB2312" w:cs="仿宋_GB2312"/>
          <w:sz w:val="32"/>
          <w:szCs w:val="32"/>
          <w:lang w:val="en-US" w:eastAsia="zh-CN"/>
        </w:rPr>
        <w:t>13.00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13.00</w:t>
      </w:r>
      <w:r>
        <w:rPr>
          <w:rFonts w:hint="eastAsia" w:ascii="仿宋_GB2312" w:hAnsi="仿宋_GB2312" w:eastAsia="仿宋_GB2312" w:cs="仿宋_GB2312"/>
          <w:sz w:val="32"/>
          <w:szCs w:val="32"/>
        </w:rPr>
        <w:t>万元，完成预算的100%。项目绩效目标完成情况：</w:t>
      </w:r>
      <w:r>
        <w:rPr>
          <w:rFonts w:hint="eastAsia" w:ascii="仿宋_GB2312" w:hAnsi="仿宋_GB2312" w:eastAsia="仿宋_GB2312" w:cs="仿宋_GB2312"/>
          <w:sz w:val="32"/>
          <w:szCs w:val="32"/>
          <w:highlight w:val="none"/>
        </w:rPr>
        <w:t>一是</w:t>
      </w:r>
      <w:r>
        <w:rPr>
          <w:rFonts w:hint="eastAsia" w:ascii="仿宋_GB2312" w:hAnsi="仿宋_GB2312" w:eastAsia="仿宋_GB2312" w:cs="仿宋_GB2312"/>
          <w:sz w:val="32"/>
          <w:szCs w:val="32"/>
          <w:highlight w:val="none"/>
          <w:lang w:eastAsia="zh-CN"/>
        </w:rPr>
        <w:t>解决乡财政运转困难</w:t>
      </w:r>
      <w:r>
        <w:rPr>
          <w:rFonts w:hint="eastAsia" w:ascii="仿宋_GB2312" w:hAnsi="仿宋_GB2312" w:eastAsia="仿宋_GB2312" w:cs="仿宋_GB2312"/>
          <w:sz w:val="32"/>
          <w:szCs w:val="32"/>
          <w:highlight w:val="none"/>
        </w:rPr>
        <w:t>；二是</w:t>
      </w:r>
      <w:r>
        <w:rPr>
          <w:rFonts w:hint="eastAsia" w:ascii="仿宋_GB2312" w:hAnsi="仿宋_GB2312" w:eastAsia="仿宋_GB2312" w:cs="仿宋_GB2312"/>
          <w:sz w:val="32"/>
          <w:szCs w:val="32"/>
          <w:highlight w:val="none"/>
          <w:lang w:eastAsia="zh-CN"/>
        </w:rPr>
        <w:t>缓解机关正常运转出现的困难</w:t>
      </w:r>
      <w:r>
        <w:rPr>
          <w:rFonts w:hint="eastAsia" w:ascii="仿宋_GB2312" w:hAnsi="仿宋_GB2312" w:eastAsia="仿宋_GB2312" w:cs="仿宋_GB2312"/>
          <w:sz w:val="32"/>
          <w:szCs w:val="32"/>
          <w:highlight w:val="none"/>
        </w:rPr>
        <w:t>。发</w:t>
      </w:r>
      <w:r>
        <w:rPr>
          <w:rFonts w:hint="eastAsia" w:ascii="仿宋_GB2312" w:hAnsi="仿宋_GB2312" w:eastAsia="仿宋_GB2312" w:cs="仿宋_GB2312"/>
          <w:sz w:val="32"/>
          <w:szCs w:val="32"/>
        </w:rPr>
        <w:t>现的主要问题及原因：无。下一步改进措施：无。</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补充办公经费</w:t>
      </w:r>
      <w:r>
        <w:rPr>
          <w:rFonts w:hint="eastAsia" w:ascii="仿宋_GB2312" w:hAnsi="仿宋_GB2312" w:eastAsia="仿宋_GB2312" w:cs="仿宋_GB2312"/>
          <w:sz w:val="32"/>
          <w:szCs w:val="32"/>
        </w:rPr>
        <w:t>”项目自评综述： “</w:t>
      </w:r>
      <w:r>
        <w:rPr>
          <w:rFonts w:hint="eastAsia" w:ascii="仿宋_GB2312" w:hAnsi="仿宋_GB2312" w:eastAsia="仿宋_GB2312" w:cs="仿宋_GB2312"/>
          <w:sz w:val="32"/>
          <w:szCs w:val="32"/>
          <w:lang w:val="en-US" w:eastAsia="zh-CN"/>
        </w:rPr>
        <w:t>补充办公经费</w:t>
      </w:r>
      <w:r>
        <w:rPr>
          <w:rFonts w:hint="eastAsia" w:ascii="仿宋_GB2312" w:hAnsi="仿宋_GB2312" w:eastAsia="仿宋_GB2312" w:cs="仿宋_GB2312"/>
          <w:sz w:val="32"/>
          <w:szCs w:val="32"/>
        </w:rPr>
        <w:t>”项目绩效自评得分为100分（绩效自评表附后）。全年预算数为</w:t>
      </w:r>
      <w:r>
        <w:rPr>
          <w:rFonts w:hint="eastAsia" w:ascii="仿宋_GB2312" w:hAnsi="仿宋_GB2312" w:eastAsia="仿宋_GB2312" w:cs="仿宋_GB2312"/>
          <w:sz w:val="32"/>
          <w:szCs w:val="32"/>
          <w:lang w:val="en-US" w:eastAsia="zh-CN"/>
        </w:rPr>
        <w:t>4.50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4.50</w:t>
      </w:r>
      <w:r>
        <w:rPr>
          <w:rFonts w:hint="eastAsia" w:ascii="仿宋_GB2312" w:hAnsi="仿宋_GB2312" w:eastAsia="仿宋_GB2312" w:cs="仿宋_GB2312"/>
          <w:sz w:val="32"/>
          <w:szCs w:val="32"/>
        </w:rPr>
        <w:t>万元，完成预算的100%。项目绩效目标完成情况：</w:t>
      </w:r>
      <w:r>
        <w:rPr>
          <w:rFonts w:hint="eastAsia" w:ascii="仿宋_GB2312" w:hAnsi="仿宋_GB2312" w:eastAsia="仿宋_GB2312" w:cs="仿宋_GB2312"/>
          <w:sz w:val="32"/>
          <w:szCs w:val="32"/>
          <w:highlight w:val="none"/>
        </w:rPr>
        <w:t>一是</w:t>
      </w:r>
      <w:r>
        <w:rPr>
          <w:rFonts w:hint="eastAsia" w:ascii="仿宋_GB2312" w:hAnsi="仿宋_GB2312" w:eastAsia="仿宋_GB2312" w:cs="仿宋_GB2312"/>
          <w:sz w:val="32"/>
          <w:szCs w:val="32"/>
          <w:highlight w:val="none"/>
          <w:lang w:eastAsia="zh-CN"/>
        </w:rPr>
        <w:t>解决乡财政运转困难</w:t>
      </w:r>
      <w:r>
        <w:rPr>
          <w:rFonts w:hint="eastAsia" w:ascii="仿宋_GB2312" w:hAnsi="仿宋_GB2312" w:eastAsia="仿宋_GB2312" w:cs="仿宋_GB2312"/>
          <w:sz w:val="32"/>
          <w:szCs w:val="32"/>
          <w:highlight w:val="none"/>
        </w:rPr>
        <w:t>；二是</w:t>
      </w:r>
      <w:r>
        <w:rPr>
          <w:rFonts w:hint="eastAsia" w:ascii="仿宋_GB2312" w:hAnsi="仿宋_GB2312" w:eastAsia="仿宋_GB2312" w:cs="仿宋_GB2312"/>
          <w:sz w:val="32"/>
          <w:szCs w:val="32"/>
          <w:highlight w:val="none"/>
          <w:lang w:eastAsia="zh-CN"/>
        </w:rPr>
        <w:t>缓解机关正常运转出现的困难</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rPr>
        <w:t>发现的主要问题及原因：无。下一步改进措施：无。</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维稳经费</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val="en-US" w:eastAsia="zh-CN"/>
        </w:rPr>
        <w:t>3个</w:t>
      </w:r>
      <w:r>
        <w:rPr>
          <w:rFonts w:hint="eastAsia" w:ascii="仿宋_GB2312" w:hAnsi="仿宋_GB2312" w:eastAsia="仿宋_GB2312" w:cs="仿宋_GB2312"/>
          <w:sz w:val="32"/>
          <w:szCs w:val="32"/>
        </w:rPr>
        <w:t>自评综述：根据年初设定的绩效目标，“</w:t>
      </w:r>
      <w:r>
        <w:rPr>
          <w:rFonts w:hint="eastAsia" w:ascii="仿宋_GB2312" w:hAnsi="仿宋_GB2312" w:eastAsia="仿宋_GB2312" w:cs="仿宋_GB2312"/>
          <w:sz w:val="32"/>
          <w:szCs w:val="32"/>
          <w:lang w:val="en-US" w:eastAsia="zh-CN"/>
        </w:rPr>
        <w:t>维稳经费</w:t>
      </w:r>
      <w:r>
        <w:rPr>
          <w:rFonts w:hint="eastAsia" w:ascii="仿宋_GB2312" w:hAnsi="仿宋_GB2312" w:eastAsia="仿宋_GB2312" w:cs="仿宋_GB2312"/>
          <w:sz w:val="32"/>
          <w:szCs w:val="32"/>
        </w:rPr>
        <w:t>”项目绩效自评得分为100分（绩效自评表附后）。全年预算数为</w:t>
      </w:r>
      <w:r>
        <w:rPr>
          <w:rFonts w:hint="eastAsia" w:ascii="仿宋_GB2312" w:hAnsi="仿宋_GB2312" w:eastAsia="仿宋_GB2312" w:cs="仿宋_GB2312"/>
          <w:sz w:val="32"/>
          <w:szCs w:val="32"/>
          <w:lang w:val="en-US" w:eastAsia="zh-CN"/>
        </w:rPr>
        <w:t>13.00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13.00</w:t>
      </w:r>
      <w:r>
        <w:rPr>
          <w:rFonts w:hint="eastAsia" w:ascii="仿宋_GB2312" w:hAnsi="仿宋_GB2312" w:eastAsia="仿宋_GB2312" w:cs="仿宋_GB2312"/>
          <w:sz w:val="32"/>
          <w:szCs w:val="32"/>
        </w:rPr>
        <w:t>万元，完成预算的100%。项目绩效目标完成情况</w:t>
      </w:r>
      <w:r>
        <w:rPr>
          <w:rFonts w:hint="eastAsia" w:ascii="仿宋_GB2312" w:hAnsi="仿宋_GB2312" w:eastAsia="仿宋_GB2312" w:cs="仿宋_GB2312"/>
          <w:sz w:val="32"/>
          <w:szCs w:val="32"/>
          <w:highlight w:val="none"/>
        </w:rPr>
        <w:t>：一是</w:t>
      </w:r>
      <w:r>
        <w:rPr>
          <w:rFonts w:hint="eastAsia" w:ascii="仿宋_GB2312" w:hAnsi="仿宋_GB2312" w:eastAsia="仿宋_GB2312" w:cs="仿宋_GB2312"/>
          <w:sz w:val="32"/>
          <w:szCs w:val="32"/>
          <w:highlight w:val="none"/>
          <w:lang w:eastAsia="zh-CN"/>
        </w:rPr>
        <w:t>保障全乡信访稳定工作的开展，完成区委、区政府有关要求；二是保障群众生活环境的稳定和谐。</w:t>
      </w:r>
      <w:r>
        <w:rPr>
          <w:rFonts w:hint="eastAsia" w:ascii="仿宋_GB2312" w:hAnsi="仿宋_GB2312" w:eastAsia="仿宋_GB2312" w:cs="仿宋_GB2312"/>
          <w:sz w:val="32"/>
          <w:szCs w:val="32"/>
          <w:highlight w:val="none"/>
        </w:rPr>
        <w:t>发现的主要问题及原因：</w:t>
      </w:r>
      <w:r>
        <w:rPr>
          <w:rFonts w:hint="eastAsia" w:ascii="仿宋_GB2312" w:hAnsi="仿宋_GB2312" w:eastAsia="仿宋_GB2312" w:cs="仿宋_GB2312"/>
          <w:sz w:val="32"/>
          <w:szCs w:val="32"/>
        </w:rPr>
        <w:t>无。下一步改进措施：无。</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办公楼防水工程经费</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办公楼防水工程经费</w:t>
      </w:r>
      <w:r>
        <w:rPr>
          <w:rFonts w:hint="eastAsia" w:ascii="仿宋_GB2312" w:hAnsi="仿宋_GB2312" w:eastAsia="仿宋_GB2312" w:cs="仿宋_GB2312"/>
          <w:sz w:val="32"/>
          <w:szCs w:val="32"/>
        </w:rPr>
        <w:t>”项目绩效自评得分为100分（绩效自评表附后）。全年预算数为</w:t>
      </w:r>
      <w:r>
        <w:rPr>
          <w:rFonts w:hint="eastAsia" w:ascii="仿宋_GB2312" w:hAnsi="仿宋_GB2312" w:eastAsia="仿宋_GB2312" w:cs="仿宋_GB2312"/>
          <w:sz w:val="32"/>
          <w:szCs w:val="32"/>
          <w:lang w:val="en-US" w:eastAsia="zh-CN"/>
        </w:rPr>
        <w:t>3.00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3.00</w:t>
      </w:r>
      <w:r>
        <w:rPr>
          <w:rFonts w:hint="eastAsia" w:ascii="仿宋_GB2312" w:hAnsi="仿宋_GB2312" w:eastAsia="仿宋_GB2312" w:cs="仿宋_GB2312"/>
          <w:sz w:val="32"/>
          <w:szCs w:val="32"/>
        </w:rPr>
        <w:t>万元，完成预算的100%。项目绩效目标完成情况：一是</w:t>
      </w:r>
      <w:r>
        <w:rPr>
          <w:rFonts w:hint="eastAsia" w:ascii="仿宋_GB2312" w:hAnsi="仿宋_GB2312" w:eastAsia="仿宋_GB2312" w:cs="仿宋_GB2312"/>
          <w:sz w:val="32"/>
          <w:szCs w:val="32"/>
          <w:lang w:eastAsia="zh-CN"/>
        </w:rPr>
        <w:t>对办公楼顶进行防水工程修缮，促使我乡工作环境得到改善</w:t>
      </w:r>
      <w:r>
        <w:rPr>
          <w:rFonts w:hint="eastAsia" w:ascii="仿宋_GB2312" w:hAnsi="仿宋_GB2312" w:eastAsia="仿宋_GB2312" w:cs="仿宋_GB2312"/>
          <w:sz w:val="32"/>
          <w:szCs w:val="32"/>
        </w:rPr>
        <w:t>；二是</w:t>
      </w:r>
      <w:r>
        <w:rPr>
          <w:rFonts w:hint="eastAsia" w:ascii="仿宋_GB2312" w:hAnsi="仿宋_GB2312" w:eastAsia="仿宋_GB2312" w:cs="仿宋_GB2312"/>
          <w:sz w:val="32"/>
          <w:szCs w:val="32"/>
          <w:lang w:eastAsia="zh-CN"/>
        </w:rPr>
        <w:t>减轻乡财政压力，保障乡政府正常办公</w:t>
      </w:r>
      <w:r>
        <w:rPr>
          <w:rFonts w:hint="eastAsia" w:ascii="仿宋_GB2312" w:hAnsi="仿宋_GB2312" w:eastAsia="仿宋_GB2312" w:cs="仿宋_GB2312"/>
          <w:sz w:val="32"/>
          <w:szCs w:val="32"/>
        </w:rPr>
        <w:t>。发现的主要问题及原因：无。下一步改进措施：无。</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en-US" w:eastAsia="zh-CN"/>
        </w:rPr>
        <w:t>建设岭西村界河路口限高设施费用</w:t>
      </w:r>
      <w:r>
        <w:rPr>
          <w:rFonts w:hint="eastAsia" w:ascii="仿宋_GB2312" w:hAnsi="仿宋_GB2312" w:eastAsia="仿宋_GB2312" w:cs="仿宋_GB2312"/>
          <w:sz w:val="32"/>
          <w:szCs w:val="32"/>
        </w:rPr>
        <w:t>” 项目自评综述：根据年初设定的绩效目标，“</w:t>
      </w:r>
      <w:r>
        <w:rPr>
          <w:rFonts w:hint="eastAsia" w:ascii="仿宋_GB2312" w:hAnsi="仿宋_GB2312" w:eastAsia="仿宋_GB2312" w:cs="仿宋_GB2312"/>
          <w:sz w:val="32"/>
          <w:szCs w:val="32"/>
          <w:lang w:val="en-US" w:eastAsia="zh-CN"/>
        </w:rPr>
        <w:t>建设岭西村界河路口限高设施费用</w:t>
      </w:r>
      <w:r>
        <w:rPr>
          <w:rFonts w:hint="eastAsia" w:ascii="仿宋_GB2312" w:hAnsi="仿宋_GB2312" w:eastAsia="仿宋_GB2312" w:cs="仿宋_GB2312"/>
          <w:sz w:val="32"/>
          <w:szCs w:val="32"/>
        </w:rPr>
        <w:t>”项目绩效自评得分为100分（绩效自评表附后）。全年预算数为</w:t>
      </w:r>
      <w:r>
        <w:rPr>
          <w:rFonts w:hint="eastAsia" w:ascii="仿宋_GB2312" w:hAnsi="仿宋_GB2312" w:eastAsia="仿宋_GB2312" w:cs="仿宋_GB2312"/>
          <w:sz w:val="32"/>
          <w:szCs w:val="32"/>
          <w:lang w:val="en-US" w:eastAsia="zh-CN"/>
        </w:rPr>
        <w:t>5.00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4.91</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98.14</w:t>
      </w:r>
      <w:r>
        <w:rPr>
          <w:rFonts w:hint="eastAsia" w:ascii="仿宋_GB2312" w:hAnsi="仿宋_GB2312" w:eastAsia="仿宋_GB2312" w:cs="仿宋_GB2312"/>
          <w:sz w:val="32"/>
          <w:szCs w:val="32"/>
        </w:rPr>
        <w:t>%。项目绩效目标完成情况：一是</w:t>
      </w:r>
      <w:r>
        <w:rPr>
          <w:rFonts w:hint="eastAsia" w:ascii="仿宋_GB2312" w:hAnsi="仿宋_GB2312" w:eastAsia="仿宋_GB2312" w:cs="仿宋_GB2312"/>
          <w:sz w:val="32"/>
          <w:szCs w:val="32"/>
          <w:lang w:eastAsia="zh-CN"/>
        </w:rPr>
        <w:t>安装限高装置，保障农户农资和果品正常运输安全；二是修整损毁道路，保障农户农资和果品运输安全，提高农户经济收入</w:t>
      </w:r>
      <w:r>
        <w:rPr>
          <w:rFonts w:hint="eastAsia" w:ascii="仿宋_GB2312" w:hAnsi="仿宋_GB2312" w:eastAsia="仿宋_GB2312" w:cs="仿宋_GB2312"/>
          <w:sz w:val="32"/>
          <w:szCs w:val="32"/>
        </w:rPr>
        <w:t>。发现的主要问题及原因：无。下一步改进措施：无。</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val="en-US" w:eastAsia="zh-CN"/>
        </w:rPr>
        <w:t>河道清理经费</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河道清理经费</w:t>
      </w:r>
      <w:r>
        <w:rPr>
          <w:rFonts w:hint="eastAsia" w:ascii="仿宋_GB2312" w:hAnsi="仿宋_GB2312" w:eastAsia="仿宋_GB2312" w:cs="仿宋_GB2312"/>
          <w:sz w:val="32"/>
          <w:szCs w:val="32"/>
        </w:rPr>
        <w:t>”项目绩效自评得分为100分（绩效自评表附后）。全年预算数为</w:t>
      </w:r>
      <w:r>
        <w:rPr>
          <w:rFonts w:hint="eastAsia" w:ascii="仿宋_GB2312" w:hAnsi="仿宋_GB2312" w:eastAsia="仿宋_GB2312" w:cs="仿宋_GB2312"/>
          <w:sz w:val="32"/>
          <w:szCs w:val="32"/>
          <w:lang w:val="en-US" w:eastAsia="zh-CN"/>
        </w:rPr>
        <w:t>8.00</w:t>
      </w:r>
      <w:r>
        <w:rPr>
          <w:rFonts w:hint="eastAsia" w:ascii="仿宋_GB2312" w:hAnsi="仿宋_GB2312" w:eastAsia="仿宋_GB2312" w:cs="仿宋_GB2312"/>
          <w:sz w:val="32"/>
          <w:szCs w:val="32"/>
        </w:rPr>
        <w:t>万元，执</w:t>
      </w:r>
      <w:r>
        <w:rPr>
          <w:rFonts w:hint="eastAsia" w:ascii="仿宋_GB2312" w:hAnsi="仿宋_GB2312" w:eastAsia="仿宋_GB2312" w:cs="仿宋_GB2312"/>
          <w:sz w:val="32"/>
          <w:szCs w:val="32"/>
          <w:highlight w:val="none"/>
        </w:rPr>
        <w:t>行数为</w:t>
      </w:r>
      <w:r>
        <w:rPr>
          <w:rFonts w:hint="eastAsia" w:ascii="仿宋_GB2312" w:hAnsi="仿宋_GB2312" w:eastAsia="仿宋_GB2312" w:cs="仿宋_GB2312"/>
          <w:sz w:val="32"/>
          <w:szCs w:val="32"/>
          <w:highlight w:val="none"/>
          <w:lang w:val="en-US" w:eastAsia="zh-CN"/>
        </w:rPr>
        <w:t>8.00</w:t>
      </w:r>
      <w:r>
        <w:rPr>
          <w:rFonts w:hint="eastAsia" w:ascii="仿宋_GB2312" w:hAnsi="仿宋_GB2312" w:eastAsia="仿宋_GB2312" w:cs="仿宋_GB2312"/>
          <w:sz w:val="32"/>
          <w:szCs w:val="32"/>
          <w:highlight w:val="none"/>
        </w:rPr>
        <w:t>万元，完成预算的100%。项目绩效目标完成情况：一是</w:t>
      </w:r>
      <w:r>
        <w:rPr>
          <w:rFonts w:hint="eastAsia" w:ascii="仿宋_GB2312" w:hAnsi="仿宋_GB2312" w:eastAsia="仿宋_GB2312" w:cs="仿宋_GB2312"/>
          <w:sz w:val="32"/>
          <w:szCs w:val="32"/>
          <w:highlight w:val="none"/>
          <w:lang w:eastAsia="zh-CN"/>
        </w:rPr>
        <w:t>保障河道在防汛期间的畅通；二是保障农村居民生活环境及生命财产安全</w:t>
      </w:r>
      <w:r>
        <w:rPr>
          <w:rFonts w:hint="eastAsia" w:ascii="仿宋_GB2312" w:hAnsi="仿宋_GB2312" w:eastAsia="仿宋_GB2312" w:cs="仿宋_GB2312"/>
          <w:sz w:val="32"/>
          <w:szCs w:val="32"/>
          <w:highlight w:val="none"/>
        </w:rPr>
        <w:t>。发现的主要问题及原因：无。下一步</w:t>
      </w:r>
      <w:r>
        <w:rPr>
          <w:rFonts w:hint="eastAsia" w:ascii="仿宋_GB2312" w:hAnsi="仿宋_GB2312" w:eastAsia="仿宋_GB2312" w:cs="仿宋_GB2312"/>
          <w:sz w:val="32"/>
          <w:szCs w:val="32"/>
        </w:rPr>
        <w:t>改进措施：无。</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val="en-US" w:eastAsia="zh-CN"/>
        </w:rPr>
        <w:t>2020年7-9月份区财政局农村两委干部补贴资金</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2020年7-9月份区财政局农村两委干部补贴资金</w:t>
      </w:r>
      <w:r>
        <w:rPr>
          <w:rFonts w:hint="eastAsia" w:ascii="仿宋_GB2312" w:hAnsi="仿宋_GB2312" w:eastAsia="仿宋_GB2312" w:cs="仿宋_GB2312"/>
          <w:sz w:val="32"/>
          <w:szCs w:val="32"/>
        </w:rPr>
        <w:t>”项目绩效自评得分为100分（绩效自评表附后）。全年预算数为</w:t>
      </w:r>
      <w:r>
        <w:rPr>
          <w:rFonts w:hint="eastAsia" w:ascii="仿宋_GB2312" w:hAnsi="仿宋_GB2312" w:eastAsia="仿宋_GB2312" w:cs="仿宋_GB2312"/>
          <w:sz w:val="32"/>
          <w:szCs w:val="32"/>
          <w:lang w:val="en-US" w:eastAsia="zh-CN"/>
        </w:rPr>
        <w:t>42.97</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42.97</w:t>
      </w:r>
      <w:r>
        <w:rPr>
          <w:rFonts w:hint="eastAsia" w:ascii="仿宋_GB2312" w:hAnsi="仿宋_GB2312" w:eastAsia="仿宋_GB2312" w:cs="仿宋_GB2312"/>
          <w:sz w:val="32"/>
          <w:szCs w:val="32"/>
        </w:rPr>
        <w:t>万元，完成预算的100%。项目绩效目标完成情况：</w:t>
      </w:r>
      <w:r>
        <w:rPr>
          <w:rFonts w:hint="eastAsia" w:ascii="仿宋_GB2312" w:hAnsi="仿宋_GB2312" w:eastAsia="仿宋_GB2312" w:cs="仿宋_GB2312"/>
          <w:sz w:val="32"/>
          <w:szCs w:val="32"/>
          <w:highlight w:val="none"/>
        </w:rPr>
        <w:t>一是</w:t>
      </w:r>
      <w:r>
        <w:rPr>
          <w:rFonts w:hint="eastAsia" w:ascii="仿宋_GB2312" w:hAnsi="仿宋_GB2312" w:eastAsia="仿宋_GB2312" w:cs="仿宋_GB2312"/>
          <w:sz w:val="32"/>
          <w:szCs w:val="32"/>
          <w:highlight w:val="none"/>
          <w:lang w:eastAsia="zh-CN"/>
        </w:rPr>
        <w:t>保障两委干部自身利益，确保村级事务正常运行；二是保障农村社会环境和生活环境和谐稳定。</w:t>
      </w:r>
      <w:r>
        <w:rPr>
          <w:rFonts w:hint="eastAsia" w:ascii="仿宋_GB2312" w:hAnsi="仿宋_GB2312" w:eastAsia="仿宋_GB2312" w:cs="仿宋_GB2312"/>
          <w:sz w:val="32"/>
          <w:szCs w:val="32"/>
        </w:rPr>
        <w:t>发现的主要问题及原因：无。下一步改进措施：无。</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）“村干部基础职务补贴”项目自评综述：根据年初设定的绩效目标，“村干部基础职务补贴”项目绩效自评得分为100分（绩效自评表附后）。全年预算数为</w:t>
      </w:r>
      <w:r>
        <w:rPr>
          <w:rFonts w:hint="eastAsia" w:ascii="仿宋_GB2312" w:hAnsi="仿宋_GB2312" w:eastAsia="仿宋_GB2312" w:cs="仿宋_GB2312"/>
          <w:sz w:val="32"/>
          <w:szCs w:val="32"/>
          <w:lang w:val="en-US" w:eastAsia="zh-CN"/>
        </w:rPr>
        <w:t>131.38</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131.38</w:t>
      </w:r>
      <w:r>
        <w:rPr>
          <w:rFonts w:hint="eastAsia" w:ascii="仿宋_GB2312" w:hAnsi="仿宋_GB2312" w:eastAsia="仿宋_GB2312" w:cs="仿宋_GB2312"/>
          <w:sz w:val="32"/>
          <w:szCs w:val="32"/>
        </w:rPr>
        <w:t>万元，完成预算的100%。项目绩效目标完成情况：一是保障了村干部的日常生活，使村干部老有所养，老有所依；二是促使村干部积极主动的开展村内各项工作，发挥积极带头作用。发现的主要问题及原因：无。下一步改进措施：无。</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 “正常离任村干部生活补贴”项目自评综述：根据年初设定的绩效目标， “正常离任村干部生活补贴”项目绩效自评得分为100分（绩效自评表附后）。全年预算数为</w:t>
      </w:r>
      <w:r>
        <w:rPr>
          <w:rFonts w:hint="eastAsia" w:ascii="仿宋_GB2312" w:hAnsi="仿宋_GB2312" w:eastAsia="仿宋_GB2312" w:cs="仿宋_GB2312"/>
          <w:sz w:val="32"/>
          <w:szCs w:val="32"/>
          <w:lang w:val="en-US" w:eastAsia="zh-CN"/>
        </w:rPr>
        <w:t>7.50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7.50</w:t>
      </w:r>
      <w:r>
        <w:rPr>
          <w:rFonts w:hint="eastAsia" w:ascii="仿宋_GB2312" w:hAnsi="仿宋_GB2312" w:eastAsia="仿宋_GB2312" w:cs="仿宋_GB2312"/>
          <w:sz w:val="32"/>
          <w:szCs w:val="32"/>
        </w:rPr>
        <w:t>万元，完成预算的100%。项目绩效目标完成情况：一是保障了正常离任村干部的日常生活；二是体现了党组织对离任村干部的关怀。发现的主要问题及原因：无。下一步改进措施：无。</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 “村干部保险”项目自评综述：根据年初设定的绩效目标， “村干部保险”项目绩效自评得分为100分（绩效自评表附后）。全年预算数为</w:t>
      </w:r>
      <w:r>
        <w:rPr>
          <w:rFonts w:hint="eastAsia" w:ascii="仿宋_GB2312" w:hAnsi="仿宋_GB2312" w:eastAsia="仿宋_GB2312" w:cs="仿宋_GB2312"/>
          <w:sz w:val="32"/>
          <w:szCs w:val="32"/>
          <w:lang w:val="en-US" w:eastAsia="zh-CN"/>
        </w:rPr>
        <w:t>6.94</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6.94</w:t>
      </w:r>
      <w:r>
        <w:rPr>
          <w:rFonts w:hint="eastAsia" w:ascii="仿宋_GB2312" w:hAnsi="仿宋_GB2312" w:eastAsia="仿宋_GB2312" w:cs="仿宋_GB2312"/>
          <w:sz w:val="32"/>
          <w:szCs w:val="32"/>
        </w:rPr>
        <w:t>万元，完成预算的100%。项目绩效目标完成情况：一是保障了村干部的日常生活，使村干部老有所养，老有所依；二是促使村干部积极主动的开展村内各项工作，发挥积极带头作用。发现的主要问题及原因：无。下一步改进措施：无。</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坨南乡防控经费</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坨南乡防控经费</w:t>
      </w:r>
      <w:r>
        <w:rPr>
          <w:rFonts w:hint="eastAsia" w:ascii="仿宋_GB2312" w:hAnsi="仿宋_GB2312" w:eastAsia="仿宋_GB2312" w:cs="仿宋_GB2312"/>
          <w:sz w:val="32"/>
          <w:szCs w:val="32"/>
        </w:rPr>
        <w:t>”项目绩效自评得分为100分（绩效自评表附后）。全年预算数为</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万元，完成预算的100%。项目绩效目标完成情况：</w:t>
      </w:r>
      <w:r>
        <w:rPr>
          <w:rFonts w:hint="eastAsia" w:ascii="仿宋_GB2312" w:hAnsi="仿宋_GB2312" w:eastAsia="仿宋_GB2312" w:cs="仿宋_GB2312"/>
          <w:sz w:val="32"/>
          <w:szCs w:val="32"/>
          <w:highlight w:val="none"/>
        </w:rPr>
        <w:t>保障了</w:t>
      </w:r>
      <w:r>
        <w:rPr>
          <w:rFonts w:hint="eastAsia" w:ascii="仿宋_GB2312" w:hAnsi="仿宋_GB2312" w:eastAsia="仿宋_GB2312" w:cs="仿宋_GB2312"/>
          <w:sz w:val="32"/>
          <w:szCs w:val="32"/>
          <w:highlight w:val="none"/>
          <w:lang w:eastAsia="zh-CN"/>
        </w:rPr>
        <w:t>乡村疫情防控工作正常开展</w:t>
      </w:r>
      <w:r>
        <w:rPr>
          <w:rFonts w:hint="eastAsia" w:ascii="仿宋_GB2312" w:hAnsi="仿宋_GB2312" w:eastAsia="仿宋_GB2312" w:cs="仿宋_GB2312"/>
          <w:sz w:val="32"/>
          <w:szCs w:val="32"/>
          <w:highlight w:val="none"/>
        </w:rPr>
        <w:t>。发现的主要问题及</w:t>
      </w:r>
      <w:r>
        <w:rPr>
          <w:rFonts w:hint="eastAsia" w:ascii="仿宋_GB2312" w:hAnsi="仿宋_GB2312" w:eastAsia="仿宋_GB2312" w:cs="仿宋_GB2312"/>
          <w:sz w:val="32"/>
          <w:szCs w:val="32"/>
        </w:rPr>
        <w:t>原因：无。下一步改进措施：无。</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农村文化建设资金</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农村文化建设资金</w:t>
      </w:r>
      <w:r>
        <w:rPr>
          <w:rFonts w:hint="eastAsia" w:ascii="仿宋_GB2312" w:hAnsi="仿宋_GB2312" w:eastAsia="仿宋_GB2312" w:cs="仿宋_GB2312"/>
          <w:sz w:val="32"/>
          <w:szCs w:val="32"/>
        </w:rPr>
        <w:t>”项目绩效自评得分为100分（绩效自评表附后）。全年预算数为</w:t>
      </w:r>
      <w:r>
        <w:rPr>
          <w:rFonts w:hint="eastAsia" w:ascii="仿宋_GB2312" w:hAnsi="仿宋_GB2312" w:eastAsia="仿宋_GB2312" w:cs="仿宋_GB2312"/>
          <w:sz w:val="32"/>
          <w:szCs w:val="32"/>
          <w:lang w:val="en-US" w:eastAsia="zh-CN"/>
        </w:rPr>
        <w:t>17.00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17.00</w:t>
      </w:r>
      <w:r>
        <w:rPr>
          <w:rFonts w:hint="eastAsia" w:ascii="仿宋_GB2312" w:hAnsi="仿宋_GB2312" w:eastAsia="仿宋_GB2312" w:cs="仿宋_GB2312"/>
          <w:sz w:val="32"/>
          <w:szCs w:val="32"/>
        </w:rPr>
        <w:t>万元，完成预算的100%。项目绩效目标完成情况：一是</w:t>
      </w:r>
      <w:r>
        <w:rPr>
          <w:rFonts w:hint="eastAsia" w:ascii="仿宋_GB2312" w:hAnsi="仿宋_GB2312" w:eastAsia="仿宋_GB2312" w:cs="仿宋_GB2312"/>
          <w:sz w:val="32"/>
          <w:szCs w:val="32"/>
          <w:lang w:eastAsia="zh-CN"/>
        </w:rPr>
        <w:t>提高人民群众集体文化水平</w:t>
      </w:r>
      <w:r>
        <w:rPr>
          <w:rFonts w:hint="eastAsia" w:ascii="仿宋_GB2312" w:hAnsi="仿宋_GB2312" w:eastAsia="仿宋_GB2312" w:cs="仿宋_GB2312"/>
          <w:sz w:val="32"/>
          <w:szCs w:val="32"/>
        </w:rPr>
        <w:t>；二是保障了村级</w:t>
      </w:r>
      <w:r>
        <w:rPr>
          <w:rFonts w:hint="eastAsia" w:ascii="仿宋_GB2312" w:hAnsi="仿宋_GB2312" w:eastAsia="仿宋_GB2312" w:cs="仿宋_GB2312"/>
          <w:sz w:val="32"/>
          <w:szCs w:val="32"/>
          <w:lang w:eastAsia="zh-CN"/>
        </w:rPr>
        <w:t>文化</w:t>
      </w:r>
      <w:r>
        <w:rPr>
          <w:rFonts w:hint="eastAsia" w:ascii="仿宋_GB2312" w:hAnsi="仿宋_GB2312" w:eastAsia="仿宋_GB2312" w:cs="仿宋_GB2312"/>
          <w:sz w:val="32"/>
          <w:szCs w:val="32"/>
        </w:rPr>
        <w:t>工作顺利开展。发现的主要问题及原因：无。下一步改进措施：无。</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）“基层组织运转经费和党建提升经费”项目自评综述：根据年初设定的绩效目标，“基层组织运转经费和党建提升经费”项目绩效自评得分为100分（绩效自评表附后）。全年预算数为</w:t>
      </w:r>
      <w:r>
        <w:rPr>
          <w:rFonts w:hint="eastAsia" w:ascii="仿宋_GB2312" w:hAnsi="仿宋_GB2312" w:eastAsia="仿宋_GB2312" w:cs="仿宋_GB2312"/>
          <w:sz w:val="32"/>
          <w:szCs w:val="32"/>
          <w:lang w:val="en-US" w:eastAsia="zh-CN"/>
        </w:rPr>
        <w:t>0.63</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0.63</w:t>
      </w:r>
      <w:r>
        <w:rPr>
          <w:rFonts w:hint="eastAsia" w:ascii="仿宋_GB2312" w:hAnsi="仿宋_GB2312" w:eastAsia="仿宋_GB2312" w:cs="仿宋_GB2312"/>
          <w:sz w:val="32"/>
          <w:szCs w:val="32"/>
        </w:rPr>
        <w:t>万元，完成预算的100%。项目绩效目标完成情况：一是保障了</w:t>
      </w:r>
      <w:r>
        <w:rPr>
          <w:rFonts w:hint="eastAsia" w:ascii="仿宋_GB2312" w:hAnsi="仿宋_GB2312" w:eastAsia="仿宋_GB2312" w:cs="仿宋_GB2312"/>
          <w:sz w:val="32"/>
          <w:szCs w:val="32"/>
          <w:lang w:val="en-US" w:eastAsia="zh-CN"/>
        </w:rPr>
        <w:t>乡</w:t>
      </w:r>
      <w:r>
        <w:rPr>
          <w:rFonts w:hint="eastAsia" w:ascii="仿宋_GB2312" w:hAnsi="仿宋_GB2312" w:eastAsia="仿宋_GB2312" w:cs="仿宋_GB2312"/>
          <w:sz w:val="32"/>
          <w:szCs w:val="32"/>
        </w:rPr>
        <w:t>级组织正常运转和党建提升；二是保障了</w:t>
      </w:r>
      <w:r>
        <w:rPr>
          <w:rFonts w:hint="eastAsia" w:ascii="仿宋_GB2312" w:hAnsi="仿宋_GB2312" w:eastAsia="仿宋_GB2312" w:cs="仿宋_GB2312"/>
          <w:sz w:val="32"/>
          <w:szCs w:val="32"/>
          <w:lang w:val="en-US" w:eastAsia="zh-CN"/>
        </w:rPr>
        <w:t>乡</w:t>
      </w:r>
      <w:r>
        <w:rPr>
          <w:rFonts w:hint="eastAsia" w:ascii="仿宋_GB2312" w:hAnsi="仿宋_GB2312" w:eastAsia="仿宋_GB2312" w:cs="仿宋_GB2312"/>
          <w:sz w:val="32"/>
          <w:szCs w:val="32"/>
        </w:rPr>
        <w:t>级工作顺利开展和正常运行。发现的主要问题及原因：无。下一步改进措施：无。</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 “为服务群众专项、村级办公、党组织活动经费”项目自评综述：根据年初设定的绩效目标， “为服务群众专项、村级办公、党组织活动经费”项目绩效自评得分为100分（绩效自评表附后）。全年预算数为</w:t>
      </w:r>
      <w:r>
        <w:rPr>
          <w:rFonts w:hint="eastAsia" w:ascii="仿宋_GB2312" w:hAnsi="仿宋_GB2312" w:eastAsia="仿宋_GB2312" w:cs="仿宋_GB2312"/>
          <w:sz w:val="32"/>
          <w:szCs w:val="32"/>
          <w:lang w:val="en-US" w:eastAsia="zh-CN"/>
        </w:rPr>
        <w:t>17.63</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17.63</w:t>
      </w:r>
      <w:r>
        <w:rPr>
          <w:rFonts w:hint="eastAsia" w:ascii="仿宋_GB2312" w:hAnsi="仿宋_GB2312" w:eastAsia="仿宋_GB2312" w:cs="仿宋_GB2312"/>
          <w:sz w:val="32"/>
          <w:szCs w:val="32"/>
        </w:rPr>
        <w:t>万元，完成预算的100%。项目绩效目标完成情况：一是保障了村级组织正常运转和党建提升；二是保障了村级工作顺利开展和正常运行。发现的主要问题及原因：无。下一步改进措施：无。</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美丽乡村样板村奖补资金</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eastAsia="zh-CN"/>
        </w:rPr>
        <w:t>美丽乡村样板村奖补资金</w:t>
      </w:r>
      <w:r>
        <w:rPr>
          <w:rFonts w:hint="eastAsia" w:ascii="仿宋_GB2312" w:hAnsi="仿宋_GB2312" w:eastAsia="仿宋_GB2312" w:cs="仿宋_GB2312"/>
          <w:sz w:val="32"/>
          <w:szCs w:val="32"/>
        </w:rPr>
        <w:t>”项目绩效自评得分为100分（绩效自评表附后）。全年预算数为</w:t>
      </w:r>
      <w:r>
        <w:rPr>
          <w:rFonts w:hint="eastAsia" w:ascii="仿宋_GB2312" w:hAnsi="仿宋_GB2312" w:eastAsia="仿宋_GB2312" w:cs="仿宋_GB2312"/>
          <w:sz w:val="32"/>
          <w:szCs w:val="32"/>
          <w:lang w:val="en-US" w:eastAsia="zh-CN"/>
        </w:rPr>
        <w:t>251.52</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251.52</w:t>
      </w:r>
      <w:r>
        <w:rPr>
          <w:rFonts w:hint="eastAsia" w:ascii="仿宋_GB2312" w:hAnsi="仿宋_GB2312" w:eastAsia="仿宋_GB2312" w:cs="仿宋_GB2312"/>
          <w:sz w:val="32"/>
          <w:szCs w:val="32"/>
        </w:rPr>
        <w:t>万元，完成预算的100%。项目绩效目标完成情况</w:t>
      </w:r>
      <w:r>
        <w:rPr>
          <w:rFonts w:hint="eastAsia" w:ascii="仿宋_GB2312" w:hAnsi="仿宋_GB2312" w:eastAsia="仿宋_GB2312" w:cs="仿宋_GB2312"/>
          <w:sz w:val="32"/>
          <w:szCs w:val="32"/>
          <w:highlight w:val="none"/>
        </w:rPr>
        <w:t>：一是</w:t>
      </w:r>
      <w:r>
        <w:rPr>
          <w:rFonts w:hint="eastAsia" w:ascii="仿宋_GB2312" w:hAnsi="仿宋_GB2312" w:eastAsia="仿宋_GB2312" w:cs="仿宋_GB2312"/>
          <w:sz w:val="32"/>
          <w:szCs w:val="32"/>
          <w:highlight w:val="none"/>
          <w:lang w:eastAsia="zh-CN"/>
        </w:rPr>
        <w:t>促进农村经济发展；二是促进农村人居环境的改善。</w:t>
      </w:r>
      <w:r>
        <w:rPr>
          <w:rFonts w:hint="eastAsia" w:ascii="仿宋_GB2312" w:hAnsi="仿宋_GB2312" w:eastAsia="仿宋_GB2312" w:cs="仿宋_GB2312"/>
          <w:sz w:val="32"/>
          <w:szCs w:val="32"/>
          <w:highlight w:val="none"/>
        </w:rPr>
        <w:t>发</w:t>
      </w:r>
      <w:r>
        <w:rPr>
          <w:rFonts w:hint="eastAsia" w:ascii="仿宋_GB2312" w:hAnsi="仿宋_GB2312" w:eastAsia="仿宋_GB2312" w:cs="仿宋_GB2312"/>
          <w:sz w:val="32"/>
          <w:szCs w:val="32"/>
        </w:rPr>
        <w:t>现的主要问题及原因：无。下一步改进措施：无。</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2017年</w:t>
      </w:r>
      <w:r>
        <w:rPr>
          <w:rFonts w:hint="eastAsia" w:ascii="仿宋_GB2312" w:hAnsi="仿宋_GB2312" w:eastAsia="仿宋_GB2312" w:cs="仿宋_GB2312"/>
          <w:sz w:val="32"/>
          <w:szCs w:val="32"/>
        </w:rPr>
        <w:t>一事一议</w:t>
      </w:r>
      <w:r>
        <w:rPr>
          <w:rFonts w:hint="eastAsia" w:ascii="仿宋_GB2312" w:hAnsi="仿宋_GB2312" w:eastAsia="仿宋_GB2312" w:cs="仿宋_GB2312"/>
          <w:sz w:val="32"/>
          <w:szCs w:val="32"/>
          <w:lang w:eastAsia="zh-CN"/>
        </w:rPr>
        <w:t>财政奖补</w:t>
      </w:r>
      <w:r>
        <w:rPr>
          <w:rFonts w:hint="eastAsia" w:ascii="仿宋_GB2312" w:hAnsi="仿宋_GB2312" w:eastAsia="仿宋_GB2312" w:cs="仿宋_GB2312"/>
          <w:sz w:val="32"/>
          <w:szCs w:val="32"/>
        </w:rPr>
        <w:t>资金”项目自评综述：根据年初设定的绩效目标，“</w:t>
      </w:r>
      <w:r>
        <w:rPr>
          <w:rFonts w:hint="eastAsia" w:ascii="仿宋_GB2312" w:hAnsi="仿宋_GB2312" w:eastAsia="仿宋_GB2312" w:cs="仿宋_GB2312"/>
          <w:sz w:val="32"/>
          <w:szCs w:val="32"/>
          <w:lang w:val="en-US" w:eastAsia="zh-CN"/>
        </w:rPr>
        <w:t>2017年</w:t>
      </w:r>
      <w:r>
        <w:rPr>
          <w:rFonts w:hint="eastAsia" w:ascii="仿宋_GB2312" w:hAnsi="仿宋_GB2312" w:eastAsia="仿宋_GB2312" w:cs="仿宋_GB2312"/>
          <w:sz w:val="32"/>
          <w:szCs w:val="32"/>
        </w:rPr>
        <w:t>一事一议</w:t>
      </w:r>
      <w:r>
        <w:rPr>
          <w:rFonts w:hint="eastAsia" w:ascii="仿宋_GB2312" w:hAnsi="仿宋_GB2312" w:eastAsia="仿宋_GB2312" w:cs="仿宋_GB2312"/>
          <w:sz w:val="32"/>
          <w:szCs w:val="32"/>
          <w:lang w:eastAsia="zh-CN"/>
        </w:rPr>
        <w:t>财政奖补</w:t>
      </w:r>
      <w:r>
        <w:rPr>
          <w:rFonts w:hint="eastAsia" w:ascii="仿宋_GB2312" w:hAnsi="仿宋_GB2312" w:eastAsia="仿宋_GB2312" w:cs="仿宋_GB2312"/>
          <w:sz w:val="32"/>
          <w:szCs w:val="32"/>
        </w:rPr>
        <w:t>资金”项目绩效自评得分为100分（绩效自评表附后）。全年预算数为</w:t>
      </w:r>
      <w:r>
        <w:rPr>
          <w:rFonts w:hint="eastAsia" w:ascii="仿宋_GB2312" w:hAnsi="仿宋_GB2312" w:eastAsia="仿宋_GB2312" w:cs="仿宋_GB2312"/>
          <w:sz w:val="32"/>
          <w:szCs w:val="32"/>
          <w:lang w:val="en-US" w:eastAsia="zh-CN"/>
        </w:rPr>
        <w:t>5.49</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5.49</w:t>
      </w:r>
      <w:r>
        <w:rPr>
          <w:rFonts w:hint="eastAsia" w:ascii="仿宋_GB2312" w:hAnsi="仿宋_GB2312" w:eastAsia="仿宋_GB2312" w:cs="仿宋_GB2312"/>
          <w:sz w:val="32"/>
          <w:szCs w:val="32"/>
        </w:rPr>
        <w:t>万元，完成预算的100%。项目绩效目标完成情况：</w:t>
      </w:r>
      <w:r>
        <w:rPr>
          <w:rFonts w:hint="eastAsia" w:ascii="仿宋_GB2312" w:hAnsi="仿宋_GB2312" w:eastAsia="仿宋_GB2312" w:cs="仿宋_GB2312"/>
          <w:sz w:val="32"/>
          <w:szCs w:val="32"/>
          <w:highlight w:val="none"/>
        </w:rPr>
        <w:t>一是</w:t>
      </w:r>
      <w:r>
        <w:rPr>
          <w:rFonts w:hint="eastAsia" w:ascii="仿宋_GB2312" w:hAnsi="仿宋_GB2312" w:eastAsia="仿宋_GB2312" w:cs="仿宋_GB2312"/>
          <w:sz w:val="32"/>
          <w:szCs w:val="32"/>
          <w:highlight w:val="none"/>
          <w:lang w:eastAsia="zh-CN"/>
        </w:rPr>
        <w:t>完善农村基础设施</w:t>
      </w:r>
      <w:r>
        <w:rPr>
          <w:rFonts w:hint="eastAsia" w:ascii="仿宋_GB2312" w:hAnsi="仿宋_GB2312" w:eastAsia="仿宋_GB2312" w:cs="仿宋_GB2312"/>
          <w:sz w:val="32"/>
          <w:szCs w:val="32"/>
          <w:highlight w:val="none"/>
        </w:rPr>
        <w:t>；二是</w:t>
      </w:r>
      <w:r>
        <w:rPr>
          <w:rFonts w:hint="eastAsia" w:ascii="仿宋_GB2312" w:hAnsi="仿宋_GB2312" w:eastAsia="仿宋_GB2312" w:cs="仿宋_GB2312"/>
          <w:sz w:val="32"/>
          <w:szCs w:val="32"/>
          <w:highlight w:val="none"/>
          <w:lang w:eastAsia="zh-CN"/>
        </w:rPr>
        <w:t>方便村民生活，改善村民生活环境</w:t>
      </w:r>
      <w:r>
        <w:rPr>
          <w:rFonts w:hint="eastAsia" w:ascii="仿宋_GB2312" w:hAnsi="仿宋_GB2312" w:eastAsia="仿宋_GB2312" w:cs="仿宋_GB2312"/>
          <w:sz w:val="32"/>
          <w:szCs w:val="32"/>
          <w:highlight w:val="none"/>
        </w:rPr>
        <w:t>。发</w:t>
      </w:r>
      <w:r>
        <w:rPr>
          <w:rFonts w:hint="eastAsia" w:ascii="仿宋_GB2312" w:hAnsi="仿宋_GB2312" w:eastAsia="仿宋_GB2312" w:cs="仿宋_GB2312"/>
          <w:sz w:val="32"/>
          <w:szCs w:val="32"/>
        </w:rPr>
        <w:t>现的主要问题及原因：无。下一步改进措施：无。</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中央农村综合改革转移支付</w:t>
      </w:r>
      <w:r>
        <w:rPr>
          <w:rFonts w:hint="eastAsia" w:ascii="仿宋_GB2312" w:hAnsi="仿宋_GB2312" w:eastAsia="仿宋_GB2312" w:cs="仿宋_GB2312"/>
          <w:sz w:val="32"/>
          <w:szCs w:val="32"/>
        </w:rPr>
        <w:t>资金”项目自评综述：根据年初设定的绩效目标，“</w:t>
      </w:r>
      <w:r>
        <w:rPr>
          <w:rFonts w:hint="eastAsia" w:ascii="仿宋_GB2312" w:hAnsi="仿宋_GB2312" w:eastAsia="仿宋_GB2312" w:cs="仿宋_GB2312"/>
          <w:sz w:val="32"/>
          <w:szCs w:val="32"/>
          <w:lang w:eastAsia="zh-CN"/>
        </w:rPr>
        <w:t>中央农村综合改革转移支付</w:t>
      </w:r>
      <w:r>
        <w:rPr>
          <w:rFonts w:hint="eastAsia" w:ascii="仿宋_GB2312" w:hAnsi="仿宋_GB2312" w:eastAsia="仿宋_GB2312" w:cs="仿宋_GB2312"/>
          <w:sz w:val="32"/>
          <w:szCs w:val="32"/>
        </w:rPr>
        <w:t>资金”项目绩效自评得分为100分（绩效自评表附后）。全年预算数为</w:t>
      </w:r>
      <w:r>
        <w:rPr>
          <w:rFonts w:hint="eastAsia" w:ascii="仿宋_GB2312" w:hAnsi="仿宋_GB2312" w:eastAsia="仿宋_GB2312" w:cs="仿宋_GB2312"/>
          <w:sz w:val="32"/>
          <w:szCs w:val="32"/>
          <w:lang w:val="en-US" w:eastAsia="zh-CN"/>
        </w:rPr>
        <w:t>164.46</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164.46</w:t>
      </w:r>
      <w:r>
        <w:rPr>
          <w:rFonts w:hint="eastAsia" w:ascii="仿宋_GB2312" w:hAnsi="仿宋_GB2312" w:eastAsia="仿宋_GB2312" w:cs="仿宋_GB2312"/>
          <w:sz w:val="32"/>
          <w:szCs w:val="32"/>
        </w:rPr>
        <w:t>万元，完成预算的100%。项目绩效目标完成情况：</w:t>
      </w:r>
      <w:r>
        <w:rPr>
          <w:rFonts w:hint="eastAsia" w:ascii="仿宋_GB2312" w:hAnsi="仿宋_GB2312" w:eastAsia="仿宋_GB2312" w:cs="仿宋_GB2312"/>
          <w:sz w:val="32"/>
          <w:szCs w:val="32"/>
          <w:highlight w:val="none"/>
        </w:rPr>
        <w:t>一是</w:t>
      </w:r>
      <w:r>
        <w:rPr>
          <w:rFonts w:hint="eastAsia" w:ascii="仿宋_GB2312" w:hAnsi="仿宋_GB2312" w:eastAsia="仿宋_GB2312" w:cs="仿宋_GB2312"/>
          <w:sz w:val="32"/>
          <w:szCs w:val="32"/>
          <w:highlight w:val="none"/>
          <w:lang w:eastAsia="zh-CN"/>
        </w:rPr>
        <w:t>完善农村基础设施</w:t>
      </w:r>
      <w:r>
        <w:rPr>
          <w:rFonts w:hint="eastAsia" w:ascii="仿宋_GB2312" w:hAnsi="仿宋_GB2312" w:eastAsia="仿宋_GB2312" w:cs="仿宋_GB2312"/>
          <w:sz w:val="32"/>
          <w:szCs w:val="32"/>
          <w:highlight w:val="none"/>
        </w:rPr>
        <w:t>；二是</w:t>
      </w:r>
      <w:r>
        <w:rPr>
          <w:rFonts w:hint="eastAsia" w:ascii="仿宋_GB2312" w:hAnsi="仿宋_GB2312" w:eastAsia="仿宋_GB2312" w:cs="仿宋_GB2312"/>
          <w:sz w:val="32"/>
          <w:szCs w:val="32"/>
          <w:highlight w:val="none"/>
          <w:lang w:eastAsia="zh-CN"/>
        </w:rPr>
        <w:t>方便村民生活，改善村民生活环境</w:t>
      </w:r>
      <w:r>
        <w:rPr>
          <w:rFonts w:hint="eastAsia" w:ascii="仿宋_GB2312" w:hAnsi="仿宋_GB2312" w:eastAsia="仿宋_GB2312" w:cs="仿宋_GB2312"/>
          <w:sz w:val="32"/>
          <w:szCs w:val="32"/>
          <w:highlight w:val="none"/>
        </w:rPr>
        <w:t>。发</w:t>
      </w:r>
      <w:r>
        <w:rPr>
          <w:rFonts w:hint="eastAsia" w:ascii="仿宋_GB2312" w:hAnsi="仿宋_GB2312" w:eastAsia="仿宋_GB2312" w:cs="仿宋_GB2312"/>
          <w:sz w:val="32"/>
          <w:szCs w:val="32"/>
        </w:rPr>
        <w:t>现的主要问题及原因：无。下一步改进措施：无。</w:t>
      </w:r>
    </w:p>
    <w:p>
      <w:pPr>
        <w:adjustRightInd w:val="0"/>
        <w:snapToGrid w:val="0"/>
        <w:spacing w:line="580" w:lineRule="exact"/>
        <w:ind w:firstLine="640" w:firstLineChars="200"/>
        <w:rPr>
          <w:rFonts w:hint="default" w:ascii="仿宋_GB2312" w:hAnsi="仿宋_GB2312" w:eastAsia="仿宋_GB2312" w:cs="仿宋_GB2312"/>
          <w:sz w:val="32"/>
          <w:szCs w:val="32"/>
          <w:lang w:val="en-US" w:eastAsia="zh-CN"/>
        </w:rPr>
      </w:pPr>
    </w:p>
    <w:p>
      <w:pPr>
        <w:keepNext/>
        <w:keepLines/>
        <w:snapToGrid w:val="0"/>
        <w:spacing w:line="580" w:lineRule="exact"/>
        <w:ind w:firstLine="640" w:firstLineChars="200"/>
        <w:outlineLvl w:val="1"/>
        <w:rPr>
          <w:rFonts w:ascii="仿宋_GB2312" w:hAnsi="仿宋_GB2312" w:eastAsia="仿宋_GB2312" w:cs="仿宋_GB2312"/>
          <w:sz w:val="32"/>
          <w:szCs w:val="32"/>
        </w:rPr>
      </w:pPr>
      <w:r>
        <w:rPr>
          <w:rFonts w:hint="eastAsia" w:ascii="仿宋_GB2312" w:hAnsi="仿宋_GB2312" w:eastAsia="仿宋_GB2312" w:cs="仿宋_GB2312"/>
          <w:sz w:val="32"/>
          <w:szCs w:val="32"/>
        </w:rPr>
        <w:t>发现的主要问题及原因：无。下一步改进措施：无。</w:t>
      </w:r>
    </w:p>
    <w:p>
      <w:pPr>
        <w:adjustRightInd w:val="0"/>
        <w:snapToGrid w:val="0"/>
        <w:spacing w:line="580" w:lineRule="exact"/>
        <w:ind w:left="1050"/>
        <w:rPr>
          <w:rFonts w:ascii="仿宋_GB2312" w:hAnsi="仿宋_GB2312" w:eastAsia="仿宋_GB2312" w:cs="仿宋_GB2312"/>
          <w:sz w:val="32"/>
          <w:szCs w:val="32"/>
        </w:rPr>
      </w:pPr>
      <w:r>
        <w:rPr>
          <w:rFonts w:hint="eastAsia" w:ascii="仿宋_GB2312" w:hAnsi="仿宋_GB2312" w:eastAsia="仿宋_GB2312" w:cs="仿宋_GB2312"/>
          <w:sz w:val="32"/>
          <w:szCs w:val="32"/>
        </w:rPr>
        <w:t>具体统计表如下：</w:t>
      </w:r>
    </w:p>
    <w:tbl>
      <w:tblPr>
        <w:tblStyle w:val="5"/>
        <w:tblW w:w="9060" w:type="dxa"/>
        <w:tblInd w:w="93" w:type="dxa"/>
        <w:tblLayout w:type="fixed"/>
        <w:tblCellMar>
          <w:top w:w="0" w:type="dxa"/>
          <w:left w:w="108" w:type="dxa"/>
          <w:bottom w:w="0" w:type="dxa"/>
          <w:right w:w="108" w:type="dxa"/>
        </w:tblCellMar>
      </w:tblPr>
      <w:tblGrid>
        <w:gridCol w:w="781"/>
        <w:gridCol w:w="4272"/>
        <w:gridCol w:w="1225"/>
        <w:gridCol w:w="904"/>
        <w:gridCol w:w="1011"/>
        <w:gridCol w:w="867"/>
      </w:tblGrid>
      <w:tr>
        <w:tblPrEx>
          <w:tblCellMar>
            <w:top w:w="0" w:type="dxa"/>
            <w:left w:w="108" w:type="dxa"/>
            <w:bottom w:w="0" w:type="dxa"/>
            <w:right w:w="108" w:type="dxa"/>
          </w:tblCellMar>
        </w:tblPrEx>
        <w:trPr>
          <w:trHeight w:val="645" w:hRule="atLeast"/>
        </w:trPr>
        <w:tc>
          <w:tcPr>
            <w:tcW w:w="781" w:type="dxa"/>
            <w:vMerge w:val="restart"/>
            <w:tcBorders>
              <w:top w:val="single" w:color="auto" w:sz="4" w:space="0"/>
              <w:left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cs="宋体"/>
                <w:color w:val="000000"/>
                <w:kern w:val="0"/>
                <w:sz w:val="22"/>
              </w:rPr>
              <w:t>序号</w:t>
            </w:r>
          </w:p>
        </w:tc>
        <w:tc>
          <w:tcPr>
            <w:tcW w:w="427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项目名称</w:t>
            </w:r>
          </w:p>
        </w:tc>
        <w:tc>
          <w:tcPr>
            <w:tcW w:w="122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资金数额（万元）</w:t>
            </w:r>
          </w:p>
        </w:tc>
        <w:tc>
          <w:tcPr>
            <w:tcW w:w="2782" w:type="dxa"/>
            <w:gridSpan w:val="3"/>
            <w:tcBorders>
              <w:top w:val="single" w:color="auto" w:sz="4" w:space="0"/>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年底绩效目标实现情况</w:t>
            </w:r>
          </w:p>
        </w:tc>
      </w:tr>
      <w:tr>
        <w:tblPrEx>
          <w:tblCellMar>
            <w:top w:w="0" w:type="dxa"/>
            <w:left w:w="108" w:type="dxa"/>
            <w:bottom w:w="0" w:type="dxa"/>
            <w:right w:w="108" w:type="dxa"/>
          </w:tblCellMar>
        </w:tblPrEx>
        <w:trPr>
          <w:trHeight w:val="645" w:hRule="atLeast"/>
        </w:trPr>
        <w:tc>
          <w:tcPr>
            <w:tcW w:w="781" w:type="dxa"/>
            <w:vMerge w:val="continue"/>
            <w:tcBorders>
              <w:left w:val="single" w:color="auto" w:sz="4" w:space="0"/>
              <w:bottom w:val="single" w:color="auto" w:sz="4" w:space="0"/>
              <w:right w:val="single" w:color="auto" w:sz="4" w:space="0"/>
            </w:tcBorders>
            <w:vAlign w:val="center"/>
          </w:tcPr>
          <w:p>
            <w:pPr>
              <w:widowControl/>
              <w:jc w:val="left"/>
              <w:rPr>
                <w:rFonts w:ascii="宋体" w:cs="宋体"/>
                <w:color w:val="000000"/>
                <w:kern w:val="0"/>
                <w:sz w:val="22"/>
              </w:rPr>
            </w:pPr>
          </w:p>
        </w:tc>
        <w:tc>
          <w:tcPr>
            <w:tcW w:w="427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000000"/>
                <w:kern w:val="0"/>
                <w:sz w:val="22"/>
              </w:rPr>
            </w:pPr>
          </w:p>
        </w:tc>
        <w:tc>
          <w:tcPr>
            <w:tcW w:w="12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000000"/>
                <w:kern w:val="0"/>
                <w:sz w:val="22"/>
              </w:rPr>
            </w:pPr>
          </w:p>
        </w:tc>
        <w:tc>
          <w:tcPr>
            <w:tcW w:w="90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能实现</w:t>
            </w:r>
          </w:p>
        </w:tc>
        <w:tc>
          <w:tcPr>
            <w:tcW w:w="1011"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不能完全实现</w:t>
            </w:r>
          </w:p>
        </w:tc>
        <w:tc>
          <w:tcPr>
            <w:tcW w:w="867"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差距较大</w:t>
            </w:r>
          </w:p>
        </w:tc>
      </w:tr>
      <w:tr>
        <w:tblPrEx>
          <w:tblCellMar>
            <w:top w:w="0" w:type="dxa"/>
            <w:left w:w="108" w:type="dxa"/>
            <w:bottom w:w="0" w:type="dxa"/>
            <w:right w:w="108" w:type="dxa"/>
          </w:tblCellMar>
        </w:tblPrEx>
        <w:trPr>
          <w:trHeight w:val="495" w:hRule="atLeast"/>
        </w:trPr>
        <w:tc>
          <w:tcPr>
            <w:tcW w:w="781" w:type="dxa"/>
            <w:tcBorders>
              <w:top w:val="nil"/>
              <w:left w:val="single" w:color="auto" w:sz="4" w:space="0"/>
              <w:bottom w:val="single" w:color="auto" w:sz="4" w:space="0"/>
              <w:right w:val="single" w:color="auto" w:sz="4" w:space="0"/>
            </w:tcBorders>
            <w:vAlign w:val="center"/>
          </w:tcPr>
          <w:p>
            <w:pPr>
              <w:widowControl/>
              <w:jc w:val="center"/>
              <w:rPr>
                <w:rFonts w:ascii="宋体" w:eastAsia="宋体" w:cs="宋体"/>
                <w:color w:val="000000"/>
                <w:kern w:val="0"/>
                <w:sz w:val="22"/>
              </w:rPr>
            </w:pPr>
            <w:r>
              <w:rPr>
                <w:rFonts w:hint="eastAsia" w:ascii="宋体" w:cs="宋体"/>
                <w:color w:val="000000"/>
                <w:kern w:val="0"/>
                <w:sz w:val="22"/>
              </w:rPr>
              <w:t>1</w:t>
            </w:r>
          </w:p>
        </w:tc>
        <w:tc>
          <w:tcPr>
            <w:tcW w:w="4272" w:type="dxa"/>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Arial"/>
                <w:color w:val="000000"/>
                <w:kern w:val="0"/>
                <w:sz w:val="22"/>
                <w:lang w:eastAsia="zh-CN"/>
              </w:rPr>
            </w:pPr>
            <w:r>
              <w:rPr>
                <w:rFonts w:hint="eastAsia" w:eastAsia="宋体" w:cs="Arial"/>
                <w:color w:val="000000"/>
                <w:sz w:val="22"/>
                <w:lang w:eastAsia="zh-CN"/>
              </w:rPr>
              <w:t>补充工作经费</w:t>
            </w:r>
          </w:p>
        </w:tc>
        <w:tc>
          <w:tcPr>
            <w:tcW w:w="1225" w:type="dxa"/>
            <w:tcBorders>
              <w:top w:val="nil"/>
              <w:left w:val="nil"/>
              <w:bottom w:val="single" w:color="auto" w:sz="4" w:space="0"/>
              <w:right w:val="single" w:color="auto" w:sz="4" w:space="0"/>
            </w:tcBorders>
            <w:vAlign w:val="bottom"/>
          </w:tcPr>
          <w:p>
            <w:pPr>
              <w:widowControl/>
              <w:jc w:val="right"/>
              <w:rPr>
                <w:rFonts w:ascii="Arial" w:hAnsi="Arial" w:eastAsia="宋体" w:cs="Arial"/>
                <w:color w:val="000000"/>
                <w:kern w:val="0"/>
                <w:sz w:val="20"/>
                <w:szCs w:val="20"/>
              </w:rPr>
            </w:pPr>
            <w:r>
              <w:rPr>
                <w:rFonts w:hint="eastAsia" w:ascii="Arial" w:hAnsi="Arial" w:cs="Arial"/>
                <w:color w:val="000000"/>
                <w:sz w:val="20"/>
                <w:szCs w:val="20"/>
                <w:lang w:val="en-US" w:eastAsia="zh-CN"/>
              </w:rPr>
              <w:t>13.00</w:t>
            </w:r>
            <w:r>
              <w:rPr>
                <w:rFonts w:ascii="Arial" w:hAnsi="Arial" w:cs="Arial"/>
                <w:color w:val="000000"/>
                <w:sz w:val="20"/>
                <w:szCs w:val="20"/>
              </w:rPr>
              <w:t xml:space="preserve"> </w:t>
            </w:r>
          </w:p>
        </w:tc>
        <w:tc>
          <w:tcPr>
            <w:tcW w:w="904" w:type="dxa"/>
            <w:tcBorders>
              <w:top w:val="nil"/>
              <w:left w:val="nil"/>
              <w:bottom w:val="single" w:color="auto" w:sz="4" w:space="0"/>
              <w:right w:val="single" w:color="auto" w:sz="4" w:space="0"/>
            </w:tcBorders>
            <w:vAlign w:val="center"/>
          </w:tcPr>
          <w:p>
            <w:pPr>
              <w:widowControl/>
              <w:jc w:val="center"/>
              <w:rPr>
                <w:rFonts w:ascii="宋体" w:eastAsia="宋体" w:cs="宋体"/>
                <w:color w:val="000000"/>
                <w:kern w:val="0"/>
                <w:sz w:val="22"/>
              </w:rPr>
            </w:pPr>
            <w:r>
              <w:rPr>
                <w:rFonts w:hint="eastAsia" w:ascii="宋体" w:hAnsi="宋体" w:cs="宋体"/>
                <w:color w:val="000000"/>
                <w:kern w:val="0"/>
                <w:sz w:val="22"/>
              </w:rPr>
              <w:t>√</w:t>
            </w:r>
          </w:p>
        </w:tc>
        <w:tc>
          <w:tcPr>
            <w:tcW w:w="1011"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rPr>
            </w:pPr>
          </w:p>
        </w:tc>
        <w:tc>
          <w:tcPr>
            <w:tcW w:w="867"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nil"/>
              <w:left w:val="single" w:color="auto" w:sz="4" w:space="0"/>
              <w:bottom w:val="single" w:color="auto" w:sz="4" w:space="0"/>
              <w:right w:val="single" w:color="auto" w:sz="4" w:space="0"/>
            </w:tcBorders>
            <w:vAlign w:val="center"/>
          </w:tcPr>
          <w:p>
            <w:pPr>
              <w:widowControl/>
              <w:jc w:val="center"/>
              <w:rPr>
                <w:rFonts w:ascii="宋体" w:eastAsia="宋体" w:cs="宋体"/>
                <w:color w:val="000000"/>
                <w:kern w:val="0"/>
                <w:sz w:val="22"/>
              </w:rPr>
            </w:pPr>
            <w:r>
              <w:rPr>
                <w:rFonts w:hint="eastAsia" w:ascii="宋体" w:cs="宋体"/>
                <w:color w:val="000000"/>
                <w:kern w:val="0"/>
                <w:sz w:val="22"/>
              </w:rPr>
              <w:t>2</w:t>
            </w:r>
          </w:p>
        </w:tc>
        <w:tc>
          <w:tcPr>
            <w:tcW w:w="4272" w:type="dxa"/>
            <w:tcBorders>
              <w:top w:val="nil"/>
              <w:left w:val="single" w:color="auto" w:sz="4" w:space="0"/>
              <w:bottom w:val="single" w:color="auto" w:sz="4" w:space="0"/>
              <w:right w:val="single" w:color="auto" w:sz="4" w:space="0"/>
            </w:tcBorders>
            <w:vAlign w:val="center"/>
          </w:tcPr>
          <w:p>
            <w:pPr>
              <w:rPr>
                <w:rFonts w:hint="eastAsia" w:cs="Arial" w:eastAsiaTheme="minorEastAsia"/>
                <w:color w:val="000000"/>
                <w:sz w:val="22"/>
                <w:lang w:eastAsia="zh-CN"/>
              </w:rPr>
            </w:pPr>
            <w:r>
              <w:rPr>
                <w:rFonts w:hint="eastAsia" w:cs="Arial"/>
                <w:color w:val="000000"/>
                <w:sz w:val="22"/>
                <w:lang w:eastAsia="zh-CN"/>
              </w:rPr>
              <w:t>补充办公经费</w:t>
            </w:r>
          </w:p>
        </w:tc>
        <w:tc>
          <w:tcPr>
            <w:tcW w:w="1225" w:type="dxa"/>
            <w:tcBorders>
              <w:top w:val="nil"/>
              <w:left w:val="nil"/>
              <w:bottom w:val="single" w:color="auto" w:sz="4" w:space="0"/>
              <w:right w:val="single" w:color="auto" w:sz="4" w:space="0"/>
            </w:tcBorders>
            <w:vAlign w:val="bottom"/>
          </w:tcPr>
          <w:p>
            <w:pPr>
              <w:jc w:val="right"/>
              <w:rPr>
                <w:rFonts w:ascii="Arial" w:hAnsi="Arial" w:cs="Arial"/>
                <w:color w:val="000000"/>
                <w:sz w:val="20"/>
                <w:szCs w:val="20"/>
              </w:rPr>
            </w:pPr>
            <w:r>
              <w:rPr>
                <w:rFonts w:hint="eastAsia" w:ascii="Arial" w:hAnsi="Arial" w:cs="Arial"/>
                <w:color w:val="000000"/>
                <w:sz w:val="20"/>
                <w:szCs w:val="20"/>
                <w:lang w:val="en-US" w:eastAsia="zh-CN"/>
              </w:rPr>
              <w:t>7.50</w:t>
            </w:r>
            <w:r>
              <w:rPr>
                <w:rFonts w:ascii="Arial" w:hAnsi="Arial" w:cs="Arial"/>
                <w:color w:val="000000"/>
                <w:sz w:val="20"/>
                <w:szCs w:val="20"/>
              </w:rPr>
              <w:t xml:space="preserve"> </w:t>
            </w:r>
          </w:p>
        </w:tc>
        <w:tc>
          <w:tcPr>
            <w:tcW w:w="904" w:type="dxa"/>
            <w:tcBorders>
              <w:top w:val="nil"/>
              <w:left w:val="nil"/>
              <w:bottom w:val="single" w:color="auto" w:sz="4" w:space="0"/>
              <w:right w:val="single" w:color="auto" w:sz="4" w:space="0"/>
            </w:tcBorders>
            <w:vAlign w:val="center"/>
          </w:tcPr>
          <w:p>
            <w:pPr>
              <w:widowControl/>
              <w:jc w:val="center"/>
              <w:rPr>
                <w:rFonts w:ascii="宋体" w:eastAsia="宋体" w:cs="宋体"/>
                <w:color w:val="000000"/>
                <w:kern w:val="0"/>
                <w:sz w:val="22"/>
              </w:rPr>
            </w:pPr>
            <w:r>
              <w:rPr>
                <w:rFonts w:hint="eastAsia" w:ascii="宋体" w:hAnsi="宋体" w:cs="宋体"/>
                <w:color w:val="000000"/>
                <w:kern w:val="0"/>
                <w:sz w:val="22"/>
              </w:rPr>
              <w:t>√</w:t>
            </w:r>
          </w:p>
        </w:tc>
        <w:tc>
          <w:tcPr>
            <w:tcW w:w="1011"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rPr>
            </w:pPr>
          </w:p>
        </w:tc>
        <w:tc>
          <w:tcPr>
            <w:tcW w:w="867"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rPr>
            </w:pPr>
          </w:p>
        </w:tc>
      </w:tr>
      <w:tr>
        <w:tblPrEx>
          <w:tblCellMar>
            <w:top w:w="0" w:type="dxa"/>
            <w:left w:w="108" w:type="dxa"/>
            <w:bottom w:w="0" w:type="dxa"/>
            <w:right w:w="108" w:type="dxa"/>
          </w:tblCellMar>
        </w:tblPrEx>
        <w:trPr>
          <w:trHeight w:val="414" w:hRule="atLeast"/>
        </w:trPr>
        <w:tc>
          <w:tcPr>
            <w:tcW w:w="781"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cs="宋体"/>
                <w:color w:val="000000"/>
                <w:kern w:val="0"/>
                <w:sz w:val="22"/>
              </w:rPr>
              <w:t>3</w:t>
            </w:r>
          </w:p>
        </w:tc>
        <w:tc>
          <w:tcPr>
            <w:tcW w:w="4272" w:type="dxa"/>
            <w:tcBorders>
              <w:top w:val="nil"/>
              <w:left w:val="single" w:color="auto" w:sz="4" w:space="0"/>
              <w:bottom w:val="single" w:color="auto" w:sz="4" w:space="0"/>
              <w:right w:val="single" w:color="auto" w:sz="4" w:space="0"/>
            </w:tcBorders>
            <w:vAlign w:val="center"/>
          </w:tcPr>
          <w:p>
            <w:pPr>
              <w:rPr>
                <w:rFonts w:hint="eastAsia" w:cs="Arial" w:eastAsiaTheme="minorEastAsia"/>
                <w:color w:val="000000"/>
                <w:sz w:val="22"/>
                <w:lang w:eastAsia="zh-CN"/>
              </w:rPr>
            </w:pPr>
            <w:r>
              <w:rPr>
                <w:rFonts w:hint="eastAsia" w:cs="Arial"/>
                <w:color w:val="000000"/>
                <w:sz w:val="22"/>
                <w:lang w:eastAsia="zh-CN"/>
              </w:rPr>
              <w:t>维稳经费</w:t>
            </w:r>
          </w:p>
        </w:tc>
        <w:tc>
          <w:tcPr>
            <w:tcW w:w="1225" w:type="dxa"/>
            <w:tcBorders>
              <w:top w:val="nil"/>
              <w:left w:val="nil"/>
              <w:bottom w:val="single" w:color="auto" w:sz="4" w:space="0"/>
              <w:right w:val="single" w:color="auto" w:sz="4" w:space="0"/>
            </w:tcBorders>
            <w:vAlign w:val="bottom"/>
          </w:tcPr>
          <w:p>
            <w:pPr>
              <w:jc w:val="right"/>
              <w:rPr>
                <w:rFonts w:hint="default" w:ascii="Arial" w:hAnsi="Arial" w:cs="Arial" w:eastAsiaTheme="minorEastAsia"/>
                <w:color w:val="000000"/>
                <w:sz w:val="20"/>
                <w:szCs w:val="20"/>
                <w:lang w:val="en-US" w:eastAsia="zh-CN"/>
              </w:rPr>
            </w:pPr>
            <w:r>
              <w:rPr>
                <w:rFonts w:hint="eastAsia" w:ascii="Arial" w:hAnsi="Arial" w:cs="Arial"/>
                <w:color w:val="000000"/>
                <w:sz w:val="20"/>
                <w:szCs w:val="20"/>
                <w:lang w:val="en-US" w:eastAsia="zh-CN"/>
              </w:rPr>
              <w:t>13.00</w:t>
            </w:r>
          </w:p>
        </w:tc>
        <w:tc>
          <w:tcPr>
            <w:tcW w:w="90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w:t>
            </w:r>
          </w:p>
        </w:tc>
        <w:tc>
          <w:tcPr>
            <w:tcW w:w="1011" w:type="dxa"/>
            <w:tcBorders>
              <w:top w:val="nil"/>
              <w:left w:val="nil"/>
              <w:bottom w:val="single" w:color="auto" w:sz="4" w:space="0"/>
              <w:right w:val="single" w:color="auto" w:sz="4" w:space="0"/>
            </w:tcBorders>
            <w:vAlign w:val="center"/>
          </w:tcPr>
          <w:p>
            <w:pPr>
              <w:widowControl/>
              <w:jc w:val="left"/>
              <w:rPr>
                <w:rFonts w:ascii="宋体" w:cs="宋体"/>
                <w:color w:val="FF0000"/>
                <w:kern w:val="0"/>
                <w:sz w:val="22"/>
              </w:rPr>
            </w:pPr>
            <w:r>
              <w:rPr>
                <w:rFonts w:hint="eastAsia" w:ascii="宋体" w:hAnsi="宋体" w:cs="宋体"/>
                <w:color w:val="FF0000"/>
                <w:kern w:val="0"/>
                <w:sz w:val="22"/>
              </w:rPr>
              <w:t>　</w:t>
            </w:r>
          </w:p>
        </w:tc>
        <w:tc>
          <w:tcPr>
            <w:tcW w:w="867" w:type="dxa"/>
            <w:tcBorders>
              <w:top w:val="nil"/>
              <w:left w:val="nil"/>
              <w:bottom w:val="single" w:color="auto" w:sz="4" w:space="0"/>
              <w:right w:val="single" w:color="auto" w:sz="4" w:space="0"/>
            </w:tcBorders>
            <w:vAlign w:val="center"/>
          </w:tcPr>
          <w:p>
            <w:pPr>
              <w:widowControl/>
              <w:jc w:val="left"/>
              <w:rPr>
                <w:rFonts w:ascii="宋体" w:cs="宋体"/>
                <w:color w:val="FF0000"/>
                <w:kern w:val="0"/>
                <w:sz w:val="22"/>
              </w:rPr>
            </w:pPr>
            <w:r>
              <w:rPr>
                <w:rFonts w:hint="eastAsia" w:ascii="宋体" w:hAnsi="宋体" w:cs="宋体"/>
                <w:color w:val="FF0000"/>
                <w:kern w:val="0"/>
                <w:sz w:val="22"/>
              </w:rPr>
              <w:t>　</w:t>
            </w: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cs="宋体"/>
                <w:color w:val="000000"/>
                <w:kern w:val="0"/>
                <w:sz w:val="22"/>
              </w:rPr>
              <w:t>4</w:t>
            </w:r>
          </w:p>
        </w:tc>
        <w:tc>
          <w:tcPr>
            <w:tcW w:w="4272" w:type="dxa"/>
            <w:tcBorders>
              <w:top w:val="single" w:color="auto" w:sz="4" w:space="0"/>
              <w:left w:val="single" w:color="auto" w:sz="4" w:space="0"/>
              <w:bottom w:val="single" w:color="auto" w:sz="4" w:space="0"/>
              <w:right w:val="single" w:color="auto" w:sz="4" w:space="0"/>
            </w:tcBorders>
            <w:vAlign w:val="center"/>
          </w:tcPr>
          <w:p>
            <w:pPr>
              <w:rPr>
                <w:rFonts w:hint="eastAsia" w:cs="Arial" w:eastAsiaTheme="minorEastAsia"/>
                <w:color w:val="000000"/>
                <w:sz w:val="22"/>
                <w:lang w:eastAsia="zh-CN"/>
              </w:rPr>
            </w:pPr>
            <w:r>
              <w:rPr>
                <w:rFonts w:hint="eastAsia" w:cs="Arial"/>
                <w:color w:val="000000"/>
                <w:sz w:val="22"/>
                <w:lang w:eastAsia="zh-CN"/>
              </w:rPr>
              <w:t>办公楼防水工程经费</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ascii="Arial" w:hAnsi="Arial" w:cs="Arial"/>
                <w:color w:val="000000"/>
                <w:sz w:val="20"/>
                <w:szCs w:val="20"/>
              </w:rPr>
            </w:pPr>
            <w:r>
              <w:rPr>
                <w:rFonts w:hint="eastAsia" w:ascii="Arial" w:hAnsi="Arial" w:cs="Arial"/>
                <w:color w:val="000000"/>
                <w:sz w:val="20"/>
                <w:szCs w:val="20"/>
                <w:lang w:val="en-US" w:eastAsia="zh-CN"/>
              </w:rPr>
              <w:t>3.00</w:t>
            </w:r>
            <w:r>
              <w:rPr>
                <w:rFonts w:ascii="Arial" w:hAnsi="Arial" w:cs="Arial"/>
                <w:color w:val="000000"/>
                <w:sz w:val="20"/>
                <w:szCs w:val="20"/>
              </w:rPr>
              <w:t xml:space="preserve"> </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cs="宋体"/>
                <w:color w:val="000000"/>
                <w:kern w:val="0"/>
                <w:sz w:val="22"/>
              </w:rPr>
              <w:t>5</w:t>
            </w:r>
          </w:p>
        </w:tc>
        <w:tc>
          <w:tcPr>
            <w:tcW w:w="4272" w:type="dxa"/>
            <w:tcBorders>
              <w:top w:val="single" w:color="auto" w:sz="4" w:space="0"/>
              <w:left w:val="single" w:color="auto" w:sz="4" w:space="0"/>
              <w:bottom w:val="single" w:color="auto" w:sz="4" w:space="0"/>
              <w:right w:val="single" w:color="auto" w:sz="4" w:space="0"/>
            </w:tcBorders>
            <w:vAlign w:val="center"/>
          </w:tcPr>
          <w:p>
            <w:pPr>
              <w:rPr>
                <w:rFonts w:hint="eastAsia" w:cs="Arial" w:eastAsiaTheme="minorEastAsia"/>
                <w:color w:val="000000"/>
                <w:sz w:val="22"/>
                <w:lang w:eastAsia="zh-CN"/>
              </w:rPr>
            </w:pPr>
            <w:r>
              <w:rPr>
                <w:rFonts w:hint="eastAsia" w:cs="Arial"/>
                <w:color w:val="000000"/>
                <w:sz w:val="22"/>
                <w:lang w:eastAsia="zh-CN"/>
              </w:rPr>
              <w:t>建设岭西村界河路口限高设施费用</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ascii="Arial" w:hAnsi="Arial" w:cs="Arial"/>
                <w:color w:val="000000"/>
                <w:sz w:val="20"/>
                <w:szCs w:val="20"/>
              </w:rPr>
            </w:pPr>
            <w:r>
              <w:rPr>
                <w:rFonts w:hint="eastAsia" w:ascii="Arial" w:hAnsi="Arial" w:cs="Arial"/>
                <w:color w:val="000000"/>
                <w:sz w:val="20"/>
                <w:szCs w:val="20"/>
                <w:lang w:val="en-US" w:eastAsia="zh-CN"/>
              </w:rPr>
              <w:t>4.91</w:t>
            </w:r>
            <w:r>
              <w:rPr>
                <w:rFonts w:ascii="Arial" w:hAnsi="Arial" w:cs="Arial"/>
                <w:color w:val="000000"/>
                <w:sz w:val="20"/>
                <w:szCs w:val="20"/>
              </w:rPr>
              <w:t xml:space="preserve"> </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6</w:t>
            </w:r>
          </w:p>
        </w:tc>
        <w:tc>
          <w:tcPr>
            <w:tcW w:w="4272" w:type="dxa"/>
            <w:tcBorders>
              <w:top w:val="single" w:color="auto" w:sz="4" w:space="0"/>
              <w:left w:val="single" w:color="auto" w:sz="4" w:space="0"/>
              <w:bottom w:val="single" w:color="auto" w:sz="4" w:space="0"/>
              <w:right w:val="single" w:color="auto" w:sz="4" w:space="0"/>
            </w:tcBorders>
            <w:vAlign w:val="center"/>
          </w:tcPr>
          <w:p>
            <w:pPr>
              <w:rPr>
                <w:rFonts w:hint="eastAsia" w:cs="Arial"/>
                <w:color w:val="000000"/>
                <w:sz w:val="22"/>
              </w:rPr>
            </w:pPr>
            <w:r>
              <w:rPr>
                <w:rFonts w:hint="eastAsia" w:cs="Arial"/>
                <w:color w:val="000000"/>
                <w:sz w:val="22"/>
              </w:rPr>
              <w:t>河道</w:t>
            </w:r>
            <w:r>
              <w:rPr>
                <w:rFonts w:hint="eastAsia" w:cs="Arial"/>
                <w:color w:val="000000"/>
                <w:sz w:val="22"/>
                <w:lang w:eastAsia="zh-CN"/>
              </w:rPr>
              <w:t>清理</w:t>
            </w:r>
            <w:r>
              <w:rPr>
                <w:rFonts w:hint="eastAsia" w:cs="Arial"/>
                <w:color w:val="000000"/>
                <w:sz w:val="22"/>
              </w:rPr>
              <w:t>经费</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ascii="Arial" w:hAnsi="Arial" w:cs="Arial"/>
                <w:color w:val="000000"/>
                <w:sz w:val="20"/>
                <w:szCs w:val="20"/>
              </w:rPr>
            </w:pPr>
            <w:r>
              <w:rPr>
                <w:rFonts w:hint="eastAsia" w:ascii="Arial" w:hAnsi="Arial" w:cs="Arial"/>
                <w:color w:val="000000"/>
                <w:sz w:val="20"/>
                <w:szCs w:val="20"/>
                <w:lang w:val="en-US" w:eastAsia="zh-CN"/>
              </w:rPr>
              <w:t>8.00</w:t>
            </w:r>
            <w:r>
              <w:rPr>
                <w:rFonts w:ascii="Arial" w:hAnsi="Arial" w:cs="Arial"/>
                <w:color w:val="000000"/>
                <w:sz w:val="20"/>
                <w:szCs w:val="20"/>
              </w:rPr>
              <w:t xml:space="preserve"> </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kern w:val="0"/>
                <w:sz w:val="22"/>
              </w:rPr>
              <w:t xml:space="preserve"> √</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r>
              <w:rPr>
                <w:rFonts w:hint="eastAsia" w:ascii="宋体" w:hAnsi="宋体" w:cs="宋体"/>
                <w:color w:val="000000"/>
                <w:kern w:val="0"/>
                <w:sz w:val="22"/>
              </w:rPr>
              <w:t xml:space="preserve">    </w:t>
            </w: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7</w:t>
            </w:r>
          </w:p>
        </w:tc>
        <w:tc>
          <w:tcPr>
            <w:tcW w:w="4272" w:type="dxa"/>
            <w:tcBorders>
              <w:top w:val="single" w:color="auto" w:sz="4" w:space="0"/>
              <w:left w:val="single" w:color="auto" w:sz="4" w:space="0"/>
              <w:bottom w:val="single" w:color="auto" w:sz="4" w:space="0"/>
              <w:right w:val="single" w:color="auto" w:sz="4" w:space="0"/>
            </w:tcBorders>
            <w:vAlign w:val="center"/>
          </w:tcPr>
          <w:p>
            <w:pPr>
              <w:rPr>
                <w:rFonts w:hint="default" w:cs="Arial" w:eastAsiaTheme="minorEastAsia"/>
                <w:color w:val="000000"/>
                <w:sz w:val="22"/>
                <w:lang w:val="en-US" w:eastAsia="zh-CN"/>
              </w:rPr>
            </w:pPr>
            <w:r>
              <w:rPr>
                <w:rFonts w:hint="eastAsia" w:cs="Arial"/>
                <w:color w:val="000000"/>
                <w:sz w:val="22"/>
                <w:lang w:val="en-US" w:eastAsia="zh-CN"/>
              </w:rPr>
              <w:t>2020年7-9月份区财政局农村两委干部补贴资金</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ascii="Arial" w:hAnsi="Arial" w:cs="Arial"/>
                <w:color w:val="000000"/>
                <w:sz w:val="20"/>
                <w:szCs w:val="20"/>
              </w:rPr>
            </w:pPr>
            <w:r>
              <w:rPr>
                <w:rFonts w:hint="eastAsia" w:ascii="Arial" w:hAnsi="Arial" w:cs="Arial"/>
                <w:color w:val="000000"/>
                <w:sz w:val="20"/>
                <w:szCs w:val="20"/>
                <w:lang w:val="en-US" w:eastAsia="zh-CN"/>
              </w:rPr>
              <w:t>42.97</w:t>
            </w:r>
            <w:r>
              <w:rPr>
                <w:rFonts w:ascii="Arial" w:hAnsi="Arial" w:cs="Arial"/>
                <w:color w:val="000000"/>
                <w:sz w:val="20"/>
                <w:szCs w:val="20"/>
              </w:rPr>
              <w:t xml:space="preserve"> </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8</w:t>
            </w:r>
          </w:p>
        </w:tc>
        <w:tc>
          <w:tcPr>
            <w:tcW w:w="4272" w:type="dxa"/>
            <w:tcBorders>
              <w:top w:val="single" w:color="auto" w:sz="4" w:space="0"/>
              <w:left w:val="single" w:color="auto" w:sz="4" w:space="0"/>
              <w:bottom w:val="single" w:color="auto" w:sz="4" w:space="0"/>
              <w:right w:val="single" w:color="auto" w:sz="4" w:space="0"/>
            </w:tcBorders>
            <w:vAlign w:val="center"/>
          </w:tcPr>
          <w:p>
            <w:pPr>
              <w:rPr>
                <w:rFonts w:hint="eastAsia" w:cs="Arial" w:eastAsiaTheme="minorEastAsia"/>
                <w:color w:val="000000"/>
                <w:sz w:val="22"/>
                <w:lang w:eastAsia="zh-CN"/>
              </w:rPr>
            </w:pPr>
            <w:r>
              <w:rPr>
                <w:rFonts w:hint="eastAsia" w:cs="Arial"/>
                <w:color w:val="000000"/>
                <w:sz w:val="22"/>
                <w:lang w:eastAsia="zh-CN"/>
              </w:rPr>
              <w:t>村干部基础职务补贴</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hint="default" w:ascii="Arial" w:hAnsi="Arial" w:cs="Arial" w:eastAsiaTheme="minorEastAsia"/>
                <w:color w:val="000000"/>
                <w:sz w:val="20"/>
                <w:szCs w:val="20"/>
                <w:lang w:val="en-US" w:eastAsia="zh-CN"/>
              </w:rPr>
            </w:pPr>
            <w:r>
              <w:rPr>
                <w:rFonts w:hint="eastAsia" w:ascii="Arial" w:hAnsi="Arial" w:cs="Arial"/>
                <w:color w:val="000000"/>
                <w:sz w:val="20"/>
                <w:szCs w:val="20"/>
                <w:lang w:val="en-US" w:eastAsia="zh-CN"/>
              </w:rPr>
              <w:t>131.38</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 xml:space="preserve"> √</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r>
              <w:rPr>
                <w:rFonts w:hint="eastAsia" w:ascii="宋体" w:hAnsi="宋体" w:cs="宋体"/>
                <w:kern w:val="0"/>
                <w:sz w:val="22"/>
              </w:rPr>
              <w:t xml:space="preserve">    </w:t>
            </w: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r>
              <w:rPr>
                <w:rFonts w:hint="eastAsia" w:ascii="宋体" w:hAnsi="宋体" w:cs="宋体"/>
                <w:kern w:val="0"/>
                <w:sz w:val="22"/>
              </w:rPr>
              <w:t xml:space="preserve">    </w:t>
            </w: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9</w:t>
            </w:r>
          </w:p>
        </w:tc>
        <w:tc>
          <w:tcPr>
            <w:tcW w:w="4272" w:type="dxa"/>
            <w:tcBorders>
              <w:top w:val="single" w:color="auto" w:sz="4" w:space="0"/>
              <w:left w:val="single" w:color="auto" w:sz="4" w:space="0"/>
              <w:bottom w:val="single" w:color="auto" w:sz="4" w:space="0"/>
              <w:right w:val="single" w:color="auto" w:sz="4" w:space="0"/>
            </w:tcBorders>
            <w:vAlign w:val="center"/>
          </w:tcPr>
          <w:p>
            <w:pPr>
              <w:rPr>
                <w:rFonts w:hint="eastAsia" w:cs="Arial" w:eastAsiaTheme="minorEastAsia"/>
                <w:color w:val="000000"/>
                <w:sz w:val="22"/>
                <w:lang w:eastAsia="zh-CN"/>
              </w:rPr>
            </w:pPr>
            <w:r>
              <w:rPr>
                <w:rFonts w:hint="eastAsia" w:cs="Arial"/>
                <w:color w:val="000000"/>
                <w:sz w:val="22"/>
                <w:lang w:eastAsia="zh-CN"/>
              </w:rPr>
              <w:t>正常离任村干部生活补贴</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hint="default" w:ascii="Arial" w:hAnsi="Arial" w:cs="Arial" w:eastAsiaTheme="minorEastAsia"/>
                <w:color w:val="000000"/>
                <w:sz w:val="20"/>
                <w:szCs w:val="20"/>
                <w:lang w:val="en-US" w:eastAsia="zh-CN"/>
              </w:rPr>
            </w:pPr>
            <w:r>
              <w:rPr>
                <w:rFonts w:hint="eastAsia" w:ascii="Arial" w:hAnsi="Arial" w:cs="Arial"/>
                <w:color w:val="000000"/>
                <w:sz w:val="20"/>
                <w:szCs w:val="20"/>
                <w:lang w:val="en-US" w:eastAsia="zh-CN"/>
              </w:rPr>
              <w:t>7.50</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 xml:space="preserve"> √</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ind w:firstLine="440" w:firstLineChars="200"/>
              <w:jc w:val="left"/>
              <w:rPr>
                <w:rFonts w:ascii="宋体" w:hAnsi="宋体" w:cs="宋体"/>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10</w:t>
            </w:r>
          </w:p>
        </w:tc>
        <w:tc>
          <w:tcPr>
            <w:tcW w:w="4272" w:type="dxa"/>
            <w:tcBorders>
              <w:top w:val="single" w:color="auto" w:sz="4" w:space="0"/>
              <w:left w:val="single" w:color="auto" w:sz="4" w:space="0"/>
              <w:bottom w:val="single" w:color="auto" w:sz="4" w:space="0"/>
              <w:right w:val="single" w:color="auto" w:sz="4" w:space="0"/>
            </w:tcBorders>
            <w:vAlign w:val="center"/>
          </w:tcPr>
          <w:p>
            <w:pPr>
              <w:rPr>
                <w:rFonts w:hint="eastAsia" w:cs="Arial"/>
                <w:color w:val="000000"/>
                <w:sz w:val="22"/>
              </w:rPr>
            </w:pPr>
            <w:r>
              <w:rPr>
                <w:rFonts w:hint="eastAsia" w:cs="Arial"/>
                <w:color w:val="000000"/>
                <w:sz w:val="22"/>
                <w:lang w:eastAsia="zh-CN"/>
              </w:rPr>
              <w:t>村干部</w:t>
            </w:r>
            <w:r>
              <w:rPr>
                <w:rFonts w:hint="eastAsia" w:cs="Arial"/>
                <w:color w:val="000000"/>
                <w:sz w:val="22"/>
              </w:rPr>
              <w:t>保险</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ascii="Arial" w:hAnsi="Arial" w:cs="Arial"/>
                <w:color w:val="000000"/>
                <w:sz w:val="20"/>
                <w:szCs w:val="20"/>
              </w:rPr>
            </w:pPr>
            <w:r>
              <w:rPr>
                <w:rFonts w:hint="eastAsia" w:ascii="Arial" w:hAnsi="Arial" w:cs="Arial"/>
                <w:color w:val="000000"/>
                <w:sz w:val="20"/>
                <w:szCs w:val="20"/>
                <w:lang w:val="en-US" w:eastAsia="zh-CN"/>
              </w:rPr>
              <w:t>6.94</w:t>
            </w:r>
            <w:r>
              <w:rPr>
                <w:rFonts w:ascii="Arial" w:hAnsi="Arial" w:cs="Arial"/>
                <w:color w:val="000000"/>
                <w:sz w:val="20"/>
                <w:szCs w:val="20"/>
              </w:rPr>
              <w:t xml:space="preserve"> </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11</w:t>
            </w:r>
          </w:p>
        </w:tc>
        <w:tc>
          <w:tcPr>
            <w:tcW w:w="4272" w:type="dxa"/>
            <w:tcBorders>
              <w:top w:val="single" w:color="auto" w:sz="4" w:space="0"/>
              <w:left w:val="single" w:color="auto" w:sz="4" w:space="0"/>
              <w:bottom w:val="single" w:color="auto" w:sz="4" w:space="0"/>
              <w:right w:val="single" w:color="auto" w:sz="4" w:space="0"/>
            </w:tcBorders>
            <w:vAlign w:val="center"/>
          </w:tcPr>
          <w:p>
            <w:pPr>
              <w:rPr>
                <w:rFonts w:hint="eastAsia" w:cs="Arial" w:eastAsiaTheme="minorEastAsia"/>
                <w:color w:val="000000"/>
                <w:sz w:val="22"/>
                <w:lang w:eastAsia="zh-CN"/>
              </w:rPr>
            </w:pPr>
            <w:r>
              <w:rPr>
                <w:rFonts w:hint="eastAsia" w:cs="Arial"/>
                <w:color w:val="000000"/>
                <w:sz w:val="22"/>
                <w:lang w:eastAsia="zh-CN"/>
              </w:rPr>
              <w:t>坨南乡防控经费</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ascii="Arial" w:hAnsi="Arial" w:cs="Arial"/>
                <w:color w:val="000000"/>
                <w:sz w:val="20"/>
                <w:szCs w:val="20"/>
              </w:rPr>
            </w:pPr>
            <w:r>
              <w:rPr>
                <w:rFonts w:hint="eastAsia" w:ascii="Arial" w:hAnsi="Arial" w:cs="Arial"/>
                <w:color w:val="000000"/>
                <w:sz w:val="20"/>
                <w:szCs w:val="20"/>
                <w:lang w:val="en-US" w:eastAsia="zh-CN"/>
              </w:rPr>
              <w:t>10.00</w:t>
            </w:r>
            <w:r>
              <w:rPr>
                <w:rFonts w:ascii="Arial" w:hAnsi="Arial" w:cs="Arial"/>
                <w:color w:val="000000"/>
                <w:sz w:val="20"/>
                <w:szCs w:val="20"/>
              </w:rPr>
              <w:t xml:space="preserve"> </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12</w:t>
            </w:r>
          </w:p>
        </w:tc>
        <w:tc>
          <w:tcPr>
            <w:tcW w:w="4272" w:type="dxa"/>
            <w:tcBorders>
              <w:top w:val="single" w:color="auto" w:sz="4" w:space="0"/>
              <w:left w:val="single" w:color="auto" w:sz="4" w:space="0"/>
              <w:bottom w:val="single" w:color="auto" w:sz="4" w:space="0"/>
              <w:right w:val="single" w:color="auto" w:sz="4" w:space="0"/>
            </w:tcBorders>
            <w:vAlign w:val="center"/>
          </w:tcPr>
          <w:p>
            <w:pPr>
              <w:rPr>
                <w:rFonts w:hint="default" w:cs="Arial" w:eastAsiaTheme="minorEastAsia"/>
                <w:color w:val="000000"/>
                <w:sz w:val="22"/>
                <w:lang w:val="en-US" w:eastAsia="zh-CN"/>
              </w:rPr>
            </w:pPr>
            <w:r>
              <w:rPr>
                <w:rFonts w:hint="eastAsia" w:cs="Arial"/>
                <w:color w:val="000000"/>
                <w:sz w:val="22"/>
                <w:lang w:eastAsia="zh-CN"/>
              </w:rPr>
              <w:t>农村文化建设资金</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ascii="Arial" w:hAnsi="Arial" w:cs="Arial"/>
                <w:color w:val="000000"/>
                <w:sz w:val="20"/>
                <w:szCs w:val="20"/>
              </w:rPr>
            </w:pPr>
            <w:r>
              <w:rPr>
                <w:rFonts w:hint="eastAsia" w:ascii="Arial" w:hAnsi="Arial" w:cs="Arial"/>
                <w:color w:val="000000"/>
                <w:sz w:val="20"/>
                <w:szCs w:val="20"/>
                <w:lang w:val="en-US" w:eastAsia="zh-CN"/>
              </w:rPr>
              <w:t>17.00</w:t>
            </w:r>
            <w:r>
              <w:rPr>
                <w:rFonts w:ascii="Arial" w:hAnsi="Arial" w:cs="Arial"/>
                <w:color w:val="000000"/>
                <w:sz w:val="20"/>
                <w:szCs w:val="20"/>
              </w:rPr>
              <w:t xml:space="preserve"> </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cs="宋体" w:eastAsiaTheme="minorEastAsia"/>
                <w:color w:val="000000"/>
                <w:kern w:val="0"/>
                <w:sz w:val="22"/>
                <w:lang w:val="en-US" w:eastAsia="zh-CN"/>
              </w:rPr>
            </w:pPr>
            <w:r>
              <w:rPr>
                <w:rFonts w:hint="eastAsia" w:ascii="宋体" w:hAnsi="宋体" w:cs="宋体"/>
                <w:color w:val="000000"/>
                <w:kern w:val="0"/>
                <w:sz w:val="22"/>
                <w:lang w:val="en-US" w:eastAsia="zh-CN"/>
              </w:rPr>
              <w:t>13</w:t>
            </w:r>
          </w:p>
        </w:tc>
        <w:tc>
          <w:tcPr>
            <w:tcW w:w="4272" w:type="dxa"/>
            <w:tcBorders>
              <w:top w:val="single" w:color="auto" w:sz="4" w:space="0"/>
              <w:left w:val="single" w:color="auto" w:sz="4" w:space="0"/>
              <w:bottom w:val="single" w:color="auto" w:sz="4" w:space="0"/>
              <w:right w:val="single" w:color="auto" w:sz="4" w:space="0"/>
            </w:tcBorders>
            <w:vAlign w:val="center"/>
          </w:tcPr>
          <w:p>
            <w:pPr>
              <w:rPr>
                <w:rFonts w:hint="eastAsia" w:cs="Arial"/>
                <w:color w:val="000000"/>
                <w:sz w:val="22"/>
              </w:rPr>
            </w:pPr>
            <w:r>
              <w:rPr>
                <w:rFonts w:hint="eastAsia" w:cs="Arial"/>
                <w:color w:val="000000"/>
                <w:sz w:val="22"/>
              </w:rPr>
              <w:t>基层组织运转经费和党建提升经费</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hint="default" w:ascii="Arial" w:hAnsi="Arial" w:cs="Arial" w:eastAsiaTheme="minorEastAsia"/>
                <w:color w:val="000000"/>
                <w:sz w:val="20"/>
                <w:szCs w:val="20"/>
                <w:lang w:val="en-US" w:eastAsia="zh-CN"/>
              </w:rPr>
            </w:pPr>
            <w:r>
              <w:rPr>
                <w:rFonts w:hint="eastAsia" w:ascii="Arial" w:hAnsi="Arial" w:cs="Arial"/>
                <w:color w:val="000000"/>
                <w:sz w:val="20"/>
                <w:szCs w:val="20"/>
                <w:lang w:val="en-US" w:eastAsia="zh-CN"/>
              </w:rPr>
              <w:t>0.63</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2"/>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eastAsiaTheme="minorEastAsia"/>
                <w:kern w:val="0"/>
                <w:sz w:val="22"/>
                <w:lang w:val="en-US" w:eastAsia="zh-CN"/>
              </w:rPr>
            </w:pPr>
            <w:r>
              <w:rPr>
                <w:rFonts w:hint="eastAsia" w:ascii="宋体" w:hAnsi="宋体" w:cs="宋体"/>
                <w:kern w:val="0"/>
                <w:sz w:val="22"/>
              </w:rPr>
              <w:t>1</w:t>
            </w:r>
            <w:r>
              <w:rPr>
                <w:rFonts w:hint="eastAsia" w:ascii="宋体" w:hAnsi="宋体" w:cs="宋体"/>
                <w:kern w:val="0"/>
                <w:sz w:val="22"/>
                <w:lang w:val="en-US" w:eastAsia="zh-CN"/>
              </w:rPr>
              <w:t>4</w:t>
            </w:r>
          </w:p>
        </w:tc>
        <w:tc>
          <w:tcPr>
            <w:tcW w:w="4272" w:type="dxa"/>
            <w:tcBorders>
              <w:top w:val="single" w:color="auto" w:sz="4" w:space="0"/>
              <w:left w:val="single" w:color="auto" w:sz="4" w:space="0"/>
              <w:bottom w:val="single" w:color="auto" w:sz="4" w:space="0"/>
              <w:right w:val="single" w:color="auto" w:sz="4" w:space="0"/>
            </w:tcBorders>
            <w:vAlign w:val="center"/>
          </w:tcPr>
          <w:p>
            <w:pPr>
              <w:rPr>
                <w:rFonts w:hint="eastAsia" w:cs="Arial"/>
                <w:color w:val="000000"/>
                <w:sz w:val="22"/>
              </w:rPr>
            </w:pPr>
            <w:r>
              <w:rPr>
                <w:rFonts w:hint="eastAsia" w:cs="Arial"/>
                <w:color w:val="000000"/>
                <w:sz w:val="22"/>
              </w:rPr>
              <w:t>为服务群众专项、村级办公、党组织活动经费</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hint="default" w:ascii="Arial" w:hAnsi="Arial" w:cs="Arial" w:eastAsiaTheme="minorEastAsia"/>
                <w:color w:val="000000"/>
                <w:sz w:val="20"/>
                <w:szCs w:val="20"/>
                <w:lang w:val="en-US" w:eastAsia="zh-CN"/>
              </w:rPr>
            </w:pPr>
            <w:r>
              <w:rPr>
                <w:rFonts w:hint="eastAsia" w:ascii="Arial" w:hAnsi="Arial" w:cs="Arial"/>
                <w:color w:val="000000"/>
                <w:sz w:val="20"/>
                <w:szCs w:val="20"/>
                <w:lang w:val="en-US" w:eastAsia="zh-CN"/>
              </w:rPr>
              <w:t>17.63</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 xml:space="preserve"> √</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r>
              <w:rPr>
                <w:rFonts w:hint="eastAsia" w:ascii="宋体" w:hAnsi="宋体" w:cs="宋体"/>
                <w:kern w:val="0"/>
                <w:sz w:val="22"/>
              </w:rPr>
              <w:t xml:space="preserve">    </w:t>
            </w: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cs="宋体" w:eastAsiaTheme="minorEastAsia"/>
                <w:kern w:val="0"/>
                <w:sz w:val="22"/>
                <w:lang w:val="en-US" w:eastAsia="zh-CN"/>
              </w:rPr>
            </w:pPr>
            <w:r>
              <w:rPr>
                <w:rFonts w:hint="eastAsia" w:ascii="宋体" w:hAnsi="宋体" w:cs="宋体"/>
                <w:kern w:val="0"/>
                <w:sz w:val="22"/>
                <w:lang w:val="en-US" w:eastAsia="zh-CN"/>
              </w:rPr>
              <w:t>15</w:t>
            </w:r>
          </w:p>
        </w:tc>
        <w:tc>
          <w:tcPr>
            <w:tcW w:w="4272" w:type="dxa"/>
            <w:tcBorders>
              <w:top w:val="single" w:color="auto" w:sz="4" w:space="0"/>
              <w:left w:val="single" w:color="auto" w:sz="4" w:space="0"/>
              <w:bottom w:val="single" w:color="auto" w:sz="4" w:space="0"/>
              <w:right w:val="single" w:color="auto" w:sz="4" w:space="0"/>
            </w:tcBorders>
            <w:vAlign w:val="center"/>
          </w:tcPr>
          <w:p>
            <w:pPr>
              <w:rPr>
                <w:rFonts w:hint="eastAsia" w:cs="Arial" w:eastAsiaTheme="minorEastAsia"/>
                <w:color w:val="000000"/>
                <w:sz w:val="22"/>
                <w:lang w:eastAsia="zh-CN"/>
              </w:rPr>
            </w:pPr>
            <w:r>
              <w:rPr>
                <w:rFonts w:hint="eastAsia" w:cs="Arial"/>
                <w:color w:val="000000"/>
                <w:sz w:val="22"/>
                <w:lang w:eastAsia="zh-CN"/>
              </w:rPr>
              <w:t>美丽乡村样板村奖补资金</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hint="default" w:ascii="Arial" w:hAnsi="Arial" w:cs="Arial" w:eastAsiaTheme="minorEastAsia"/>
                <w:color w:val="000000"/>
                <w:sz w:val="20"/>
                <w:szCs w:val="20"/>
                <w:lang w:val="en-US" w:eastAsia="zh-CN"/>
              </w:rPr>
            </w:pPr>
            <w:r>
              <w:rPr>
                <w:rFonts w:hint="eastAsia" w:ascii="Arial" w:hAnsi="Arial" w:cs="Arial"/>
                <w:color w:val="000000"/>
                <w:sz w:val="20"/>
                <w:szCs w:val="20"/>
                <w:lang w:val="en-US" w:eastAsia="zh-CN"/>
              </w:rPr>
              <w:t>251.52</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2"/>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eastAsiaTheme="minorEastAsia"/>
                <w:kern w:val="0"/>
                <w:sz w:val="22"/>
                <w:lang w:val="en-US" w:eastAsia="zh-CN"/>
              </w:rPr>
            </w:pPr>
            <w:r>
              <w:rPr>
                <w:rFonts w:hint="eastAsia" w:ascii="宋体" w:hAnsi="宋体" w:cs="宋体"/>
                <w:kern w:val="0"/>
                <w:sz w:val="22"/>
              </w:rPr>
              <w:t>1</w:t>
            </w:r>
            <w:r>
              <w:rPr>
                <w:rFonts w:hint="eastAsia" w:ascii="宋体" w:hAnsi="宋体" w:cs="宋体"/>
                <w:kern w:val="0"/>
                <w:sz w:val="22"/>
                <w:lang w:val="en-US" w:eastAsia="zh-CN"/>
              </w:rPr>
              <w:t>6</w:t>
            </w:r>
          </w:p>
        </w:tc>
        <w:tc>
          <w:tcPr>
            <w:tcW w:w="4272" w:type="dxa"/>
            <w:tcBorders>
              <w:top w:val="single" w:color="auto" w:sz="4" w:space="0"/>
              <w:left w:val="single" w:color="auto" w:sz="4" w:space="0"/>
              <w:bottom w:val="single" w:color="auto" w:sz="4" w:space="0"/>
              <w:right w:val="single" w:color="auto" w:sz="4" w:space="0"/>
            </w:tcBorders>
            <w:vAlign w:val="center"/>
          </w:tcPr>
          <w:p>
            <w:pPr>
              <w:rPr>
                <w:rFonts w:hint="default" w:cs="Arial" w:eastAsiaTheme="minorEastAsia"/>
                <w:color w:val="000000"/>
                <w:sz w:val="22"/>
                <w:lang w:val="en-US" w:eastAsia="zh-CN"/>
              </w:rPr>
            </w:pPr>
            <w:r>
              <w:rPr>
                <w:rFonts w:hint="eastAsia" w:cs="Arial"/>
                <w:color w:val="000000"/>
                <w:sz w:val="22"/>
                <w:lang w:val="en-US" w:eastAsia="zh-CN"/>
              </w:rPr>
              <w:t>2017年一事一议财政奖补资金</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hint="default" w:ascii="Arial" w:hAnsi="Arial" w:cs="Arial" w:eastAsiaTheme="minorEastAsia"/>
                <w:color w:val="000000"/>
                <w:sz w:val="20"/>
                <w:szCs w:val="20"/>
                <w:lang w:val="en-US" w:eastAsia="zh-CN"/>
              </w:rPr>
            </w:pPr>
            <w:r>
              <w:rPr>
                <w:rFonts w:hint="eastAsia" w:ascii="Arial" w:hAnsi="Arial" w:cs="Arial"/>
                <w:color w:val="000000"/>
                <w:sz w:val="20"/>
                <w:szCs w:val="20"/>
                <w:lang w:val="en-US" w:eastAsia="zh-CN"/>
              </w:rPr>
              <w:t>5.49</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2"/>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cs="宋体" w:eastAsiaTheme="minorEastAsia"/>
                <w:kern w:val="0"/>
                <w:sz w:val="22"/>
                <w:lang w:val="en-US" w:eastAsia="zh-CN"/>
              </w:rPr>
            </w:pPr>
            <w:r>
              <w:rPr>
                <w:rFonts w:hint="eastAsia" w:ascii="宋体" w:hAnsi="宋体" w:cs="宋体"/>
                <w:kern w:val="0"/>
                <w:sz w:val="22"/>
                <w:lang w:val="en-US" w:eastAsia="zh-CN"/>
              </w:rPr>
              <w:t>17</w:t>
            </w:r>
          </w:p>
        </w:tc>
        <w:tc>
          <w:tcPr>
            <w:tcW w:w="4272" w:type="dxa"/>
            <w:tcBorders>
              <w:top w:val="single" w:color="auto" w:sz="4" w:space="0"/>
              <w:left w:val="single" w:color="auto" w:sz="4" w:space="0"/>
              <w:bottom w:val="single" w:color="auto" w:sz="4" w:space="0"/>
              <w:right w:val="single" w:color="auto" w:sz="4" w:space="0"/>
            </w:tcBorders>
            <w:vAlign w:val="center"/>
          </w:tcPr>
          <w:p>
            <w:pPr>
              <w:rPr>
                <w:rFonts w:hint="default" w:cs="Arial"/>
                <w:color w:val="000000"/>
                <w:sz w:val="22"/>
                <w:lang w:val="en-US" w:eastAsia="zh-CN"/>
              </w:rPr>
            </w:pPr>
            <w:r>
              <w:rPr>
                <w:rFonts w:hint="eastAsia" w:cs="Arial"/>
                <w:color w:val="000000"/>
                <w:sz w:val="22"/>
                <w:lang w:val="en-US" w:eastAsia="zh-CN"/>
              </w:rPr>
              <w:t>中央农村综合改革转移支付资金</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hint="default" w:ascii="Arial" w:hAnsi="Arial" w:cs="Arial"/>
                <w:color w:val="000000"/>
                <w:sz w:val="20"/>
                <w:szCs w:val="20"/>
                <w:lang w:val="en-US" w:eastAsia="zh-CN"/>
              </w:rPr>
            </w:pPr>
            <w:r>
              <w:rPr>
                <w:rFonts w:hint="eastAsia" w:ascii="Arial" w:hAnsi="Arial" w:cs="Arial"/>
                <w:color w:val="000000"/>
                <w:sz w:val="20"/>
                <w:szCs w:val="20"/>
                <w:lang w:val="en-US" w:eastAsia="zh-CN"/>
              </w:rPr>
              <w:t>164.46</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2"/>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bl>
    <w:p>
      <w:pPr>
        <w:numPr>
          <w:ilvl w:val="0"/>
          <w:numId w:val="0"/>
        </w:numPr>
        <w:adjustRightInd w:val="0"/>
        <w:snapToGrid w:val="0"/>
        <w:spacing w:line="600" w:lineRule="exact"/>
        <w:ind w:leftChars="200"/>
        <w:rPr>
          <w:rFonts w:hint="eastAsia" w:ascii="仿宋_GB2312" w:hAnsi="仿宋_GB2312" w:eastAsia="仿宋_GB2312" w:cs="仿宋_GB2312"/>
          <w:b/>
          <w:bCs/>
          <w:sz w:val="32"/>
          <w:szCs w:val="32"/>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三</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财政评价项目绩效评价结果</w:t>
      </w:r>
    </w:p>
    <w:p>
      <w:pPr>
        <w:adjustRightInd w:val="0"/>
        <w:snapToGrid w:val="0"/>
        <w:spacing w:line="60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无</w:t>
      </w:r>
    </w:p>
    <w:p>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本部门2020年度机关运行经费支出</w:t>
      </w:r>
      <w:r>
        <w:rPr>
          <w:rFonts w:hint="eastAsia" w:ascii="仿宋_GB2312" w:hAnsi="仿宋_GB2312" w:eastAsia="仿宋_GB2312" w:cs="仿宋_GB2312"/>
          <w:sz w:val="32"/>
          <w:szCs w:val="32"/>
          <w:lang w:val="en-US" w:eastAsia="zh-CN"/>
        </w:rPr>
        <w:t>40.28</w:t>
      </w:r>
      <w:r>
        <w:rPr>
          <w:rFonts w:hint="eastAsia" w:ascii="仿宋_GB2312" w:hAnsi="仿宋_GB2312" w:eastAsia="仿宋_GB2312" w:cs="仿宋_GB2312"/>
          <w:sz w:val="32"/>
          <w:szCs w:val="32"/>
        </w:rPr>
        <w:t>万元，比2019年度减少</w:t>
      </w:r>
      <w:r>
        <w:rPr>
          <w:rFonts w:hint="eastAsia" w:ascii="仿宋_GB2312" w:hAnsi="仿宋_GB2312" w:eastAsia="仿宋_GB2312" w:cs="仿宋_GB2312"/>
          <w:sz w:val="32"/>
          <w:szCs w:val="32"/>
          <w:lang w:val="en-US" w:eastAsia="zh-CN"/>
        </w:rPr>
        <w:t>12.06</w:t>
      </w:r>
      <w:r>
        <w:rPr>
          <w:rFonts w:hint="eastAsia" w:ascii="仿宋_GB2312" w:hAnsi="仿宋_GB2312" w:eastAsia="仿宋_GB2312" w:cs="仿宋_GB2312"/>
          <w:sz w:val="32"/>
          <w:szCs w:val="32"/>
        </w:rPr>
        <w:t>万元，降低</w:t>
      </w:r>
      <w:r>
        <w:rPr>
          <w:rFonts w:hint="eastAsia" w:ascii="仿宋_GB2312" w:hAnsi="仿宋_GB2312" w:eastAsia="仿宋_GB2312" w:cs="仿宋_GB2312"/>
          <w:sz w:val="32"/>
          <w:szCs w:val="32"/>
          <w:lang w:val="en-US" w:eastAsia="zh-CN"/>
        </w:rPr>
        <w:t>23.04</w:t>
      </w:r>
      <w:r>
        <w:rPr>
          <w:rFonts w:hint="eastAsia" w:ascii="仿宋_GB2312" w:hAnsi="仿宋_GB2312" w:eastAsia="仿宋_GB2312" w:cs="仿宋_GB2312"/>
          <w:sz w:val="32"/>
          <w:szCs w:val="32"/>
        </w:rPr>
        <w:t>%。主要原因是</w:t>
      </w:r>
      <w:r>
        <w:rPr>
          <w:rFonts w:hint="eastAsia" w:ascii="仿宋_GB2312" w:hAnsi="仿宋_GB2312" w:eastAsia="仿宋_GB2312" w:cs="仿宋_GB2312"/>
          <w:sz w:val="32"/>
          <w:szCs w:val="32"/>
          <w:lang w:val="en-US" w:eastAsia="zh-CN"/>
        </w:rPr>
        <w:t>节约开支，厉行节俭</w:t>
      </w:r>
      <w:r>
        <w:rPr>
          <w:rFonts w:hint="eastAsia" w:ascii="仿宋_GB2312" w:hAnsi="仿宋_GB2312" w:eastAsia="仿宋_GB2312" w:cs="仿宋_GB2312"/>
          <w:sz w:val="32"/>
          <w:szCs w:val="32"/>
        </w:rPr>
        <w:t>。</w:t>
      </w:r>
    </w:p>
    <w:p>
      <w:pPr>
        <w:keepNext/>
        <w:keepLines/>
        <w:snapToGrid w:val="0"/>
        <w:spacing w:line="600" w:lineRule="exact"/>
        <w:ind w:firstLine="640" w:firstLineChars="200"/>
        <w:outlineLvl w:val="2"/>
        <w:rPr>
          <w:rFonts w:ascii="仿宋_GB2312" w:hAnsi="仿宋_GB2312" w:eastAsia="仿宋_GB2312" w:cs="仿宋_GB2312"/>
          <w:sz w:val="32"/>
          <w:szCs w:val="32"/>
        </w:rPr>
      </w:pPr>
      <w:r>
        <w:rPr>
          <w:rFonts w:hint="eastAsia" w:ascii="黑体" w:hAnsi="黑体" w:eastAsia="黑体" w:cs="黑体"/>
          <w:sz w:val="32"/>
          <w:szCs w:val="32"/>
        </w:rPr>
        <w:t>八、政府采购情况</w:t>
      </w:r>
    </w:p>
    <w:p>
      <w:pPr>
        <w:snapToGrid w:val="0"/>
        <w:spacing w:line="600" w:lineRule="exact"/>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本部门2020年度政府采购支出总额</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万元，从采购类型来看，</w:t>
      </w:r>
      <w:r>
        <w:rPr>
          <w:rFonts w:hint="eastAsia"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万元、政府采购工程支出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万元、政府采购服务支出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万元。授予中小企业合同金</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%，其中授予小微企业合同金额</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截至2020年12月31日，本部门共有车辆</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辆，比上年增加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辆，主要是</w:t>
      </w:r>
      <w:r>
        <w:rPr>
          <w:rFonts w:hint="eastAsia" w:ascii="仿宋_GB2312" w:hAnsi="仿宋_GB2312" w:eastAsia="仿宋_GB2312" w:cs="仿宋_GB2312"/>
          <w:sz w:val="32"/>
          <w:szCs w:val="32"/>
          <w:lang w:val="en-US" w:eastAsia="zh-CN"/>
        </w:rPr>
        <w:t>未发生公务用车购置经费支出</w:t>
      </w:r>
      <w:r>
        <w:rPr>
          <w:rFonts w:hint="eastAsia" w:ascii="仿宋_GB2312" w:hAnsi="仿宋_GB2312" w:eastAsia="仿宋_GB2312" w:cs="仿宋_GB2312"/>
          <w:sz w:val="32"/>
          <w:szCs w:val="32"/>
        </w:rPr>
        <w:t>。其中，副部（省）级及以上领导用车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辆，主要领导干部用车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辆，机要通信用车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辆，应急保障用车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辆，执法执勤用车</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辆，特种专业技术用车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辆，离退休干部用车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辆，其他用车</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辆，其他用车主要是</w:t>
      </w:r>
      <w:r>
        <w:rPr>
          <w:rFonts w:hint="eastAsia" w:ascii="仿宋_GB2312" w:hAnsi="仿宋_GB2312" w:eastAsia="仿宋_GB2312" w:cs="仿宋_GB2312"/>
          <w:sz w:val="32"/>
          <w:szCs w:val="32"/>
          <w:lang w:val="en-US" w:eastAsia="zh-CN"/>
        </w:rPr>
        <w:t>防火及矿山巡查公务车</w:t>
      </w:r>
      <w:r>
        <w:rPr>
          <w:rFonts w:hint="eastAsia" w:ascii="仿宋_GB2312" w:hAnsi="仿宋_GB2312" w:eastAsia="仿宋_GB2312" w:cs="仿宋_GB2312"/>
          <w:sz w:val="32"/>
          <w:szCs w:val="32"/>
        </w:rPr>
        <w:t>；</w:t>
      </w:r>
    </w:p>
    <w:p>
      <w:pPr>
        <w:adjustRightInd w:val="0"/>
        <w:snapToGrid w:val="0"/>
        <w:spacing w:line="60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单位价值50万元以上通用设备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台（套），比上年增加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套，单位价值100万元以上专用设备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台（套）比上年增加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套，主要是</w:t>
      </w:r>
      <w:r>
        <w:rPr>
          <w:rFonts w:hint="eastAsia" w:ascii="仿宋_GB2312" w:hAnsi="仿宋_GB2312" w:eastAsia="仿宋_GB2312" w:cs="仿宋_GB2312"/>
          <w:sz w:val="32"/>
          <w:szCs w:val="32"/>
          <w:lang w:val="en-US" w:eastAsia="zh-CN"/>
        </w:rPr>
        <w:t>未发生单位价值100万元以上专用设备支出</w:t>
      </w:r>
      <w:r>
        <w:rPr>
          <w:rFonts w:hint="eastAsia" w:ascii="仿宋_GB2312" w:hAnsi="仿宋_GB2312" w:eastAsia="仿宋_GB2312" w:cs="仿宋_GB2312"/>
          <w:sz w:val="32"/>
          <w:szCs w:val="32"/>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 本部门2020年度未发生</w:t>
      </w:r>
      <w:r>
        <w:rPr>
          <w:rFonts w:hint="eastAsia" w:ascii="仿宋_GB2312" w:hAnsi="仿宋_GB2312" w:eastAsia="仿宋_GB2312" w:cs="仿宋_GB2312"/>
          <w:sz w:val="32"/>
          <w:szCs w:val="32"/>
          <w:highlight w:val="none"/>
        </w:rPr>
        <w:t>国有资金经营预算</w:t>
      </w:r>
      <w:r>
        <w:rPr>
          <w:rFonts w:hint="eastAsia" w:ascii="仿宋_GB2312" w:hAnsi="仿宋_GB2312" w:eastAsia="仿宋_GB2312" w:cs="仿宋_GB2312"/>
          <w:sz w:val="32"/>
          <w:szCs w:val="32"/>
        </w:rPr>
        <w:t>收支及结转结余情况，故国有资本经营预算财政拨款支出决算表以空表列示。</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hint="eastAsia"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1312" behindDoc="0" locked="0" layoutInCell="1" allowOverlap="1">
                <wp:simplePos x="0" y="0"/>
                <wp:positionH relativeFrom="column">
                  <wp:posOffset>-1022350</wp:posOffset>
                </wp:positionH>
                <wp:positionV relativeFrom="paragraph">
                  <wp:posOffset>201930</wp:posOffset>
                </wp:positionV>
                <wp:extent cx="7793355" cy="3341370"/>
                <wp:effectExtent l="4445" t="4445" r="5080" b="6985"/>
                <wp:wrapNone/>
                <wp:docPr id="188"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6350">
                          <a:solidFill>
                            <a:schemeClr val="bg1">
                              <a:lumMod val="50000"/>
                            </a:schemeClr>
                          </a:solidFill>
                        </a:ln>
                      </wps:spPr>
                      <wps:style>
                        <a:lnRef idx="0">
                          <a:schemeClr val="accent1"/>
                        </a:lnRef>
                        <a:fillRef idx="0">
                          <a:schemeClr val="accent1"/>
                        </a:fillRef>
                        <a:effectRef idx="0">
                          <a:schemeClr val="accent1"/>
                        </a:effectRef>
                        <a:fontRef idx="minor">
                          <a:schemeClr val="dk1"/>
                        </a:fontRef>
                      </wps:style>
                      <wps:txb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5pt;margin-top:15.9pt;height:263.1pt;width:613.65pt;z-index:251661312;v-text-anchor:middle;mso-width-relative:page;mso-height-relative:page;" fillcolor="#44964D [1612]" filled="t" stroked="t" coordsize="21600,21600" o:gfxdata="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bvt8C2gAA&#10;AAwBAAAPAAAAAAAAAAEAIAAAACIAAABkcnMvZG93bnJldi54bWxQSwECFAAUAAAACACHTuJAQWqr&#10;T44CAABMBQAADgAAAAAAAAABACAAAAApAQAAZHJzL2Uyb0RvYy54bWxQSwUGAAAAAAYABgBZAQAA&#10;KQYAAAAA&#10;">
                <v:fill type="pattern" on="t" color2="#CCE8CF [3212]" o:title="5%" focussize="0,0" r:id="rId11"/>
                <v:stroke weight="0.5pt" color="#44964D [1612]" joinstyle="round"/>
                <v:imagedata o:title=""/>
                <o:lock v:ext="edit" aspectratio="f"/>
                <v:textbo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headerReference r:id="rId8"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5408"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1" name="文本框 1"/>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ysClr val="window" lastClr="CCE8CF">
                              <a:lumMod val="50000"/>
                            </a:sysClr>
                          </a:fgClr>
                          <a:bgClr>
                            <a:sysClr val="window" lastClr="CCE8CF"/>
                          </a:bgClr>
                        </a:pattFill>
                        <a:ln w="12700" cmpd="sng">
                          <a:solidFill>
                            <a:sysClr val="window" lastClr="CCE8CF">
                              <a:lumMod val="65000"/>
                            </a:sysClr>
                          </a:solidFill>
                          <a:prstDash val="solid"/>
                        </a:ln>
                        <a:effectLst/>
                      </wps:spPr>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pt;margin-top:90.65pt;height:263.1pt;width:613.65pt;z-index:251665408;v-text-anchor:middle;mso-width-relative:page;mso-height-relative:page;" fillcolor="#44964D" filled="t" stroked="t" coordsize="21600,21600" o:gfxdata="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H+/oCHbAAAADQEAAA8AAAAAAAAAAQAgAAAAIgAAAGRycy9k&#10;b3ducmV2LnhtbFBLAQIUABQAAAAIAIdO4kD/hLE3qgIAAKkFAAAOAAAAAAAAAAEAIAAAACoBAABk&#10;cnMvZTJvRG9jLnhtbFBLBQYAAAAABgAGAFkBAABGBgAAAAA=&#10;">
                <v:fill type="pattern" on="t" color2="#CCE8CF" o:title="5%" focussize="0,0" r:id="rId11"/>
                <v:stroke weight="1pt" color="#63B96C"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v:textbox>
              </v:shape>
            </w:pict>
          </mc:Fallback>
        </mc:AlternateContent>
      </w:r>
    </w:p>
    <w:tbl>
      <w:tblPr>
        <w:tblStyle w:val="5"/>
        <w:tblpPr w:leftFromText="180" w:rightFromText="180" w:vertAnchor="text" w:horzAnchor="page" w:tblpXSpec="center" w:tblpY="31"/>
        <w:tblOverlap w:val="never"/>
        <w:tblW w:w="9434" w:type="dxa"/>
        <w:jc w:val="center"/>
        <w:tblLayout w:type="fixed"/>
        <w:tblCellMar>
          <w:top w:w="0" w:type="dxa"/>
          <w:left w:w="0" w:type="dxa"/>
          <w:bottom w:w="0" w:type="dxa"/>
          <w:right w:w="0" w:type="dxa"/>
        </w:tblCellMar>
      </w:tblPr>
      <w:tblGrid>
        <w:gridCol w:w="3207"/>
        <w:gridCol w:w="724"/>
        <w:gridCol w:w="686"/>
        <w:gridCol w:w="3443"/>
        <w:gridCol w:w="536"/>
        <w:gridCol w:w="838"/>
      </w:tblGrid>
      <w:tr>
        <w:tblPrEx>
          <w:tblCellMar>
            <w:top w:w="0" w:type="dxa"/>
            <w:left w:w="0" w:type="dxa"/>
            <w:bottom w:w="0" w:type="dxa"/>
            <w:right w:w="0" w:type="dxa"/>
          </w:tblCellMar>
        </w:tblPrEx>
        <w:trPr>
          <w:trHeight w:val="499"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bottom"/>
          </w:tcPr>
          <w:p>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收入支出决算总表</w:t>
            </w:r>
          </w:p>
        </w:tc>
      </w:tr>
      <w:tr>
        <w:tblPrEx>
          <w:tblCellMar>
            <w:top w:w="0" w:type="dxa"/>
            <w:left w:w="0" w:type="dxa"/>
            <w:bottom w:w="0" w:type="dxa"/>
            <w:right w:w="0" w:type="dxa"/>
          </w:tblCellMar>
        </w:tblPrEx>
        <w:trPr>
          <w:trHeight w:val="209"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公开01表</w:t>
            </w:r>
          </w:p>
        </w:tc>
      </w:tr>
      <w:tr>
        <w:tblPrEx>
          <w:tblCellMar>
            <w:top w:w="0" w:type="dxa"/>
            <w:left w:w="0" w:type="dxa"/>
            <w:bottom w:w="0" w:type="dxa"/>
            <w:right w:w="0" w:type="dxa"/>
          </w:tblCellMar>
        </w:tblPrEx>
        <w:trPr>
          <w:trHeight w:val="430"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290" w:hRule="atLeast"/>
          <w:jc w:val="center"/>
        </w:trPr>
        <w:tc>
          <w:tcPr>
            <w:tcW w:w="461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收入</w:t>
            </w:r>
          </w:p>
        </w:tc>
        <w:tc>
          <w:tcPr>
            <w:tcW w:w="4817"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支出</w:t>
            </w:r>
          </w:p>
        </w:tc>
      </w:tr>
      <w:tr>
        <w:tblPrEx>
          <w:tblCellMar>
            <w:top w:w="0" w:type="dxa"/>
            <w:left w:w="0" w:type="dxa"/>
            <w:bottom w:w="0" w:type="dxa"/>
            <w:right w:w="0" w:type="dxa"/>
          </w:tblCellMar>
        </w:tblPrEx>
        <w:trPr>
          <w:trHeight w:val="37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项目</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行次</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项目</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行次</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一、一般公共预算财政拨款收入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1225.24</w:t>
            </w: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一、一般公共服务支出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457.42</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二、政府性基金预算财政拨款收入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二、外交支出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185"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三、上级补助收入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三、国防支出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90"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四、事业收入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四、公共安全支出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五、经营收入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五、教育支出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六、附属单位上缴收入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六、科学技术支出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七、其他收入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7</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七、文化旅游体育与传媒支出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17.00</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8</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八、社会保障和就业支出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64.35</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九、卫生健康支出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37</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23.52</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十、节能环保支出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38</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8.00</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十一、城乡社区支出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十二、农林水支出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633.43</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13</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十三、交通运输支出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14</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十四、资源勘探信息等支出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15</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十五、商业服务业等支出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16</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十六、金融支出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17</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十七、援助其他地区支出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18</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十八、自然资源海洋气象等支出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19</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十九、住房保障支出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47</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21.51</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20</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二十、粮油物资储备支出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48</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21</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二十一、灾害防治及应急管理支出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22</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二十二、其他支出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23</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二十四、债务付息支出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本年收入合计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24</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1225.24</w:t>
            </w: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本年支出合计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1225.24</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eastAsia="zh-CN" w:bidi="ar"/>
              </w:rPr>
              <w:t>使用非财政拨款结余</w:t>
            </w:r>
            <w:bookmarkStart w:id="0" w:name="_GoBack"/>
            <w:bookmarkEnd w:id="0"/>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25</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结余分配</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年初结转和结余</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26</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年末结转和结余</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27</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总计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28</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1225.24</w:t>
            </w: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总计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1225.24</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color w:val="000000"/>
                <w:kern w:val="0"/>
                <w:sz w:val="18"/>
                <w:szCs w:val="18"/>
                <w:lang w:bidi="ar"/>
              </w:rPr>
              <w:t>注：本表反映部门本年度的总收支和年末结转结余情况。</w:t>
            </w:r>
          </w:p>
          <w:p>
            <w:pPr>
              <w:widowControl/>
              <w:jc w:val="left"/>
              <w:textAlignment w:val="center"/>
              <w:rPr>
                <w:rFonts w:ascii="宋体" w:hAnsi="宋体" w:eastAsia="宋体" w:cs="宋体"/>
                <w:color w:val="000000"/>
                <w:kern w:val="0"/>
                <w:sz w:val="18"/>
                <w:szCs w:val="18"/>
                <w:lang w:bidi="ar"/>
              </w:rPr>
            </w:pPr>
          </w:p>
        </w:tc>
      </w:tr>
    </w:tbl>
    <w:tbl>
      <w:tblPr>
        <w:tblStyle w:val="5"/>
        <w:tblW w:w="9792" w:type="dxa"/>
        <w:jc w:val="center"/>
        <w:tblLayout w:type="fixed"/>
        <w:tblCellMar>
          <w:top w:w="0" w:type="dxa"/>
          <w:left w:w="0" w:type="dxa"/>
          <w:bottom w:w="0" w:type="dxa"/>
          <w:right w:w="0" w:type="dxa"/>
        </w:tblCellMar>
      </w:tblPr>
      <w:tblGrid>
        <w:gridCol w:w="1033"/>
        <w:gridCol w:w="59"/>
        <w:gridCol w:w="59"/>
        <w:gridCol w:w="1822"/>
        <w:gridCol w:w="1350"/>
        <w:gridCol w:w="1350"/>
        <w:gridCol w:w="823"/>
        <w:gridCol w:w="823"/>
        <w:gridCol w:w="823"/>
        <w:gridCol w:w="823"/>
        <w:gridCol w:w="827"/>
      </w:tblGrid>
      <w:tr>
        <w:tblPrEx>
          <w:tblCellMar>
            <w:top w:w="0" w:type="dxa"/>
            <w:left w:w="0" w:type="dxa"/>
            <w:bottom w:w="0" w:type="dxa"/>
            <w:right w:w="0" w:type="dxa"/>
          </w:tblCellMar>
        </w:tblPrEx>
        <w:trPr>
          <w:trHeight w:val="670" w:hRule="atLeast"/>
          <w:jc w:val="center"/>
        </w:trPr>
        <w:tc>
          <w:tcPr>
            <w:tcW w:w="9792" w:type="dxa"/>
            <w:gridSpan w:val="11"/>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收入决算表</w:t>
            </w:r>
          </w:p>
        </w:tc>
      </w:tr>
      <w:tr>
        <w:tblPrEx>
          <w:tblCellMar>
            <w:top w:w="0" w:type="dxa"/>
            <w:left w:w="0" w:type="dxa"/>
            <w:bottom w:w="0" w:type="dxa"/>
            <w:right w:w="0" w:type="dxa"/>
          </w:tblCellMar>
        </w:tblPrEx>
        <w:trPr>
          <w:trHeight w:val="357" w:hRule="atLeast"/>
          <w:jc w:val="center"/>
        </w:trPr>
        <w:tc>
          <w:tcPr>
            <w:tcW w:w="103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82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3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3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2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2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2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650"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公开02表</w:t>
            </w:r>
          </w:p>
        </w:tc>
      </w:tr>
      <w:tr>
        <w:tblPrEx>
          <w:tblCellMar>
            <w:top w:w="0" w:type="dxa"/>
            <w:left w:w="0" w:type="dxa"/>
            <w:bottom w:w="0" w:type="dxa"/>
            <w:right w:w="0" w:type="dxa"/>
          </w:tblCellMar>
        </w:tblPrEx>
        <w:trPr>
          <w:trHeight w:val="357" w:hRule="atLeast"/>
          <w:jc w:val="center"/>
        </w:trPr>
        <w:tc>
          <w:tcPr>
            <w:tcW w:w="1033"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82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3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3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2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2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473"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385" w:hRule="atLeast"/>
          <w:jc w:val="center"/>
        </w:trPr>
        <w:tc>
          <w:tcPr>
            <w:tcW w:w="297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3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本年收入合计</w:t>
            </w:r>
          </w:p>
        </w:tc>
        <w:tc>
          <w:tcPr>
            <w:tcW w:w="13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财政拨款收入</w:t>
            </w:r>
          </w:p>
        </w:tc>
        <w:tc>
          <w:tcPr>
            <w:tcW w:w="82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上级补助收入</w:t>
            </w:r>
          </w:p>
        </w:tc>
        <w:tc>
          <w:tcPr>
            <w:tcW w:w="82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事业收入</w:t>
            </w:r>
          </w:p>
        </w:tc>
        <w:tc>
          <w:tcPr>
            <w:tcW w:w="82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经营收入</w:t>
            </w:r>
          </w:p>
        </w:tc>
        <w:tc>
          <w:tcPr>
            <w:tcW w:w="82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附属单位上缴收入</w:t>
            </w:r>
          </w:p>
        </w:tc>
        <w:tc>
          <w:tcPr>
            <w:tcW w:w="827"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其他收入</w:t>
            </w:r>
          </w:p>
        </w:tc>
      </w:tr>
      <w:tr>
        <w:tblPrEx>
          <w:tblCellMar>
            <w:top w:w="0" w:type="dxa"/>
            <w:left w:w="0" w:type="dxa"/>
            <w:bottom w:w="0" w:type="dxa"/>
            <w:right w:w="0" w:type="dxa"/>
          </w:tblCellMar>
        </w:tblPrEx>
        <w:trPr>
          <w:trHeight w:val="380" w:hRule="atLeast"/>
          <w:jc w:val="center"/>
        </w:trPr>
        <w:tc>
          <w:tcPr>
            <w:tcW w:w="1151"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1822"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3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13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2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r>
      <w:tr>
        <w:tblPrEx>
          <w:tblCellMar>
            <w:top w:w="0" w:type="dxa"/>
            <w:left w:w="0" w:type="dxa"/>
            <w:bottom w:w="0" w:type="dxa"/>
            <w:right w:w="0" w:type="dxa"/>
          </w:tblCellMar>
        </w:tblPrEx>
        <w:trPr>
          <w:trHeight w:val="380" w:hRule="atLeast"/>
          <w:jc w:val="center"/>
        </w:trPr>
        <w:tc>
          <w:tcPr>
            <w:tcW w:w="1151"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822"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3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3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1151"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822"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3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3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297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3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3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8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8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8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8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82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w:t>
            </w:r>
          </w:p>
        </w:tc>
      </w:tr>
      <w:tr>
        <w:tblPrEx>
          <w:tblCellMar>
            <w:top w:w="0" w:type="dxa"/>
            <w:left w:w="0" w:type="dxa"/>
            <w:bottom w:w="0" w:type="dxa"/>
            <w:right w:w="0" w:type="dxa"/>
          </w:tblCellMar>
        </w:tblPrEx>
        <w:trPr>
          <w:trHeight w:val="385" w:hRule="atLeast"/>
          <w:jc w:val="center"/>
        </w:trPr>
        <w:tc>
          <w:tcPr>
            <w:tcW w:w="297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b w:val="0"/>
                <w:bCs w:val="0"/>
                <w:color w:val="000000"/>
                <w:kern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1,225.24</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b w:val="0"/>
                <w:bCs w:val="0"/>
                <w:color w:val="000000"/>
                <w:kern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1,225.24</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一般公共服务支出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457.42</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457.42</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政府办公厅（室）及相关机构事务</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457.42</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457.42</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行政运行</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201.60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201.60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2010302</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一般行政管理事务</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20.50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20.50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2010308</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信访事务</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2010350</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事业运行</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222.33</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222.33</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207</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文化旅游体育与传媒支出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20701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文化和旅游</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2070109</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群众文化</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社会保障和就业支出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64.35</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64.35</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行政事业单位养老支出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64.35</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64.35</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行政单位离退休</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2.72</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2.72</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2080502</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事业单位离退休</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15.02</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15.02</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2080505</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机关事业单位基本养老保险缴费支出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42.86</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42.86</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2080506</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机关事业单位职业年金缴费支出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3.75</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3.75</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卫生健康支出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23.52</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23.52</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21004</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公共卫生</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2100409</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重大公共卫生服务</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21011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行政事业单位医疗</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13.52</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13.52</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2101101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行政单位医疗</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8.36</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8.36</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2101102</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事业单位医疗</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5.17</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5.17</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节能环保支出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21104</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自然生态保护</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2110402</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农村环境保护</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农林水支出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633.43</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633.43</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农业农村</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137.70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137.70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2130122</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农业生产发展</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132.79</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132.79</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2130142</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农村道路建设</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4.91</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4.91</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21307</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农村综合改革</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495.74</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495.74</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2130701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对村级一事一议的补助</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288.69</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288.69</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2130705</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对村民委员会和村党支部的补助</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207.05</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207.05</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221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住房保障支出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21.51</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21.51</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22102</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住房改革支出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21.51</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21.51</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2210201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住房公积金</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21.51</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21.51</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792" w:type="dxa"/>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注：本表反映部门本年度取得的各项收入情况。</w:t>
            </w:r>
          </w:p>
        </w:tc>
      </w:tr>
    </w:tbl>
    <w:p>
      <w:pPr>
        <w:jc w:val="left"/>
      </w:pPr>
    </w:p>
    <w:p>
      <w:r>
        <w:br w:type="page"/>
      </w:r>
    </w:p>
    <w:tbl>
      <w:tblPr>
        <w:tblStyle w:val="5"/>
        <w:tblW w:w="9680" w:type="dxa"/>
        <w:jc w:val="center"/>
        <w:tblLayout w:type="fixed"/>
        <w:tblCellMar>
          <w:top w:w="0" w:type="dxa"/>
          <w:left w:w="0" w:type="dxa"/>
          <w:bottom w:w="0" w:type="dxa"/>
          <w:right w:w="0" w:type="dxa"/>
        </w:tblCellMar>
      </w:tblPr>
      <w:tblGrid>
        <w:gridCol w:w="941"/>
        <w:gridCol w:w="53"/>
        <w:gridCol w:w="111"/>
        <w:gridCol w:w="1359"/>
        <w:gridCol w:w="1161"/>
        <w:gridCol w:w="1161"/>
        <w:gridCol w:w="1161"/>
        <w:gridCol w:w="1161"/>
        <w:gridCol w:w="1161"/>
        <w:gridCol w:w="1411"/>
      </w:tblGrid>
      <w:tr>
        <w:tblPrEx>
          <w:tblCellMar>
            <w:top w:w="0" w:type="dxa"/>
            <w:left w:w="0" w:type="dxa"/>
            <w:bottom w:w="0" w:type="dxa"/>
            <w:right w:w="0" w:type="dxa"/>
          </w:tblCellMar>
        </w:tblPrEx>
        <w:trPr>
          <w:trHeight w:val="612"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lang w:bidi="ar"/>
              </w:rPr>
              <w:t>支出决算表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411" w:type="dxa"/>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公开03表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572"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23" w:hRule="atLeast"/>
          <w:jc w:val="center"/>
        </w:trPr>
        <w:tc>
          <w:tcPr>
            <w:tcW w:w="24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本年支出合计</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上缴上级支出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经营支出</w:t>
            </w:r>
          </w:p>
        </w:tc>
        <w:tc>
          <w:tcPr>
            <w:tcW w:w="141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对附属单位补助支出</w:t>
            </w:r>
          </w:p>
        </w:tc>
      </w:tr>
      <w:tr>
        <w:tblPrEx>
          <w:tblCellMar>
            <w:top w:w="0" w:type="dxa"/>
            <w:left w:w="0" w:type="dxa"/>
            <w:bottom w:w="0" w:type="dxa"/>
            <w:right w:w="0" w:type="dxa"/>
          </w:tblCellMar>
        </w:tblPrEx>
        <w:trPr>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135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r>
      <w:tr>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35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35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246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r>
      <w:tr>
        <w:tblPrEx>
          <w:tblCellMar>
            <w:top w:w="0" w:type="dxa"/>
            <w:left w:w="0" w:type="dxa"/>
            <w:bottom w:w="0" w:type="dxa"/>
            <w:right w:w="0" w:type="dxa"/>
          </w:tblCellMar>
        </w:tblPrEx>
        <w:trPr>
          <w:trHeight w:val="323" w:hRule="atLeast"/>
          <w:jc w:val="center"/>
        </w:trPr>
        <w:tc>
          <w:tcPr>
            <w:tcW w:w="246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1,225.24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523.31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701.93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一般公共服务支出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457.42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423.92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33.50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20103</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政府办公厅（室）及相关机构事务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457.42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423.92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33.50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2010301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行政运行</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201.60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201.60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2010302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一般行政管理事务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20.50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20.50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2010308</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信访事务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2010350</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事业运行</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222.33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222.33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207</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文化旅游体育与传媒支出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20701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文化和旅游</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2070109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群众文化</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208</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社会保障和就业支出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64.35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64.35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20805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行政事业单位养老支出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64.35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64.35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2080501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行政单位离退休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2.72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2.72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2080502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事业单位离退休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15.02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15.02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2080505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机关事业单位基本养老保险缴费支出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42.86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42.86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2080506</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机关事业单位职业年金缴费支出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3.75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3.75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210</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卫生健康支出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23.52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13.52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21004</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公共卫生</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2100409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重大公共卫生服务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21011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行政事业单位医疗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13.52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13.52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2101101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行政单位医疗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8.36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8.36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2101102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事业单位医疗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5.17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5.17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节能环保支出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21104</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自然生态保护</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2110402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农村环境保护</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213</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农林水支出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633.43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633.43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21301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农业农村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137.70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137.70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2130122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农业生产发展</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132.79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132.79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2130142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农村道路建设</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4.91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4.91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21307</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农村综合改革</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495.74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495.74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2130701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对村级一事一议的补助</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288.69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288.69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2130705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对村民委员会和村党支部的补助</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207.05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207.05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住房保障支出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21.51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21.51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22102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住房改革支出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21.51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21.51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2210201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住房公积金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21.51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21.51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注：本表反映部门本年度各项支出情况。</w:t>
            </w:r>
          </w:p>
        </w:tc>
      </w:tr>
    </w:tbl>
    <w:p>
      <w:r>
        <w:br w:type="page"/>
      </w:r>
    </w:p>
    <w:tbl>
      <w:tblPr>
        <w:tblStyle w:val="5"/>
        <w:tblW w:w="9990" w:type="dxa"/>
        <w:jc w:val="center"/>
        <w:tblLayout w:type="fixed"/>
        <w:tblCellMar>
          <w:top w:w="0" w:type="dxa"/>
          <w:left w:w="0" w:type="dxa"/>
          <w:bottom w:w="0" w:type="dxa"/>
          <w:right w:w="0" w:type="dxa"/>
        </w:tblCellMar>
      </w:tblPr>
      <w:tblGrid>
        <w:gridCol w:w="1174"/>
        <w:gridCol w:w="67"/>
        <w:gridCol w:w="67"/>
        <w:gridCol w:w="2030"/>
        <w:gridCol w:w="1994"/>
        <w:gridCol w:w="2329"/>
        <w:gridCol w:w="1859"/>
        <w:gridCol w:w="470"/>
      </w:tblGrid>
      <w:tr>
        <w:tblPrEx>
          <w:tblCellMar>
            <w:top w:w="0" w:type="dxa"/>
            <w:left w:w="0" w:type="dxa"/>
            <w:bottom w:w="0" w:type="dxa"/>
            <w:right w:w="0" w:type="dxa"/>
          </w:tblCellMar>
        </w:tblPrEx>
        <w:trPr>
          <w:gridAfter w:val="1"/>
          <w:wAfter w:w="470" w:type="dxa"/>
          <w:trHeight w:val="406" w:hRule="atLeast"/>
          <w:jc w:val="center"/>
        </w:trPr>
        <w:tc>
          <w:tcPr>
            <w:tcW w:w="9520" w:type="dxa"/>
            <w:gridSpan w:val="7"/>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黑体" w:hAnsi="宋体" w:eastAsia="黑体" w:cs="黑体"/>
                <w:color w:val="000000"/>
                <w:sz w:val="32"/>
                <w:szCs w:val="32"/>
              </w:rPr>
            </w:pPr>
            <w:r>
              <w:rPr>
                <w:rFonts w:hint="eastAsia" w:ascii="黑体" w:hAnsi="宋体" w:eastAsia="黑体" w:cs="黑体"/>
                <w:color w:val="000000"/>
                <w:kern w:val="0"/>
                <w:sz w:val="32"/>
                <w:szCs w:val="32"/>
                <w:lang w:bidi="ar"/>
              </w:rPr>
              <w:t>财政拨款收入支出决算总表</w:t>
            </w:r>
          </w:p>
        </w:tc>
      </w:tr>
      <w:tr>
        <w:tblPrEx>
          <w:tblCellMar>
            <w:top w:w="0" w:type="dxa"/>
            <w:left w:w="0" w:type="dxa"/>
            <w:bottom w:w="0" w:type="dxa"/>
            <w:right w:w="0" w:type="dxa"/>
          </w:tblCellMar>
        </w:tblPrEx>
        <w:trPr>
          <w:trHeight w:val="600" w:hRule="atLeast"/>
          <w:jc w:val="center"/>
        </w:trPr>
        <w:tc>
          <w:tcPr>
            <w:tcW w:w="9990" w:type="dxa"/>
            <w:gridSpan w:val="8"/>
            <w:tcBorders>
              <w:top w:val="nil"/>
              <w:left w:val="nil"/>
              <w:bottom w:val="nil"/>
              <w:right w:val="nil"/>
            </w:tcBorders>
            <w:shd w:val="clear" w:color="auto" w:fill="auto"/>
            <w:noWrap/>
            <w:tcMar>
              <w:top w:w="15" w:type="dxa"/>
              <w:left w:w="15" w:type="dxa"/>
              <w:right w:w="15" w:type="dxa"/>
            </w:tcMar>
            <w:vAlign w:val="center"/>
          </w:tcPr>
          <w:tbl>
            <w:tblPr>
              <w:tblStyle w:val="5"/>
              <w:tblW w:w="9736" w:type="dxa"/>
              <w:tblInd w:w="0" w:type="dxa"/>
              <w:tblLayout w:type="fixed"/>
              <w:tblCellMar>
                <w:top w:w="0" w:type="dxa"/>
                <w:left w:w="108" w:type="dxa"/>
                <w:bottom w:w="0" w:type="dxa"/>
                <w:right w:w="108" w:type="dxa"/>
              </w:tblCellMar>
            </w:tblPr>
            <w:tblGrid>
              <w:gridCol w:w="2243"/>
              <w:gridCol w:w="435"/>
              <w:gridCol w:w="870"/>
              <w:gridCol w:w="2280"/>
              <w:gridCol w:w="480"/>
              <w:gridCol w:w="945"/>
              <w:gridCol w:w="960"/>
              <w:gridCol w:w="615"/>
              <w:gridCol w:w="668"/>
              <w:gridCol w:w="240"/>
            </w:tblGrid>
            <w:tr>
              <w:trPr>
                <w:gridAfter w:val="1"/>
                <w:wAfter w:w="240" w:type="dxa"/>
                <w:trHeight w:val="180" w:hRule="atLeast"/>
              </w:trPr>
              <w:tc>
                <w:tcPr>
                  <w:tcW w:w="2243" w:type="dxa"/>
                  <w:tcBorders>
                    <w:top w:val="nil"/>
                    <w:left w:val="nil"/>
                    <w:bottom w:val="nil"/>
                    <w:right w:val="nil"/>
                  </w:tcBorders>
                  <w:shd w:val="clear" w:color="auto" w:fill="auto"/>
                  <w:vAlign w:val="bottom"/>
                </w:tcPr>
                <w:p>
                  <w:pPr>
                    <w:widowControl/>
                    <w:spacing w:line="240" w:lineRule="exact"/>
                    <w:jc w:val="left"/>
                    <w:rPr>
                      <w:rFonts w:ascii="宋体" w:hAnsi="宋体" w:eastAsia="宋体" w:cs="宋体"/>
                      <w:kern w:val="0"/>
                      <w:sz w:val="15"/>
                      <w:szCs w:val="15"/>
                    </w:rPr>
                  </w:pPr>
                </w:p>
              </w:tc>
              <w:tc>
                <w:tcPr>
                  <w:tcW w:w="43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70"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280"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80"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94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243" w:type="dxa"/>
                  <w:gridSpan w:val="3"/>
                  <w:tcBorders>
                    <w:top w:val="nil"/>
                    <w:left w:val="nil"/>
                    <w:bottom w:val="nil"/>
                    <w:right w:val="nil"/>
                  </w:tcBorders>
                  <w:shd w:val="clear" w:color="auto" w:fill="auto"/>
                  <w:vAlign w:val="bottom"/>
                </w:tcPr>
                <w:p>
                  <w:pPr>
                    <w:widowControl/>
                    <w:spacing w:line="240" w:lineRule="exact"/>
                    <w:ind w:right="300"/>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公开04表</w:t>
                  </w:r>
                </w:p>
              </w:tc>
            </w:tr>
            <w:tr>
              <w:tblPrEx>
                <w:tblCellMar>
                  <w:top w:w="0" w:type="dxa"/>
                  <w:left w:w="108" w:type="dxa"/>
                  <w:bottom w:w="0" w:type="dxa"/>
                  <w:right w:w="108" w:type="dxa"/>
                </w:tblCellMar>
              </w:tblPrEx>
              <w:trPr>
                <w:gridAfter w:val="1"/>
                <w:wAfter w:w="240" w:type="dxa"/>
                <w:trHeight w:val="90" w:hRule="atLeast"/>
              </w:trPr>
              <w:tc>
                <w:tcPr>
                  <w:tcW w:w="2243"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部门：</w:t>
                  </w:r>
                </w:p>
              </w:tc>
              <w:tc>
                <w:tcPr>
                  <w:tcW w:w="435"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p>
              </w:tc>
              <w:tc>
                <w:tcPr>
                  <w:tcW w:w="870"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280"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80"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94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960"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283" w:type="dxa"/>
                  <w:gridSpan w:val="2"/>
                  <w:tcBorders>
                    <w:top w:val="nil"/>
                    <w:left w:val="nil"/>
                    <w:bottom w:val="nil"/>
                    <w:right w:val="nil"/>
                  </w:tcBorders>
                  <w:shd w:val="clear" w:color="auto" w:fill="auto"/>
                  <w:vAlign w:val="bottom"/>
                </w:tcPr>
                <w:p>
                  <w:pPr>
                    <w:widowControl/>
                    <w:spacing w:line="24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金额单位：万元</w:t>
                  </w:r>
                </w:p>
              </w:tc>
            </w:tr>
            <w:tr>
              <w:tblPrEx>
                <w:tblCellMar>
                  <w:top w:w="0" w:type="dxa"/>
                  <w:left w:w="108" w:type="dxa"/>
                  <w:bottom w:w="0" w:type="dxa"/>
                  <w:right w:w="108" w:type="dxa"/>
                </w:tblCellMar>
              </w:tblPrEx>
              <w:trPr>
                <w:gridAfter w:val="1"/>
                <w:wAfter w:w="240" w:type="dxa"/>
                <w:trHeight w:val="90" w:hRule="atLeast"/>
              </w:trPr>
              <w:tc>
                <w:tcPr>
                  <w:tcW w:w="35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收     入</w:t>
                  </w:r>
                </w:p>
              </w:tc>
              <w:tc>
                <w:tcPr>
                  <w:tcW w:w="5948"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支     出</w:t>
                  </w:r>
                </w:p>
              </w:tc>
            </w:tr>
            <w:tr>
              <w:tblPrEx>
                <w:tblCellMar>
                  <w:top w:w="0" w:type="dxa"/>
                  <w:left w:w="108" w:type="dxa"/>
                  <w:bottom w:w="0" w:type="dxa"/>
                  <w:right w:w="108" w:type="dxa"/>
                </w:tblCellMar>
              </w:tblPrEx>
              <w:trPr>
                <w:gridAfter w:val="1"/>
                <w:wAfter w:w="240" w:type="dxa"/>
                <w:trHeight w:val="312" w:hRule="atLeast"/>
              </w:trPr>
              <w:tc>
                <w:tcPr>
                  <w:tcW w:w="2243"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35"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870"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金额</w:t>
                  </w:r>
                </w:p>
              </w:tc>
              <w:tc>
                <w:tcPr>
                  <w:tcW w:w="2280"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80"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945"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合计</w:t>
                  </w:r>
                </w:p>
              </w:tc>
              <w:tc>
                <w:tcPr>
                  <w:tcW w:w="960"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一般公共预算财政拨款</w:t>
                  </w:r>
                </w:p>
              </w:tc>
              <w:tc>
                <w:tcPr>
                  <w:tcW w:w="615"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政府性基金预算财政拨款</w:t>
                  </w:r>
                </w:p>
              </w:tc>
              <w:tc>
                <w:tcPr>
                  <w:tcW w:w="668"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国有资本经营预算财政拨款</w:t>
                  </w:r>
                </w:p>
              </w:tc>
            </w:tr>
            <w:tr>
              <w:tblPrEx>
                <w:tblCellMar>
                  <w:top w:w="0" w:type="dxa"/>
                  <w:left w:w="108" w:type="dxa"/>
                  <w:bottom w:w="0" w:type="dxa"/>
                  <w:right w:w="108" w:type="dxa"/>
                </w:tblCellMar>
              </w:tblPrEx>
              <w:trPr>
                <w:trHeight w:val="90" w:hRule="atLeast"/>
              </w:trPr>
              <w:tc>
                <w:tcPr>
                  <w:tcW w:w="2243"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35"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870"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280"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80"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945"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960"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615"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668"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40" w:type="dxa"/>
                  <w:tcBorders>
                    <w:top w:val="nil"/>
                    <w:left w:val="nil"/>
                    <w:bottom w:val="nil"/>
                    <w:right w:val="nil"/>
                  </w:tcBorders>
                  <w:shd w:val="clear" w:color="auto" w:fill="auto"/>
                  <w:noWrap/>
                  <w:vAlign w:val="bottom"/>
                </w:tcPr>
                <w:p>
                  <w:pPr>
                    <w:widowControl/>
                    <w:jc w:val="center"/>
                    <w:rPr>
                      <w:rFonts w:hint="eastAsia" w:ascii="宋体" w:hAnsi="宋体" w:eastAsia="宋体" w:cs="Arial"/>
                      <w:color w:val="000000"/>
                      <w:kern w:val="0"/>
                      <w:sz w:val="15"/>
                      <w:szCs w:val="15"/>
                    </w:rPr>
                  </w:pPr>
                </w:p>
              </w:tc>
            </w:tr>
            <w:tr>
              <w:tblPrEx>
                <w:tblCellMar>
                  <w:top w:w="0" w:type="dxa"/>
                  <w:left w:w="108" w:type="dxa"/>
                  <w:bottom w:w="0" w:type="dxa"/>
                  <w:right w:w="108" w:type="dxa"/>
                </w:tblCellMar>
              </w:tblPrEx>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94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96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一、一般公共预算财政拨款</w:t>
                  </w: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87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1,225.24</w:t>
                  </w: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一、一般公共服务支出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33</w:t>
                  </w:r>
                </w:p>
              </w:tc>
              <w:tc>
                <w:tcPr>
                  <w:tcW w:w="9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457.42</w:t>
                  </w:r>
                </w:p>
              </w:tc>
              <w:tc>
                <w:tcPr>
                  <w:tcW w:w="96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Times New Roman" w:hAnsi="Times New Roman" w:eastAsia="宋体" w:cs="Times New Roman"/>
                      <w:kern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457.42</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二、政府性基金预算财政拨款</w:t>
                  </w: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default" w:ascii="宋体" w:hAnsi="宋体" w:eastAsia="宋体" w:cs="Arial"/>
                      <w:color w:val="000000"/>
                      <w:kern w:val="0"/>
                      <w:sz w:val="15"/>
                      <w:szCs w:val="15"/>
                      <w:lang w:val="en-US" w:eastAsia="zh-CN"/>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二、外交支出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34</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三、国有资本经营财政拨款</w:t>
                  </w: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三、国防支出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35</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四、公共安全支出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36</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五、教育支出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37</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六、科学技术支出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38</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7</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七、文化旅游体育与传媒支出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39</w:t>
                  </w:r>
                </w:p>
              </w:tc>
              <w:tc>
                <w:tcPr>
                  <w:tcW w:w="9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Arial"/>
                      <w:color w:val="000000"/>
                      <w:kern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17.00</w:t>
                  </w:r>
                </w:p>
              </w:tc>
              <w:tc>
                <w:tcPr>
                  <w:tcW w:w="96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kern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17.00</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8</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八、社会保障和就业支出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40</w:t>
                  </w:r>
                </w:p>
              </w:tc>
              <w:tc>
                <w:tcPr>
                  <w:tcW w:w="9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64.35</w:t>
                  </w:r>
                </w:p>
              </w:tc>
              <w:tc>
                <w:tcPr>
                  <w:tcW w:w="96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iCs w:val="0"/>
                      <w:color w:val="000000"/>
                      <w:kern w:val="0"/>
                      <w:sz w:val="15"/>
                      <w:szCs w:val="15"/>
                      <w:u w:val="none"/>
                      <w:lang w:val="en-US" w:eastAsia="zh-CN" w:bidi="ar"/>
                    </w:rPr>
                    <w:t>64.35</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9</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九、卫生健康支出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41</w:t>
                  </w:r>
                </w:p>
              </w:tc>
              <w:tc>
                <w:tcPr>
                  <w:tcW w:w="9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23.52</w:t>
                  </w:r>
                </w:p>
              </w:tc>
              <w:tc>
                <w:tcPr>
                  <w:tcW w:w="96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iCs w:val="0"/>
                      <w:color w:val="000000"/>
                      <w:kern w:val="0"/>
                      <w:sz w:val="15"/>
                      <w:szCs w:val="15"/>
                      <w:u w:val="none"/>
                      <w:lang w:val="en-US" w:eastAsia="zh-CN" w:bidi="ar"/>
                    </w:rPr>
                    <w:t>23.52</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10</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十、节能环保支出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42</w:t>
                  </w:r>
                </w:p>
              </w:tc>
              <w:tc>
                <w:tcPr>
                  <w:tcW w:w="9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8.00</w:t>
                  </w:r>
                </w:p>
              </w:tc>
              <w:tc>
                <w:tcPr>
                  <w:tcW w:w="96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iCs w:val="0"/>
                      <w:color w:val="000000"/>
                      <w:kern w:val="0"/>
                      <w:sz w:val="15"/>
                      <w:szCs w:val="15"/>
                      <w:u w:val="none"/>
                      <w:lang w:val="en-US" w:eastAsia="zh-CN" w:bidi="ar"/>
                    </w:rPr>
                    <w:t>8.00</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11</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十一、城乡社区支出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43</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default" w:ascii="宋体" w:hAnsi="宋体" w:eastAsia="宋体" w:cs="Arial"/>
                      <w:color w:val="000000"/>
                      <w:kern w:val="0"/>
                      <w:sz w:val="15"/>
                      <w:szCs w:val="15"/>
                      <w:lang w:val="en-US" w:eastAsia="zh-CN"/>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12</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十二、农林水支出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44</w:t>
                  </w:r>
                </w:p>
              </w:tc>
              <w:tc>
                <w:tcPr>
                  <w:tcW w:w="9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633.43</w:t>
                  </w:r>
                </w:p>
              </w:tc>
              <w:tc>
                <w:tcPr>
                  <w:tcW w:w="96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iCs w:val="0"/>
                      <w:color w:val="000000"/>
                      <w:kern w:val="0"/>
                      <w:sz w:val="15"/>
                      <w:szCs w:val="15"/>
                      <w:u w:val="none"/>
                      <w:lang w:val="en-US" w:eastAsia="zh-CN" w:bidi="ar"/>
                    </w:rPr>
                    <w:t>633.43</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13</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十三、交通运输支出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45</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14</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十四、资源勘探工业信息等支出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46</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15</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十五、商业服务业等支出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47</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16</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十六、金融支出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48</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17</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十七、援助其他地区支出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49</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18</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十八、自然资源海洋气象等支出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50</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19</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十九、住房保障支出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51</w:t>
                  </w:r>
                </w:p>
              </w:tc>
              <w:tc>
                <w:tcPr>
                  <w:tcW w:w="9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21.51</w:t>
                  </w:r>
                </w:p>
              </w:tc>
              <w:tc>
                <w:tcPr>
                  <w:tcW w:w="96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iCs w:val="0"/>
                      <w:color w:val="000000"/>
                      <w:kern w:val="0"/>
                      <w:sz w:val="15"/>
                      <w:szCs w:val="15"/>
                      <w:u w:val="none"/>
                      <w:lang w:val="en-US" w:eastAsia="zh-CN" w:bidi="ar"/>
                    </w:rPr>
                    <w:t>21.51</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20</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二十、粮油物资储备支出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52</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21</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二十一、国有资本经营预算支出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53</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22</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3"/>
                      <w:szCs w:val="13"/>
                    </w:rPr>
                    <w:t>二十二、灾害防治及应急管理支出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54</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rPr>
                <w:trHeight w:val="262"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23</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二十三、其他支出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55</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25</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二十五、债务付息支出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57</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26</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二十六、抗疫特别国债安排的支出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58</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rPr>
                <w:trHeight w:val="292"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本年收入合计</w:t>
                  </w: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27</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本年支出合计</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59</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年初财政拨款结转和结余</w:t>
                  </w: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28</w:t>
                  </w:r>
                </w:p>
              </w:tc>
              <w:tc>
                <w:tcPr>
                  <w:tcW w:w="87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1,225.24</w:t>
                  </w: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年末财政拨款结转和结余</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60</w:t>
                  </w:r>
                </w:p>
              </w:tc>
              <w:tc>
                <w:tcPr>
                  <w:tcW w:w="9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1,225.24</w:t>
                  </w:r>
                </w:p>
              </w:tc>
              <w:tc>
                <w:tcPr>
                  <w:tcW w:w="96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iCs w:val="0"/>
                      <w:color w:val="000000"/>
                      <w:kern w:val="0"/>
                      <w:sz w:val="15"/>
                      <w:szCs w:val="15"/>
                      <w:u w:val="none"/>
                      <w:lang w:val="en-US" w:eastAsia="zh-CN" w:bidi="ar"/>
                    </w:rPr>
                    <w:t>1,225.24</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一般公共预算财政拨款</w:t>
                  </w: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29</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宋体" w:hAnsi="宋体" w:eastAsia="宋体" w:cs="Arial"/>
                      <w:color w:val="000000"/>
                      <w:kern w:val="0"/>
                      <w:sz w:val="15"/>
                      <w:szCs w:val="15"/>
                    </w:rPr>
                  </w:pP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61</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政府性基金预算财政拨款</w:t>
                  </w: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30</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62</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国有资本经营预算财政拨款</w:t>
                  </w: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31</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63</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总计</w:t>
                  </w:r>
                </w:p>
              </w:tc>
              <w:tc>
                <w:tcPr>
                  <w:tcW w:w="435" w:type="dxa"/>
                  <w:tcBorders>
                    <w:top w:val="nil"/>
                    <w:left w:val="nil"/>
                    <w:bottom w:val="single" w:color="000000" w:sz="8"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32</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1225.24</w:t>
                  </w: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总计</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64</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1225.24</w:t>
                  </w:r>
                </w:p>
              </w:tc>
              <w:tc>
                <w:tcPr>
                  <w:tcW w:w="960" w:type="dxa"/>
                  <w:tcBorders>
                    <w:top w:val="nil"/>
                    <w:left w:val="nil"/>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1225.24</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9496" w:type="dxa"/>
                  <w:gridSpan w:val="9"/>
                  <w:tcBorders>
                    <w:top w:val="nil"/>
                    <w:left w:val="nil"/>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注：本表反映部门本年度一般公共预算财政拨款、政府性基金预算财政拨款和国有资本经营预算财政拨款的总收支和年末结转结余情况。</w:t>
                  </w:r>
                </w:p>
              </w:tc>
              <w:tc>
                <w:tcPr>
                  <w:tcW w:w="240"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9496" w:type="dxa"/>
                  <w:gridSpan w:val="9"/>
                  <w:tcBorders>
                    <w:top w:val="nil"/>
                    <w:left w:val="nil"/>
                    <w:bottom w:val="nil"/>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bl>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一般公共预算财政拨款支出决算表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03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99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公开05表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03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99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333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6652"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w:t>
            </w:r>
          </w:p>
        </w:tc>
      </w:tr>
      <w:tr>
        <w:tblPrEx>
          <w:tblCellMar>
            <w:top w:w="0" w:type="dxa"/>
            <w:left w:w="0" w:type="dxa"/>
            <w:bottom w:w="0" w:type="dxa"/>
            <w:right w:w="0" w:type="dxa"/>
          </w:tblCellMar>
        </w:tblPrEx>
        <w:trPr>
          <w:trHeight w:val="312" w:hRule="atLeast"/>
          <w:jc w:val="center"/>
        </w:trPr>
        <w:tc>
          <w:tcPr>
            <w:tcW w:w="130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2030"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1994"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小计</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232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030"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994"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030"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994"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333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r>
      <w:tr>
        <w:tblPrEx>
          <w:tblCellMar>
            <w:top w:w="0" w:type="dxa"/>
            <w:left w:w="0" w:type="dxa"/>
            <w:bottom w:w="0" w:type="dxa"/>
            <w:right w:w="0" w:type="dxa"/>
          </w:tblCellMar>
        </w:tblPrEx>
        <w:trPr>
          <w:trHeight w:val="308" w:hRule="atLeast"/>
          <w:jc w:val="center"/>
        </w:trPr>
        <w:tc>
          <w:tcPr>
            <w:tcW w:w="333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1,225.24</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523.31</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701.93</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一般公共服务支出</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457.42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423.92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33.50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20103</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政府办公厅（室）及相关机构事务</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457.42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423.92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33.50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2010301</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行政运行</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201.60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201.60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2010302</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一般行政管理事务</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20.50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20.50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2010308</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信访事务</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2010350</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事业运行</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222.33</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222.33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207</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文化旅游体育与传媒支出</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20701</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文化和旅游</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2070109</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群众文化</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208</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社会保障和就业支出</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64.35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64.35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20805</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行政事业单位养老支出</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64.35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64.35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2080501</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行政单位离退休</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2.72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2.72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2080502</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事业单位离退休</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15.02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15.02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2080505</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机关事业单位基本养老保险缴费支出</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42.86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42.86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2080506</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机关事业单位职业年金缴费支出</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3.75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3.75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210</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卫生健康支出</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23.52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13.52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21004</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公共卫生</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2100409</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重大公共卫生服务</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21011</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行政事业单位医疗</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13.52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13.52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2101101</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行政单位医疗</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8.36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8.36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2101102</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事业单位医疗</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5.17</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5.17</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211</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节能环保支出</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21104</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自然生态保护</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2110402</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农村环境保护</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213</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农林水支出</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633.43</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633.43</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21301</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农业农村</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137.70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137.70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2130122</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农业生产发展</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132.79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132.79</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2130142</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农村道路建设</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4.91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4.91</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21307</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农村综合改革</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495.74</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495.74</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2130701</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对村级一事一议的补助</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288.69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288.69</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2130705</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对村民委员会和村党支部的补助</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207.05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207.05</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221</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住房保障支出</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21.51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21.51</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r>
    </w:tbl>
    <w:p>
      <w:r>
        <w:br w:type="page"/>
      </w:r>
    </w:p>
    <w:p>
      <w:pPr>
        <w:widowControl/>
        <w:jc w:val="center"/>
        <w:textAlignment w:val="center"/>
        <w:rPr>
          <w:rFonts w:ascii="黑体" w:hAnsi="宋体" w:eastAsia="黑体" w:cs="黑体"/>
          <w:color w:val="000000"/>
          <w:kern w:val="0"/>
          <w:sz w:val="28"/>
          <w:szCs w:val="28"/>
          <w:lang w:bidi="ar"/>
        </w:rPr>
        <w:sectPr>
          <w:pgSz w:w="11906" w:h="16838"/>
          <w:pgMar w:top="2098" w:right="1531" w:bottom="1984" w:left="1531" w:header="851" w:footer="992" w:gutter="0"/>
          <w:cols w:space="425" w:num="1"/>
          <w:docGrid w:type="lines" w:linePitch="312" w:charSpace="0"/>
        </w:sectPr>
      </w:pPr>
    </w:p>
    <w:tbl>
      <w:tblPr>
        <w:tblStyle w:val="5"/>
        <w:tblW w:w="14076"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blPrEx>
          <w:tblCellMar>
            <w:top w:w="0" w:type="dxa"/>
            <w:left w:w="0" w:type="dxa"/>
            <w:bottom w:w="0" w:type="dxa"/>
            <w:right w:w="0" w:type="dxa"/>
          </w:tblCellMar>
        </w:tblPrEx>
        <w:trPr>
          <w:trHeight w:val="404"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lang w:bidi="ar"/>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公开06表</w:t>
            </w:r>
          </w:p>
        </w:tc>
      </w:tr>
      <w:tr>
        <w:tblPrEx>
          <w:tblCellMar>
            <w:top w:w="0" w:type="dxa"/>
            <w:left w:w="0" w:type="dxa"/>
            <w:bottom w:w="0" w:type="dxa"/>
            <w:right w:w="0" w:type="dxa"/>
          </w:tblCellMar>
        </w:tblPrEx>
        <w:trPr>
          <w:trHeight w:val="61"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部门：</w:t>
            </w: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441.16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40.28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239.21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3.28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14.64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11.71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15"/>
                <w:szCs w:val="15"/>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14.33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43.96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4.24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10.19</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13.52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8.96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21.51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78.04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41.86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17.74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6.53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0.82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w:t>
            </w:r>
            <w:r>
              <w:rPr>
                <w:rFonts w:hint="eastAsia" w:ascii="宋体" w:hAnsi="宋体" w:eastAsia="宋体" w:cs="宋体"/>
                <w:color w:val="000000"/>
                <w:kern w:val="0"/>
                <w:sz w:val="15"/>
                <w:szCs w:val="15"/>
                <w:lang w:bidi="ar"/>
              </w:rPr>
              <w:t>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332"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7.20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10.40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hint="default" w:ascii="宋体" w:hAnsi="宋体" w:eastAsia="宋体" w:cs="宋体"/>
                <w:color w:val="000000"/>
                <w:sz w:val="16"/>
                <w:szCs w:val="16"/>
                <w:lang w:val="en-US"/>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16.77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5"/>
                <w:szCs w:val="15"/>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0.26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37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人员经费合计</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483.02</w:t>
            </w: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公用经费合计</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40.28</w:t>
            </w:r>
          </w:p>
        </w:tc>
      </w:tr>
    </w:tbl>
    <w:p>
      <w:pPr>
        <w:widowControl/>
        <w:jc w:val="center"/>
        <w:textAlignment w:val="center"/>
        <w:sectPr>
          <w:pgSz w:w="16838" w:h="11906" w:orient="landscape"/>
          <w:pgMar w:top="1531" w:right="2098" w:bottom="1531" w:left="1984" w:header="851" w:footer="992" w:gutter="0"/>
          <w:cols w:space="425" w:num="1"/>
          <w:docGrid w:type="lines" w:linePitch="312" w:charSpace="0"/>
        </w:sectPr>
      </w:pPr>
    </w:p>
    <w:tbl>
      <w:tblPr>
        <w:tblStyle w:val="5"/>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lang w:bidi="ar"/>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公开07表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7.20</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7.20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7.20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7.20</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7.20</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7.20</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5"/>
        <w:tblW w:w="9664" w:type="dxa"/>
        <w:jc w:val="center"/>
        <w:tblLayout w:type="fixed"/>
        <w:tblCellMar>
          <w:top w:w="0" w:type="dxa"/>
          <w:left w:w="0" w:type="dxa"/>
          <w:bottom w:w="0" w:type="dxa"/>
          <w:right w:w="0" w:type="dxa"/>
        </w:tblCellMar>
      </w:tblPr>
      <w:tblGrid>
        <w:gridCol w:w="967"/>
        <w:gridCol w:w="61"/>
        <w:gridCol w:w="61"/>
        <w:gridCol w:w="2051"/>
        <w:gridCol w:w="1006"/>
        <w:gridCol w:w="1169"/>
        <w:gridCol w:w="1169"/>
        <w:gridCol w:w="1006"/>
        <w:gridCol w:w="1169"/>
        <w:gridCol w:w="1005"/>
      </w:tblGrid>
      <w:tr>
        <w:tblPrEx>
          <w:tblCellMar>
            <w:top w:w="0" w:type="dxa"/>
            <w:left w:w="0" w:type="dxa"/>
            <w:bottom w:w="0" w:type="dxa"/>
            <w:right w:w="0" w:type="dxa"/>
          </w:tblCellMar>
        </w:tblPrEx>
        <w:trPr>
          <w:trHeight w:val="780" w:hRule="atLeast"/>
          <w:jc w:val="center"/>
        </w:trPr>
        <w:tc>
          <w:tcPr>
            <w:tcW w:w="9664"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政府性基金预算财政拨款收入支出决算表</w:t>
            </w:r>
          </w:p>
        </w:tc>
      </w:tr>
      <w:tr>
        <w:tblPrEx>
          <w:tblCellMar>
            <w:top w:w="0" w:type="dxa"/>
            <w:left w:w="0" w:type="dxa"/>
            <w:bottom w:w="0" w:type="dxa"/>
            <w:right w:w="0" w:type="dxa"/>
          </w:tblCellMar>
        </w:tblPrEx>
        <w:trPr>
          <w:trHeight w:val="255" w:hRule="atLeast"/>
          <w:jc w:val="center"/>
        </w:trPr>
        <w:tc>
          <w:tcPr>
            <w:tcW w:w="9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0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0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0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174"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公开08表</w:t>
            </w:r>
          </w:p>
        </w:tc>
      </w:tr>
      <w:tr>
        <w:tblPrEx>
          <w:tblCellMar>
            <w:top w:w="0" w:type="dxa"/>
            <w:left w:w="0" w:type="dxa"/>
            <w:bottom w:w="0" w:type="dxa"/>
            <w:right w:w="0" w:type="dxa"/>
          </w:tblCellMar>
        </w:tblPrEx>
        <w:trPr>
          <w:trHeight w:val="255" w:hRule="atLeast"/>
          <w:jc w:val="center"/>
        </w:trPr>
        <w:tc>
          <w:tcPr>
            <w:tcW w:w="9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0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0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0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174"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31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00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年初结转和结余</w:t>
            </w:r>
          </w:p>
        </w:tc>
        <w:tc>
          <w:tcPr>
            <w:tcW w:w="116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w:t>
            </w:r>
          </w:p>
        </w:tc>
        <w:tc>
          <w:tcPr>
            <w:tcW w:w="3344"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c>
          <w:tcPr>
            <w:tcW w:w="100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年末结转和结余</w:t>
            </w:r>
          </w:p>
        </w:tc>
      </w:tr>
      <w:tr>
        <w:tblPrEx>
          <w:tblCellMar>
            <w:top w:w="0" w:type="dxa"/>
            <w:left w:w="0" w:type="dxa"/>
            <w:bottom w:w="0" w:type="dxa"/>
            <w:right w:w="0" w:type="dxa"/>
          </w:tblCellMar>
        </w:tblPrEx>
        <w:trPr>
          <w:trHeight w:val="312" w:hRule="atLeast"/>
          <w:jc w:val="center"/>
        </w:trPr>
        <w:tc>
          <w:tcPr>
            <w:tcW w:w="1089"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2051"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00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00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16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089"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2051"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00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0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089"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2051"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00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0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314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栏次</w:t>
            </w: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308" w:hRule="atLeast"/>
          <w:jc w:val="center"/>
        </w:trPr>
        <w:tc>
          <w:tcPr>
            <w:tcW w:w="314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合计</w:t>
            </w: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b/>
                <w:color w:val="000000"/>
                <w:szCs w:val="22"/>
                <w:lang w:val="en-US" w:eastAsia="zh-CN"/>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b/>
                <w:color w:val="000000"/>
                <w:szCs w:val="22"/>
                <w:lang w:val="en-US" w:eastAsia="zh-CN"/>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b/>
                <w:color w:val="000000"/>
                <w:szCs w:val="22"/>
                <w:lang w:val="en-US" w:eastAsia="zh-CN"/>
              </w:rPr>
            </w:pP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r>
      <w:tr>
        <w:tblPrEx>
          <w:tblCellMar>
            <w:top w:w="0" w:type="dxa"/>
            <w:left w:w="0" w:type="dxa"/>
            <w:bottom w:w="0" w:type="dxa"/>
            <w:right w:w="0" w:type="dxa"/>
          </w:tblCellMar>
        </w:tblPrEx>
        <w:trPr>
          <w:trHeight w:val="308" w:hRule="atLeast"/>
          <w:jc w:val="center"/>
        </w:trPr>
        <w:tc>
          <w:tcPr>
            <w:tcW w:w="108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p>
        </w:tc>
        <w:tc>
          <w:tcPr>
            <w:tcW w:w="20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08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Cs w:val="22"/>
              </w:rPr>
            </w:pPr>
          </w:p>
        </w:tc>
        <w:tc>
          <w:tcPr>
            <w:tcW w:w="20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Cs w:val="22"/>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08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Cs w:val="22"/>
              </w:rPr>
            </w:pPr>
          </w:p>
        </w:tc>
        <w:tc>
          <w:tcPr>
            <w:tcW w:w="20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Cs w:val="22"/>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08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20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Cs w:val="22"/>
                <w:lang w:val="en-US" w:eastAsia="zh-CN"/>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08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20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rPr>
          <w:rFonts w:ascii="黑体" w:hAnsi="黑体" w:eastAsia="黑体" w:cs="黑体"/>
          <w:b w:val="0"/>
          <w:bCs/>
          <w:sz w:val="20"/>
          <w:szCs w:val="20"/>
          <w:highlight w:val="none"/>
        </w:rPr>
      </w:pPr>
      <w:r>
        <w:rPr>
          <w:rFonts w:hint="eastAsia" w:ascii="宋体" w:hAnsi="宋体" w:eastAsia="宋体" w:cs="宋体"/>
          <w:sz w:val="20"/>
          <w:szCs w:val="22"/>
        </w:rPr>
        <w:t>注：本表反映部门本年度政府性基金预算财政拨款收入、支出及结转结余情况。</w:t>
      </w:r>
      <w:r>
        <w:rPr>
          <w:rFonts w:hint="eastAsia" w:ascii="宋体" w:hAnsi="宋体" w:eastAsia="宋体" w:cs="宋体"/>
          <w:b w:val="0"/>
          <w:bCs/>
          <w:sz w:val="20"/>
          <w:szCs w:val="20"/>
          <w:highlight w:val="none"/>
        </w:rPr>
        <w:t>本部门本年度无相关支出情况，按要求以空表列示。</w:t>
      </w:r>
    </w:p>
    <w:p>
      <w:pPr>
        <w:rPr>
          <w:rFonts w:ascii="黑体" w:hAnsi="黑体" w:eastAsia="黑体" w:cs="黑体"/>
          <w:sz w:val="21"/>
          <w:szCs w:val="21"/>
        </w:rPr>
      </w:pPr>
    </w:p>
    <w:p>
      <w:pPr>
        <w:rPr>
          <w:b/>
          <w:sz w:val="20"/>
          <w:szCs w:val="22"/>
          <w:highlight w:val="yellow"/>
        </w:rPr>
      </w:pPr>
      <w:r>
        <w:rPr>
          <w:b/>
          <w:sz w:val="20"/>
          <w:szCs w:val="22"/>
          <w:highlight w:val="yellow"/>
        </w:rPr>
        <w:br w:type="page"/>
      </w:r>
    </w:p>
    <w:tbl>
      <w:tblPr>
        <w:tblStyle w:val="5"/>
        <w:tblW w:w="9064" w:type="dxa"/>
        <w:tblInd w:w="0" w:type="dxa"/>
        <w:tblLayout w:type="fixed"/>
        <w:tblCellMar>
          <w:top w:w="0" w:type="dxa"/>
          <w:left w:w="0" w:type="dxa"/>
          <w:bottom w:w="0" w:type="dxa"/>
          <w:right w:w="0" w:type="dxa"/>
        </w:tblCellMar>
      </w:tblPr>
      <w:tblGrid>
        <w:gridCol w:w="63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国有资本经营预算财政拨款支出决算表</w:t>
            </w:r>
          </w:p>
        </w:tc>
      </w:tr>
      <w:tr>
        <w:tblPrEx>
          <w:tblCellMar>
            <w:top w:w="0" w:type="dxa"/>
            <w:left w:w="0" w:type="dxa"/>
            <w:bottom w:w="0" w:type="dxa"/>
            <w:right w:w="0" w:type="dxa"/>
          </w:tblCellMar>
        </w:tblPrEx>
        <w:trPr>
          <w:trHeight w:val="250" w:hRule="atLeast"/>
        </w:trPr>
        <w:tc>
          <w:tcPr>
            <w:tcW w:w="63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250" w:hRule="atLeast"/>
        </w:trPr>
        <w:tc>
          <w:tcPr>
            <w:tcW w:w="630"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rPr>
          <w:rFonts w:ascii="黑体" w:hAnsi="黑体" w:eastAsia="黑体" w:cs="黑体"/>
          <w:b w:val="0"/>
          <w:bCs/>
          <w:sz w:val="20"/>
          <w:szCs w:val="20"/>
          <w:highlight w:val="none"/>
        </w:rPr>
      </w:pPr>
      <w:r>
        <w:rPr>
          <w:rFonts w:hint="eastAsia" w:ascii="宋体" w:hAnsi="宋体" w:eastAsia="宋体" w:cs="宋体"/>
          <w:sz w:val="20"/>
          <w:szCs w:val="20"/>
        </w:rPr>
        <w:t>注：本表反映部门本年度国有资本经营预算财政拨款收入、支出及结转结余情况。</w:t>
      </w:r>
      <w:r>
        <w:rPr>
          <w:rFonts w:hint="eastAsia" w:ascii="宋体" w:hAnsi="宋体" w:eastAsia="宋体" w:cs="宋体"/>
          <w:b w:val="0"/>
          <w:bCs/>
          <w:sz w:val="20"/>
          <w:szCs w:val="20"/>
          <w:highlight w:val="none"/>
        </w:rPr>
        <w:t>本部门本年度无相关支出情况，按要求以空表列示。</w:t>
      </w:r>
    </w:p>
    <w:p>
      <w:pPr>
        <w:rPr>
          <w:rFonts w:ascii="黑体" w:hAnsi="黑体" w:eastAsia="黑体" w:cs="黑体"/>
          <w:sz w:val="21"/>
          <w:szCs w:val="21"/>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mc:AlternateContent>
          <mc:Choice Requires="wps">
            <w:drawing>
              <wp:anchor distT="0" distB="0" distL="114300" distR="114300" simplePos="0" relativeHeight="251664384" behindDoc="0" locked="0" layoutInCell="1" allowOverlap="1">
                <wp:simplePos x="0" y="0"/>
                <wp:positionH relativeFrom="column">
                  <wp:posOffset>-993140</wp:posOffset>
                </wp:positionH>
                <wp:positionV relativeFrom="paragraph">
                  <wp:posOffset>-1353820</wp:posOffset>
                </wp:positionV>
                <wp:extent cx="7632700" cy="10695940"/>
                <wp:effectExtent l="0" t="0" r="2540" b="2540"/>
                <wp:wrapNone/>
                <wp:docPr id="3"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2pt;margin-top:-106.6pt;height:842.2pt;width:601pt;z-index:251664384;v-text-anchor:middle;mso-width-relative:page;mso-height-relative:page;" fillcolor="#BDD7EE [1300]" filled="t" stroked="f" coordsize="21600,21600" o:gfxdata="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aR&#10;7+fcAAAADwEAAA8AAAAAAAAAAQAgAAAAIgAAAGRycy9kb3ducmV2LnhtbFBLAQIUABQAAAAIAIdO&#10;4kBIxKP9kQIAABEFAAAOAAAAAAAAAAEAIAAAACsBAABkcnMvZTJvRG9jLnhtbFBLBQYAAAAABgAG&#10;AFkBAAAuBgAAAAA=&#10;">
                <v:fill on="t" focussize="0,0"/>
                <v:stroke on="f" weight="1pt" miterlimit="8" joinstyle="miter"/>
                <v:imagedata o:title=""/>
                <o:lock v:ext="edit" aspectratio="f"/>
              </v:rect>
            </w:pict>
          </mc:Fallback>
        </mc:AlternateConten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Cambria">
    <w:panose1 w:val="02040503050406030204"/>
    <w:charset w:val="00"/>
    <w:family w:val="roman"/>
    <w:pitch w:val="default"/>
    <w:sig w:usb0="E00002FF" w:usb1="400004FF" w:usb2="00000000" w:usb3="00000000" w:csb0="2000019F" w:csb1="00000000"/>
  </w:font>
  <w:font w:name="Mongolian Baiti">
    <w:panose1 w:val="03000500000000000000"/>
    <w:charset w:val="00"/>
    <w:family w:val="script"/>
    <w:pitch w:val="default"/>
    <w:sig w:usb0="80000023" w:usb1="00000000" w:usb2="0002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59950409"/>
    <w:multiLevelType w:val="singleLevel"/>
    <w:tmpl w:val="59950409"/>
    <w:lvl w:ilvl="0" w:tentative="0">
      <w:start w:val="1"/>
      <w:numFmt w:val="decimal"/>
      <w:suff w:val="space"/>
      <w:lvlText w:val="%1."/>
      <w:lvlJc w:val="left"/>
    </w:lvl>
  </w:abstractNum>
  <w:abstractNum w:abstractNumId="2">
    <w:nsid w:val="78C1413D"/>
    <w:multiLevelType w:val="singleLevel"/>
    <w:tmpl w:val="78C1413D"/>
    <w:lvl w:ilvl="0" w:tentative="0">
      <w:start w:val="1"/>
      <w:numFmt w:val="decimal"/>
      <w:suff w:val="space"/>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C45458"/>
    <w:rsid w:val="00061A05"/>
    <w:rsid w:val="0018668E"/>
    <w:rsid w:val="001B73D2"/>
    <w:rsid w:val="001E62BF"/>
    <w:rsid w:val="00293E7B"/>
    <w:rsid w:val="002D1F4F"/>
    <w:rsid w:val="00366D90"/>
    <w:rsid w:val="003D678E"/>
    <w:rsid w:val="00723724"/>
    <w:rsid w:val="00801F66"/>
    <w:rsid w:val="009334BF"/>
    <w:rsid w:val="00EE5ABD"/>
    <w:rsid w:val="017C0D98"/>
    <w:rsid w:val="01994291"/>
    <w:rsid w:val="021B0852"/>
    <w:rsid w:val="0265001F"/>
    <w:rsid w:val="030F60F7"/>
    <w:rsid w:val="03997F1A"/>
    <w:rsid w:val="03B76367"/>
    <w:rsid w:val="04A71040"/>
    <w:rsid w:val="04B00853"/>
    <w:rsid w:val="04CF747F"/>
    <w:rsid w:val="058A562E"/>
    <w:rsid w:val="058B71E0"/>
    <w:rsid w:val="059F51F2"/>
    <w:rsid w:val="05D435BA"/>
    <w:rsid w:val="070B6684"/>
    <w:rsid w:val="07C470B3"/>
    <w:rsid w:val="07F74E86"/>
    <w:rsid w:val="09E12740"/>
    <w:rsid w:val="0A945AB2"/>
    <w:rsid w:val="0A997F43"/>
    <w:rsid w:val="0B6B20DA"/>
    <w:rsid w:val="0BA21B55"/>
    <w:rsid w:val="0E170F26"/>
    <w:rsid w:val="0E9A5608"/>
    <w:rsid w:val="0EA325C9"/>
    <w:rsid w:val="0F0135C2"/>
    <w:rsid w:val="101F1823"/>
    <w:rsid w:val="10D0752D"/>
    <w:rsid w:val="11AA090E"/>
    <w:rsid w:val="123F34D2"/>
    <w:rsid w:val="141D2034"/>
    <w:rsid w:val="14BE4DF7"/>
    <w:rsid w:val="15C713CD"/>
    <w:rsid w:val="17B26185"/>
    <w:rsid w:val="182E2E18"/>
    <w:rsid w:val="18AF2810"/>
    <w:rsid w:val="194A47D1"/>
    <w:rsid w:val="19FD7058"/>
    <w:rsid w:val="1B565F4D"/>
    <w:rsid w:val="1DCE65B9"/>
    <w:rsid w:val="1F5166BA"/>
    <w:rsid w:val="20094666"/>
    <w:rsid w:val="21AB2AC8"/>
    <w:rsid w:val="23880D2D"/>
    <w:rsid w:val="23A5691D"/>
    <w:rsid w:val="26691215"/>
    <w:rsid w:val="26735168"/>
    <w:rsid w:val="26883305"/>
    <w:rsid w:val="2820577B"/>
    <w:rsid w:val="28DA5C57"/>
    <w:rsid w:val="298F56E8"/>
    <w:rsid w:val="2A0A209E"/>
    <w:rsid w:val="2B700793"/>
    <w:rsid w:val="2BF44B44"/>
    <w:rsid w:val="2C072756"/>
    <w:rsid w:val="2CC90264"/>
    <w:rsid w:val="2CFD3E47"/>
    <w:rsid w:val="2D4946F0"/>
    <w:rsid w:val="2D8C6809"/>
    <w:rsid w:val="2E242C56"/>
    <w:rsid w:val="2E2C6FF5"/>
    <w:rsid w:val="2E40135F"/>
    <w:rsid w:val="2F2A75ED"/>
    <w:rsid w:val="2FB96948"/>
    <w:rsid w:val="2FD56FE1"/>
    <w:rsid w:val="303E5E56"/>
    <w:rsid w:val="31A77CF3"/>
    <w:rsid w:val="3327616A"/>
    <w:rsid w:val="34C45458"/>
    <w:rsid w:val="35312749"/>
    <w:rsid w:val="35C83C42"/>
    <w:rsid w:val="35E93E28"/>
    <w:rsid w:val="37265DA9"/>
    <w:rsid w:val="37A43387"/>
    <w:rsid w:val="37BD32C2"/>
    <w:rsid w:val="386366D2"/>
    <w:rsid w:val="38995613"/>
    <w:rsid w:val="38DC7EC9"/>
    <w:rsid w:val="3A2A2D67"/>
    <w:rsid w:val="3AD51234"/>
    <w:rsid w:val="3BAF3687"/>
    <w:rsid w:val="3E76088C"/>
    <w:rsid w:val="41C07EB9"/>
    <w:rsid w:val="42776C3F"/>
    <w:rsid w:val="429D67FD"/>
    <w:rsid w:val="46660B5F"/>
    <w:rsid w:val="46773257"/>
    <w:rsid w:val="480354EE"/>
    <w:rsid w:val="48660211"/>
    <w:rsid w:val="487F1467"/>
    <w:rsid w:val="489A40A9"/>
    <w:rsid w:val="48DE5BC9"/>
    <w:rsid w:val="49752067"/>
    <w:rsid w:val="4A9C625A"/>
    <w:rsid w:val="4CE53C4F"/>
    <w:rsid w:val="4F565509"/>
    <w:rsid w:val="4F5B6F38"/>
    <w:rsid w:val="4FA32D1F"/>
    <w:rsid w:val="4FD9015C"/>
    <w:rsid w:val="50DF6229"/>
    <w:rsid w:val="514C4D3F"/>
    <w:rsid w:val="51A603DA"/>
    <w:rsid w:val="52C0027D"/>
    <w:rsid w:val="55863126"/>
    <w:rsid w:val="55E9282D"/>
    <w:rsid w:val="5848430D"/>
    <w:rsid w:val="59233626"/>
    <w:rsid w:val="59444785"/>
    <w:rsid w:val="5B6E6886"/>
    <w:rsid w:val="5C1D5703"/>
    <w:rsid w:val="5C916D48"/>
    <w:rsid w:val="5D0C63C4"/>
    <w:rsid w:val="5DB43166"/>
    <w:rsid w:val="6076207E"/>
    <w:rsid w:val="60841BBD"/>
    <w:rsid w:val="6148064D"/>
    <w:rsid w:val="624F6FBE"/>
    <w:rsid w:val="62667A07"/>
    <w:rsid w:val="65432300"/>
    <w:rsid w:val="65BE3337"/>
    <w:rsid w:val="68536E03"/>
    <w:rsid w:val="68667933"/>
    <w:rsid w:val="6A0322E4"/>
    <w:rsid w:val="6CCC2B31"/>
    <w:rsid w:val="6CCC6BF5"/>
    <w:rsid w:val="6E08552A"/>
    <w:rsid w:val="6E3E32D3"/>
    <w:rsid w:val="6E673927"/>
    <w:rsid w:val="6F7864A0"/>
    <w:rsid w:val="710C77C5"/>
    <w:rsid w:val="72672F6C"/>
    <w:rsid w:val="730050DF"/>
    <w:rsid w:val="73C60EA4"/>
    <w:rsid w:val="73CA109A"/>
    <w:rsid w:val="73D824BD"/>
    <w:rsid w:val="745946AC"/>
    <w:rsid w:val="75A32053"/>
    <w:rsid w:val="76486D9D"/>
    <w:rsid w:val="7A704516"/>
    <w:rsid w:val="7B2E57E1"/>
    <w:rsid w:val="7BD649AE"/>
    <w:rsid w:val="7BDA329F"/>
    <w:rsid w:val="7C442CFF"/>
    <w:rsid w:val="7DFE7E8C"/>
    <w:rsid w:val="7E7C22FD"/>
    <w:rsid w:val="7F604C79"/>
    <w:rsid w:val="7FBF05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bmp"/><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1732</Words>
  <Characters>9876</Characters>
  <Lines>82</Lines>
  <Paragraphs>23</Paragraphs>
  <TotalTime>2</TotalTime>
  <ScaleCrop>false</ScaleCrop>
  <LinksUpToDate>false</LinksUpToDate>
  <CharactersWithSpaces>11585</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Administrator</cp:lastModifiedBy>
  <cp:lastPrinted>2021-10-08T04:01:00Z</cp:lastPrinted>
  <dcterms:modified xsi:type="dcterms:W3CDTF">2022-05-24T06:38:23Z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65FA352BAB5146309CB066C800874C19</vt:lpwstr>
  </property>
</Properties>
</file>