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rPr>
          <w:rFonts w:hint="eastAsia" w:eastAsiaTheme="minorEastAsia"/>
          <w:lang w:eastAsia="zh-CN"/>
        </w:rPr>
        <w:drawing>
          <wp:anchor distT="0" distB="0" distL="114300" distR="114300" simplePos="0" relativeHeight="251666432" behindDoc="0" locked="0" layoutInCell="1" allowOverlap="1">
            <wp:simplePos x="0" y="0"/>
            <wp:positionH relativeFrom="column">
              <wp:posOffset>-971550</wp:posOffset>
            </wp:positionH>
            <wp:positionV relativeFrom="paragraph">
              <wp:posOffset>-1329055</wp:posOffset>
            </wp:positionV>
            <wp:extent cx="7588885" cy="10673080"/>
            <wp:effectExtent l="0" t="0" r="12065" b="13970"/>
            <wp:wrapNone/>
            <wp:docPr id="4" name="图片 4" descr="c0109c93cd65bad8e9efc59915156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0109c93cd65bad8e9efc59915156c9"/>
                    <pic:cNvPicPr>
                      <a:picLocks noChangeAspect="1"/>
                    </pic:cNvPicPr>
                  </pic:nvPicPr>
                  <pic:blipFill>
                    <a:blip r:embed="rId10"/>
                    <a:stretch>
                      <a:fillRect/>
                    </a:stretch>
                  </pic:blipFill>
                  <pic:spPr>
                    <a:xfrm>
                      <a:off x="0" y="0"/>
                      <a:ext cx="7588885" cy="10673080"/>
                    </a:xfrm>
                    <a:prstGeom prst="rect">
                      <a:avLst/>
                    </a:prstGeom>
                  </pic:spPr>
                </pic:pic>
              </a:graphicData>
            </a:graphic>
          </wp:anchor>
        </w:drawing>
      </w:r>
      <w:r>
        <w:drawing>
          <wp:anchor distT="0" distB="0" distL="114300" distR="114300" simplePos="0" relativeHeight="251659264" behindDoc="1" locked="0" layoutInCell="1" allowOverlap="1">
            <wp:simplePos x="0" y="0"/>
            <wp:positionH relativeFrom="column">
              <wp:posOffset>-973455</wp:posOffset>
            </wp:positionH>
            <wp:positionV relativeFrom="page">
              <wp:posOffset>-3175</wp:posOffset>
            </wp:positionV>
            <wp:extent cx="7559675" cy="10689590"/>
            <wp:effectExtent l="0" t="0" r="14605" b="8890"/>
            <wp:wrapNone/>
            <wp:docPr id="5" name="图片 5" descr="C:\Users\lenovo\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lenovo\Desktop\图片1.png图片1"/>
                    <pic:cNvPicPr>
                      <a:picLocks noChangeAspect="1"/>
                    </pic:cNvPicPr>
                  </pic:nvPicPr>
                  <pic:blipFill>
                    <a:blip r:embed="rId11"/>
                    <a:srcRect/>
                    <a:stretch>
                      <a:fillRect/>
                    </a:stretch>
                  </pic:blipFill>
                  <pic:spPr>
                    <a:xfrm>
                      <a:off x="0" y="0"/>
                      <a:ext cx="7559675" cy="10689590"/>
                    </a:xfrm>
                    <a:prstGeom prst="rect">
                      <a:avLst/>
                    </a:prstGeom>
                  </pic:spPr>
                </pic:pic>
              </a:graphicData>
            </a:graphic>
          </wp:anchor>
        </w:drawing>
      </w:r>
      <w:r>
        <w:br w:type="page"/>
      </w:r>
    </w:p>
    <w:p>
      <w:pPr>
        <w:jc w:val="both"/>
        <w:rPr>
          <w:rFonts w:hint="default" w:ascii="黑体" w:hAnsi="黑体" w:eastAsia="黑体" w:cs="黑体"/>
          <w:spacing w:val="-45"/>
          <w:sz w:val="72"/>
          <w:szCs w:val="96"/>
          <w:highlight w:val="yellow"/>
          <w:lang w:val="en-US" w:eastAsia="zh-CN"/>
        </w:rPr>
      </w:pPr>
      <w:r>
        <w:rPr>
          <w:rFonts w:hint="eastAsia" w:ascii="黑体" w:hAnsi="黑体" w:eastAsia="黑体" w:cs="黑体"/>
          <w:spacing w:val="-45"/>
          <w:sz w:val="72"/>
          <w:szCs w:val="96"/>
          <w:lang w:val="en-US" w:eastAsia="zh-CN"/>
        </w:rPr>
        <w:t>保定市满城区于家庄镇人民政府</w:t>
      </w:r>
    </w:p>
    <w:p>
      <w:pPr>
        <w:rPr>
          <w:rFonts w:ascii="黑体" w:hAnsi="黑体" w:eastAsia="黑体" w:cs="黑体"/>
          <w:sz w:val="72"/>
          <w:szCs w:val="96"/>
        </w:rPr>
      </w:pPr>
      <w:r>
        <w:rPr>
          <w:rFonts w:hint="eastAsia" w:ascii="黑体" w:hAnsi="黑体" w:eastAsia="黑体" w:cs="黑体"/>
          <w:sz w:val="72"/>
          <w:szCs w:val="96"/>
        </w:rPr>
        <w:t>2020年度部门决算公开文本</w:t>
      </w:r>
    </w:p>
    <w:p>
      <w:pPr>
        <w:spacing w:line="36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sectPr>
          <w:pgSz w:w="11906" w:h="16838"/>
          <w:pgMar w:top="2098" w:right="1531" w:bottom="1984" w:left="1531" w:header="851" w:footer="992" w:gutter="0"/>
          <w:cols w:space="0" w:num="1"/>
          <w:titlePg/>
          <w:docGrid w:type="lines" w:linePitch="312" w:charSpace="0"/>
        </w:sectPr>
      </w:pPr>
      <w:r>
        <w:rPr>
          <w:rFonts w:hint="eastAsia"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二〇二一年</w:t>
      </w:r>
      <w:r>
        <w:rPr>
          <w:rFonts w:hint="eastAsia" w:ascii="楷体_GB2312" w:hAnsi="楷体_GB2312" w:eastAsia="楷体_GB2312" w:cs="楷体_GB2312"/>
          <w:color w:val="000000" w:themeColor="text1"/>
          <w:kern w:val="0"/>
          <w:sz w:val="40"/>
          <w:szCs w:val="40"/>
          <w:lang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十</w:t>
      </w:r>
      <w:r>
        <w:rPr>
          <w:rFonts w:hint="eastAsia"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月</w:t>
      </w:r>
    </w:p>
    <w:p>
      <w:pPr>
        <w:rPr>
          <w:rFonts w:ascii="黑体" w:hAnsi="Times New Roman" w:eastAsia="黑体" w:cs="Times New Roman"/>
          <w:sz w:val="48"/>
          <w:szCs w:val="48"/>
        </w:rPr>
      </w:pPr>
    </w:p>
    <w:p>
      <w:pPr>
        <w:tabs>
          <w:tab w:val="left" w:pos="2728"/>
        </w:tabs>
        <w:jc w:val="center"/>
        <w:rPr>
          <w:rFonts w:ascii="黑体" w:hAnsi="Times New Roman" w:eastAsia="黑体" w:cs="Times New Roman"/>
          <w:sz w:val="48"/>
          <w:szCs w:val="48"/>
        </w:rPr>
      </w:pPr>
      <w:r>
        <w:rPr>
          <w:rFonts w:hint="eastAsia" w:ascii="黑体" w:hAnsi="Times New Roman" w:eastAsia="黑体" w:cs="Times New Roman"/>
          <w:sz w:val="48"/>
          <w:szCs w:val="48"/>
        </w:rPr>
        <w:t>目    录</w:t>
      </w:r>
    </w:p>
    <w:p>
      <w:pPr>
        <w:widowControl/>
        <w:spacing w:after="160" w:line="580" w:lineRule="exact"/>
        <w:ind w:firstLine="640" w:firstLineChars="200"/>
        <w:rPr>
          <w:rFonts w:ascii="Times New Roman" w:hAnsi="Times New Roman" w:eastAsia="黑体" w:cs="Times New Roman"/>
          <w:sz w:val="32"/>
          <w:szCs w:val="32"/>
        </w:rPr>
      </w:pPr>
    </w:p>
    <w:p>
      <w:pPr>
        <w:keepNext w:val="0"/>
        <w:keepLines w:val="0"/>
        <w:pageBreakBefore w:val="0"/>
        <w:widowControl/>
        <w:kinsoku/>
        <w:wordWrap/>
        <w:overflowPunct/>
        <w:topLinePunct w:val="0"/>
        <w:autoSpaceDE/>
        <w:autoSpaceDN/>
        <w:bidi w:val="0"/>
        <w:adjustRightInd/>
        <w:snapToGrid/>
        <w:spacing w:line="640" w:lineRule="exact"/>
        <w:ind w:firstLine="640" w:firstLineChars="200"/>
        <w:textAlignment w:val="auto"/>
        <w:rPr>
          <w:rFonts w:ascii="Times New Roman" w:hAnsi="Times New Roman" w:eastAsia="仿宋_GB2312" w:cs="Times New Roman"/>
          <w:sz w:val="24"/>
          <w:szCs w:val="32"/>
        </w:rPr>
      </w:pPr>
      <w:r>
        <w:rPr>
          <w:rFonts w:ascii="Times New Roman" w:hAnsi="Times New Roman" w:eastAsia="黑体" w:cs="Times New Roman"/>
          <w:sz w:val="32"/>
          <w:szCs w:val="32"/>
        </w:rPr>
        <w:t>第一部分   部门概况</w:t>
      </w:r>
    </w:p>
    <w:p>
      <w:pPr>
        <w:keepNext w:val="0"/>
        <w:keepLines w:val="0"/>
        <w:pageBreakBefore w:val="0"/>
        <w:widowControl/>
        <w:kinsoku/>
        <w:wordWrap/>
        <w:overflowPunct/>
        <w:topLinePunct w:val="0"/>
        <w:autoSpaceDE/>
        <w:autoSpaceDN/>
        <w:bidi w:val="0"/>
        <w:adjustRightInd/>
        <w:snapToGrid/>
        <w:spacing w:line="640" w:lineRule="exact"/>
        <w:ind w:firstLine="1273" w:firstLineChars="398"/>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一、部门</w:t>
      </w:r>
      <w:r>
        <w:rPr>
          <w:rFonts w:hint="eastAsia" w:ascii="Times New Roman" w:hAnsi="Times New Roman" w:eastAsia="仿宋_GB2312" w:cs="Times New Roman"/>
          <w:sz w:val="32"/>
          <w:szCs w:val="32"/>
        </w:rPr>
        <w:t>职责</w:t>
      </w:r>
    </w:p>
    <w:p>
      <w:pPr>
        <w:keepNext w:val="0"/>
        <w:keepLines w:val="0"/>
        <w:pageBreakBefore w:val="0"/>
        <w:widowControl/>
        <w:kinsoku/>
        <w:wordWrap/>
        <w:overflowPunct/>
        <w:topLinePunct w:val="0"/>
        <w:autoSpaceDE/>
        <w:autoSpaceDN/>
        <w:bidi w:val="0"/>
        <w:adjustRightInd/>
        <w:snapToGrid/>
        <w:spacing w:line="640" w:lineRule="exact"/>
        <w:ind w:firstLine="1273" w:firstLineChars="398"/>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二、</w:t>
      </w:r>
      <w:r>
        <w:rPr>
          <w:rFonts w:hint="eastAsia" w:ascii="Times New Roman" w:hAnsi="Times New Roman" w:eastAsia="仿宋_GB2312" w:cs="Times New Roman"/>
          <w:sz w:val="32"/>
          <w:szCs w:val="32"/>
        </w:rPr>
        <w:t>机构设置</w:t>
      </w:r>
    </w:p>
    <w:p>
      <w:pPr>
        <w:keepNext w:val="0"/>
        <w:keepLines w:val="0"/>
        <w:pageBreakBefore w:val="0"/>
        <w:widowControl/>
        <w:kinsoku/>
        <w:wordWrap/>
        <w:overflowPunct/>
        <w:topLinePunct w:val="0"/>
        <w:autoSpaceDE/>
        <w:autoSpaceDN/>
        <w:bidi w:val="0"/>
        <w:adjustRightInd/>
        <w:snapToGrid/>
        <w:spacing w:line="640" w:lineRule="exact"/>
        <w:ind w:firstLine="640" w:firstLineChars="200"/>
        <w:textAlignment w:val="auto"/>
        <w:rPr>
          <w:rFonts w:ascii="Times New Roman" w:hAnsi="Times New Roman" w:eastAsia="黑体" w:cs="Times New Roman"/>
          <w:sz w:val="32"/>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20</w:t>
      </w:r>
      <w:r>
        <w:rPr>
          <w:rFonts w:hint="eastAsia" w:ascii="Times New Roman" w:hAnsi="Times New Roman" w:eastAsia="黑体" w:cs="Times New Roman"/>
          <w:sz w:val="32"/>
          <w:szCs w:val="32"/>
        </w:rPr>
        <w:t>20</w:t>
      </w:r>
      <w:r>
        <w:rPr>
          <w:rFonts w:ascii="Times New Roman" w:hAnsi="Times New Roman" w:eastAsia="黑体" w:cs="Times New Roman"/>
          <w:sz w:val="32"/>
          <w:szCs w:val="32"/>
        </w:rPr>
        <w:t>年部门决算情况说明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一、收入支出决算总体情况说明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二、收入决算情况说明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三、支出决算情况说明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四、财政拨款收入支出决算总体情况说明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五、一般公共预算“三公” 经费支出决算情况说明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六、预算绩效情况说明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七、机关运行经费情况</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八、政府采购情况</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九、国有资产占用情况</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十、其他需要说明的情况</w:t>
      </w:r>
    </w:p>
    <w:p>
      <w:pPr>
        <w:keepNext w:val="0"/>
        <w:keepLines w:val="0"/>
        <w:pageBreakBefore w:val="0"/>
        <w:widowControl/>
        <w:kinsoku/>
        <w:wordWrap/>
        <w:overflowPunct/>
        <w:topLinePunct w:val="0"/>
        <w:autoSpaceDE/>
        <w:autoSpaceDN/>
        <w:bidi w:val="0"/>
        <w:adjustRightInd/>
        <w:snapToGrid/>
        <w:spacing w:line="64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黑体" w:cs="Times New Roman"/>
          <w:sz w:val="32"/>
          <w:szCs w:val="32"/>
        </w:rPr>
        <w:t>第三部分   名词解释</w:t>
      </w:r>
    </w:p>
    <w:p>
      <w:pPr>
        <w:keepNext w:val="0"/>
        <w:keepLines w:val="0"/>
        <w:pageBreakBefore w:val="0"/>
        <w:widowControl/>
        <w:kinsoku/>
        <w:wordWrap/>
        <w:overflowPunct/>
        <w:topLinePunct w:val="0"/>
        <w:autoSpaceDE/>
        <w:autoSpaceDN/>
        <w:bidi w:val="0"/>
        <w:adjustRightInd/>
        <w:snapToGrid/>
        <w:spacing w:line="640" w:lineRule="exact"/>
        <w:ind w:firstLine="640" w:firstLineChars="200"/>
        <w:textAlignment w:val="auto"/>
        <w:rPr>
          <w:rFonts w:ascii="Times New Roman" w:hAnsi="Times New Roman" w:eastAsia="仿宋_GB2312" w:cs="Times New Roman"/>
          <w:sz w:val="20"/>
          <w:szCs w:val="32"/>
        </w:r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 xml:space="preserve"> 20</w:t>
      </w:r>
      <w:r>
        <w:rPr>
          <w:rFonts w:hint="eastAsia" w:ascii="Times New Roman" w:hAnsi="Times New Roman" w:eastAsia="黑体" w:cs="Times New Roman"/>
          <w:sz w:val="32"/>
          <w:szCs w:val="32"/>
        </w:rPr>
        <w:t>20</w:t>
      </w:r>
      <w:r>
        <w:rPr>
          <w:rFonts w:ascii="Times New Roman" w:hAnsi="Times New Roman" w:eastAsia="黑体" w:cs="Times New Roman"/>
          <w:sz w:val="32"/>
          <w:szCs w:val="32"/>
        </w:rPr>
        <w:t>年度部门决算报表</w:t>
      </w:r>
    </w:p>
    <w:p>
      <w:pPr>
        <w:widowControl/>
        <w:spacing w:after="160" w:line="580" w:lineRule="exact"/>
        <w:ind w:firstLine="640" w:firstLineChars="200"/>
        <w:rPr>
          <w:rFonts w:ascii="Times New Roman" w:hAnsi="Times New Roman" w:eastAsia="黑体" w:cs="Times New Roman"/>
          <w:sz w:val="32"/>
          <w:szCs w:val="32"/>
        </w:rPr>
        <w:sectPr>
          <w:headerReference r:id="rId4" w:type="first"/>
          <w:footerReference r:id="rId6" w:type="first"/>
          <w:headerReference r:id="rId3" w:type="default"/>
          <w:footerReference r:id="rId5" w:type="default"/>
          <w:type w:val="continuous"/>
          <w:pgSz w:w="11906" w:h="16838"/>
          <w:pgMar w:top="2098" w:right="1531" w:bottom="1984" w:left="1531" w:header="851" w:footer="992" w:gutter="0"/>
          <w:cols w:space="0" w:num="1"/>
          <w:titlePg/>
          <w:docGrid w:type="lines" w:linePitch="312" w:charSpace="0"/>
        </w:sect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rPr>
          <w:sz w:val="72"/>
        </w:rPr>
        <mc:AlternateContent>
          <mc:Choice Requires="wps">
            <w:drawing>
              <wp:anchor distT="0" distB="0" distL="114300" distR="114300" simplePos="0" relativeHeight="251660288" behindDoc="0" locked="0" layoutInCell="1" allowOverlap="1">
                <wp:simplePos x="0" y="0"/>
                <wp:positionH relativeFrom="column">
                  <wp:posOffset>-1088390</wp:posOffset>
                </wp:positionH>
                <wp:positionV relativeFrom="paragraph">
                  <wp:posOffset>1024890</wp:posOffset>
                </wp:positionV>
                <wp:extent cx="7793355" cy="3341370"/>
                <wp:effectExtent l="6350" t="6350" r="18415" b="20320"/>
                <wp:wrapNone/>
                <wp:docPr id="143" name="文本框 143"/>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chemeClr val="bg1">
                              <a:lumMod val="50000"/>
                            </a:schemeClr>
                          </a:fgClr>
                          <a:bgClr>
                            <a:schemeClr val="bg1"/>
                          </a:bgClr>
                        </a:pattFill>
                        <a:ln w="12700" cmpd="sng">
                          <a:solidFill>
                            <a:schemeClr val="bg1">
                              <a:lumMod val="65000"/>
                            </a:schemeClr>
                          </a:solidFill>
                          <a:prstDash val="solid"/>
                        </a:ln>
                      </wps:spPr>
                      <wps:style>
                        <a:lnRef idx="0">
                          <a:schemeClr val="accent1"/>
                        </a:lnRef>
                        <a:fillRef idx="0">
                          <a:schemeClr val="accent1"/>
                        </a:fillRef>
                        <a:effectRef idx="0">
                          <a:schemeClr val="accent1"/>
                        </a:effectRef>
                        <a:fontRef idx="minor">
                          <a:schemeClr val="dk1"/>
                        </a:fontRef>
                      </wps:style>
                      <wps:txbx>
                        <w:txbxContent>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第一部分  部门概况</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85.7pt;margin-top:80.7pt;height:263.1pt;width:613.65pt;z-index:251660288;v-text-anchor:middle;mso-width-relative:page;mso-height-relative:page;" fillcolor="#44964D [1612]" filled="t" stroked="t" coordsize="21600,21600" o:gfxdata="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SyNAytsAAAANAQAADwAAAAAAAAABACAAAAAiAAAAZHJzL2Rv&#10;d25yZXYueG1sUEsBAhQAFAAAAAgAh07iQBdLH66pAgAAcQUAAA4AAAAAAAAAAQAgAAAAKgEAAGRy&#10;cy9lMm9Eb2MueG1sUEsFBgAAAAAGAAYAWQEAAEUGAAAAAA==&#10;">
                <v:fill type="pattern" on="t" color2="#CCE8CF [3212]" o:title="5%" focussize="0,0" r:id="rId12"/>
                <v:stroke weight="1pt" color="#63B96C [2092]" joinstyle="round"/>
                <v:imagedata o:title=""/>
                <o:lock v:ext="edit" aspectratio="f"/>
                <v:textbox>
                  <w:txbxContent>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第一部分  部门概况</w:t>
                      </w:r>
                    </w:p>
                  </w:txbxContent>
                </v:textbox>
              </v:shape>
            </w:pict>
          </mc:Fallback>
        </mc:AlternateContent>
      </w:r>
      <w:r>
        <w:br w:type="page"/>
      </w:r>
    </w:p>
    <w:p>
      <w:pPr>
        <w:pStyle w:val="2"/>
        <w:spacing w:before="0" w:after="0" w:line="580" w:lineRule="exact"/>
        <w:ind w:firstLine="640" w:firstLineChars="200"/>
        <w:jc w:val="left"/>
        <w:rPr>
          <w:rFonts w:ascii="黑体" w:eastAsia="黑体" w:cs="黑体"/>
          <w:b w:val="0"/>
          <w:bCs w:val="0"/>
          <w:kern w:val="0"/>
          <w:sz w:val="32"/>
          <w:szCs w:val="32"/>
        </w:rPr>
      </w:pPr>
      <w:r>
        <w:rPr>
          <w:rFonts w:hint="eastAsia" w:ascii="黑体" w:eastAsia="黑体" w:cs="黑体"/>
          <w:b w:val="0"/>
          <w:bCs w:val="0"/>
          <w:kern w:val="0"/>
          <w:sz w:val="32"/>
          <w:szCs w:val="32"/>
        </w:rPr>
        <w:t>一、部门职责</w:t>
      </w:r>
    </w:p>
    <w:p>
      <w:pPr>
        <w:widowControl/>
        <w:spacing w:line="580" w:lineRule="exact"/>
        <w:ind w:firstLine="640" w:firstLineChars="200"/>
        <w:rPr>
          <w:rFonts w:hint="eastAsia" w:ascii="仿宋_GB2312" w:eastAsia="仿宋_GB2312" w:cs="Arial Black"/>
          <w:kern w:val="0"/>
          <w:sz w:val="32"/>
          <w:szCs w:val="32"/>
        </w:rPr>
      </w:pPr>
      <w:r>
        <w:rPr>
          <w:rFonts w:hint="eastAsia" w:ascii="仿宋_GB2312" w:eastAsia="仿宋_GB2312" w:cs="Arial Black"/>
          <w:kern w:val="0"/>
          <w:sz w:val="32"/>
          <w:szCs w:val="32"/>
        </w:rPr>
        <w:t>（一）宣传贯彻执行党的路线方针政策和党中央、上级党组织及本</w:t>
      </w:r>
      <w:r>
        <w:rPr>
          <w:rFonts w:hint="eastAsia" w:ascii="仿宋_GB2312" w:eastAsia="仿宋_GB2312" w:cs="Arial Black"/>
          <w:kern w:val="0"/>
          <w:sz w:val="32"/>
          <w:szCs w:val="32"/>
          <w:lang w:eastAsia="zh-CN"/>
        </w:rPr>
        <w:t>镇</w:t>
      </w:r>
      <w:r>
        <w:rPr>
          <w:rFonts w:hint="eastAsia" w:ascii="仿宋_GB2312" w:eastAsia="仿宋_GB2312" w:cs="Arial Black"/>
          <w:kern w:val="0"/>
          <w:sz w:val="32"/>
          <w:szCs w:val="32"/>
        </w:rPr>
        <w:t>党员代表大会(党员大会)的决议。贯彻执行法律、法规、规章和上级人民代表大会及其常务委员会决议及上级政府的决定、命令，执行本级人民代表大会的决议。</w:t>
      </w:r>
    </w:p>
    <w:p>
      <w:pPr>
        <w:widowControl/>
        <w:spacing w:line="580" w:lineRule="exact"/>
        <w:ind w:firstLine="640" w:firstLineChars="200"/>
        <w:rPr>
          <w:rFonts w:hint="eastAsia" w:ascii="仿宋_GB2312" w:eastAsia="仿宋_GB2312" w:cs="Arial Black"/>
          <w:kern w:val="0"/>
          <w:sz w:val="32"/>
          <w:szCs w:val="32"/>
        </w:rPr>
      </w:pPr>
      <w:r>
        <w:rPr>
          <w:rFonts w:hint="eastAsia" w:ascii="仿宋_GB2312" w:eastAsia="仿宋_GB2312" w:cs="Arial Black"/>
          <w:kern w:val="0"/>
          <w:sz w:val="32"/>
          <w:szCs w:val="32"/>
        </w:rPr>
        <w:t>（二）加强党对基层治理的全面领导，统筹抓好基层党建工作和基层党组织建设各项制度。推进全面从严治党，强化“两个责任”，确保党的路线方针政策在基层得到全面贯彻落实。</w:t>
      </w:r>
    </w:p>
    <w:p>
      <w:pPr>
        <w:widowControl/>
        <w:spacing w:line="580" w:lineRule="exact"/>
        <w:ind w:firstLine="640" w:firstLineChars="200"/>
        <w:rPr>
          <w:rFonts w:hint="eastAsia" w:ascii="仿宋_GB2312" w:eastAsia="仿宋_GB2312" w:cs="Arial Black"/>
          <w:kern w:val="0"/>
          <w:sz w:val="32"/>
          <w:szCs w:val="32"/>
        </w:rPr>
      </w:pPr>
      <w:r>
        <w:rPr>
          <w:rFonts w:hint="eastAsia" w:ascii="仿宋_GB2312" w:eastAsia="仿宋_GB2312" w:cs="Arial Black"/>
          <w:kern w:val="0"/>
          <w:sz w:val="32"/>
          <w:szCs w:val="32"/>
        </w:rPr>
        <w:t>（三）讨论和决定本</w:t>
      </w:r>
      <w:r>
        <w:rPr>
          <w:rFonts w:hint="eastAsia" w:ascii="仿宋_GB2312" w:eastAsia="仿宋_GB2312" w:cs="Arial Black"/>
          <w:kern w:val="0"/>
          <w:sz w:val="32"/>
          <w:szCs w:val="32"/>
          <w:lang w:eastAsia="zh-CN"/>
        </w:rPr>
        <w:t>镇</w:t>
      </w:r>
      <w:r>
        <w:rPr>
          <w:rFonts w:hint="eastAsia" w:ascii="仿宋_GB2312" w:eastAsia="仿宋_GB2312" w:cs="Arial Black"/>
          <w:kern w:val="0"/>
          <w:sz w:val="32"/>
          <w:szCs w:val="32"/>
        </w:rPr>
        <w:t>经济建设、政治建设、文化建设、社会建设、生态文明建设和党的建设以及</w:t>
      </w:r>
      <w:r>
        <w:rPr>
          <w:rFonts w:hint="eastAsia" w:ascii="仿宋_GB2312" w:eastAsia="仿宋_GB2312" w:cs="Arial Black"/>
          <w:kern w:val="0"/>
          <w:sz w:val="32"/>
          <w:szCs w:val="32"/>
          <w:lang w:eastAsia="zh-CN"/>
        </w:rPr>
        <w:t>镇</w:t>
      </w:r>
      <w:r>
        <w:rPr>
          <w:rFonts w:hint="eastAsia" w:ascii="仿宋_GB2312" w:eastAsia="仿宋_GB2312" w:cs="Arial Black"/>
          <w:kern w:val="0"/>
          <w:sz w:val="32"/>
          <w:szCs w:val="32"/>
        </w:rPr>
        <w:t>村振兴中的重大问题。</w:t>
      </w:r>
    </w:p>
    <w:p>
      <w:pPr>
        <w:widowControl/>
        <w:spacing w:line="580" w:lineRule="exact"/>
        <w:ind w:firstLine="640" w:firstLineChars="200"/>
        <w:rPr>
          <w:rFonts w:hint="eastAsia" w:ascii="仿宋_GB2312" w:eastAsia="仿宋_GB2312" w:cs="Arial Black"/>
          <w:kern w:val="0"/>
          <w:sz w:val="32"/>
          <w:szCs w:val="32"/>
        </w:rPr>
      </w:pPr>
      <w:r>
        <w:rPr>
          <w:rFonts w:hint="eastAsia" w:ascii="仿宋_GB2312" w:eastAsia="仿宋_GB2312" w:cs="Arial Black"/>
          <w:kern w:val="0"/>
          <w:sz w:val="32"/>
          <w:szCs w:val="32"/>
        </w:rPr>
        <w:t>（四）组织召开本级人民代表大会，充分行使重大事项决定权、监督权和任免权，做好人大代表工作，联系选民、反映群众意见和要求。</w:t>
      </w:r>
    </w:p>
    <w:p>
      <w:pPr>
        <w:widowControl/>
        <w:spacing w:line="580" w:lineRule="exact"/>
        <w:ind w:firstLine="640" w:firstLineChars="200"/>
        <w:rPr>
          <w:rFonts w:hint="eastAsia" w:ascii="仿宋_GB2312" w:eastAsia="仿宋_GB2312" w:cs="Arial Black"/>
          <w:kern w:val="0"/>
          <w:sz w:val="32"/>
          <w:szCs w:val="32"/>
        </w:rPr>
      </w:pPr>
      <w:r>
        <w:rPr>
          <w:rFonts w:hint="eastAsia" w:ascii="仿宋_GB2312" w:eastAsia="仿宋_GB2312" w:cs="Arial Black"/>
          <w:kern w:val="0"/>
          <w:sz w:val="32"/>
          <w:szCs w:val="32"/>
        </w:rPr>
        <w:t>（五）组织实施与群众生活密切相关的各项公共服务，落实基层“最多跑一次”改革工作，拓宽服务渠道，改进服务方式，建立健全群众办事一次办结机制，推进</w:t>
      </w:r>
      <w:r>
        <w:rPr>
          <w:rFonts w:hint="eastAsia" w:ascii="仿宋_GB2312" w:eastAsia="仿宋_GB2312" w:cs="Arial Black"/>
          <w:kern w:val="0"/>
          <w:sz w:val="32"/>
          <w:szCs w:val="32"/>
          <w:lang w:eastAsia="zh-CN"/>
        </w:rPr>
        <w:t>镇</w:t>
      </w:r>
      <w:r>
        <w:rPr>
          <w:rFonts w:hint="eastAsia" w:ascii="仿宋_GB2312" w:eastAsia="仿宋_GB2312" w:cs="Arial Black"/>
          <w:kern w:val="0"/>
          <w:sz w:val="32"/>
          <w:szCs w:val="32"/>
        </w:rPr>
        <w:t>便民服务平台标准化建设，实行“一站式服务”“一枚印章管审批（服务）”，提升群众获得感和幸福感。</w:t>
      </w:r>
    </w:p>
    <w:p>
      <w:pPr>
        <w:widowControl/>
        <w:spacing w:line="580" w:lineRule="exact"/>
        <w:ind w:firstLine="640" w:firstLineChars="200"/>
        <w:rPr>
          <w:rFonts w:hint="eastAsia" w:ascii="仿宋_GB2312" w:eastAsia="仿宋_GB2312" w:cs="Arial Black"/>
          <w:kern w:val="0"/>
          <w:sz w:val="32"/>
          <w:szCs w:val="32"/>
        </w:rPr>
      </w:pPr>
      <w:r>
        <w:rPr>
          <w:rFonts w:hint="eastAsia" w:ascii="仿宋_GB2312" w:eastAsia="仿宋_GB2312" w:cs="Arial Black"/>
          <w:kern w:val="0"/>
          <w:sz w:val="32"/>
          <w:szCs w:val="32"/>
        </w:rPr>
        <w:t>（六）执行本行政区域内的经济和社会发展计划、预算，管理本行政区域内的经济、教育、科学、文化、卫生健康、体育事业、人力资源和社会保障、医疗保障和财政、统计、民政、司法行政等行政工作。落实本行政区域内发展规划、专项规划、区域规划、国土空间规划。</w:t>
      </w:r>
    </w:p>
    <w:p>
      <w:pPr>
        <w:widowControl/>
        <w:spacing w:line="580" w:lineRule="exact"/>
        <w:ind w:firstLine="640" w:firstLineChars="200"/>
        <w:rPr>
          <w:rFonts w:hint="eastAsia" w:ascii="仿宋_GB2312" w:eastAsia="仿宋_GB2312" w:cs="Arial Black"/>
          <w:kern w:val="0"/>
          <w:sz w:val="32"/>
          <w:szCs w:val="32"/>
        </w:rPr>
      </w:pPr>
      <w:r>
        <w:rPr>
          <w:rFonts w:hint="eastAsia" w:ascii="仿宋_GB2312" w:eastAsia="仿宋_GB2312" w:cs="Arial Black"/>
          <w:kern w:val="0"/>
          <w:sz w:val="32"/>
          <w:szCs w:val="32"/>
        </w:rPr>
        <w:t>（七）</w:t>
      </w:r>
      <w:r>
        <w:rPr>
          <w:rFonts w:hint="eastAsia" w:ascii="仿宋_GB2312" w:eastAsia="仿宋_GB2312" w:cs="Arial Black"/>
          <w:kern w:val="0"/>
          <w:sz w:val="32"/>
          <w:szCs w:val="32"/>
          <w:lang w:eastAsia="zh-CN"/>
        </w:rPr>
        <w:t>镇</w:t>
      </w:r>
      <w:r>
        <w:rPr>
          <w:rFonts w:hint="eastAsia" w:ascii="仿宋_GB2312" w:eastAsia="仿宋_GB2312" w:cs="Arial Black"/>
          <w:kern w:val="0"/>
          <w:sz w:val="32"/>
          <w:szCs w:val="32"/>
        </w:rPr>
        <w:t>党委领导</w:t>
      </w:r>
      <w:r>
        <w:rPr>
          <w:rFonts w:hint="eastAsia" w:ascii="仿宋_GB2312" w:eastAsia="仿宋_GB2312" w:cs="Arial Black"/>
          <w:kern w:val="0"/>
          <w:sz w:val="32"/>
          <w:szCs w:val="32"/>
          <w:lang w:eastAsia="zh-CN"/>
        </w:rPr>
        <w:t>镇</w:t>
      </w:r>
      <w:r>
        <w:rPr>
          <w:rFonts w:hint="eastAsia" w:ascii="仿宋_GB2312" w:eastAsia="仿宋_GB2312" w:cs="Arial Black"/>
          <w:kern w:val="0"/>
          <w:sz w:val="32"/>
          <w:szCs w:val="32"/>
        </w:rPr>
        <w:t>政权机关、群团组织和其他各类组织,加强指导和规范，支持和保证这些机关和组织依照国家法律法规以及各自章程履行职责。坚持党管武装的根本原则和制度,协调各方力量，对</w:t>
      </w:r>
      <w:r>
        <w:rPr>
          <w:rFonts w:hint="eastAsia" w:ascii="仿宋_GB2312" w:eastAsia="仿宋_GB2312" w:cs="Arial Black"/>
          <w:kern w:val="0"/>
          <w:sz w:val="32"/>
          <w:szCs w:val="32"/>
          <w:lang w:eastAsia="zh-CN"/>
        </w:rPr>
        <w:t>镇</w:t>
      </w:r>
      <w:r>
        <w:rPr>
          <w:rFonts w:hint="eastAsia" w:ascii="仿宋_GB2312" w:eastAsia="仿宋_GB2312" w:cs="Arial Black"/>
          <w:kern w:val="0"/>
          <w:sz w:val="32"/>
          <w:szCs w:val="32"/>
        </w:rPr>
        <w:t>人民武装工作实行统一领导。</w:t>
      </w:r>
    </w:p>
    <w:p>
      <w:pPr>
        <w:widowControl/>
        <w:spacing w:line="580" w:lineRule="exact"/>
        <w:ind w:firstLine="640" w:firstLineChars="200"/>
        <w:rPr>
          <w:rFonts w:hint="eastAsia" w:ascii="仿宋_GB2312" w:eastAsia="仿宋_GB2312" w:cs="Arial Black"/>
          <w:kern w:val="0"/>
          <w:sz w:val="32"/>
          <w:szCs w:val="32"/>
        </w:rPr>
      </w:pPr>
      <w:r>
        <w:rPr>
          <w:rFonts w:hint="eastAsia" w:ascii="仿宋_GB2312" w:eastAsia="仿宋_GB2312" w:cs="Arial Black"/>
          <w:kern w:val="0"/>
          <w:sz w:val="32"/>
          <w:szCs w:val="32"/>
        </w:rPr>
        <w:t>（八）加强</w:t>
      </w:r>
      <w:r>
        <w:rPr>
          <w:rFonts w:hint="eastAsia" w:ascii="仿宋_GB2312" w:eastAsia="仿宋_GB2312" w:cs="Arial Black"/>
          <w:kern w:val="0"/>
          <w:sz w:val="32"/>
          <w:szCs w:val="32"/>
          <w:lang w:eastAsia="zh-CN"/>
        </w:rPr>
        <w:t>镇</w:t>
      </w:r>
      <w:r>
        <w:rPr>
          <w:rFonts w:hint="eastAsia" w:ascii="仿宋_GB2312" w:eastAsia="仿宋_GB2312" w:cs="Arial Black"/>
          <w:kern w:val="0"/>
          <w:sz w:val="32"/>
          <w:szCs w:val="32"/>
        </w:rPr>
        <w:t>党委自身建设和村党组织建设，以及其他隶属</w:t>
      </w:r>
      <w:r>
        <w:rPr>
          <w:rFonts w:hint="eastAsia" w:ascii="仿宋_GB2312" w:eastAsia="仿宋_GB2312" w:cs="Arial Black"/>
          <w:kern w:val="0"/>
          <w:sz w:val="32"/>
          <w:szCs w:val="32"/>
          <w:lang w:eastAsia="zh-CN"/>
        </w:rPr>
        <w:t>镇</w:t>
      </w:r>
      <w:r>
        <w:rPr>
          <w:rFonts w:hint="eastAsia" w:ascii="仿宋_GB2312" w:eastAsia="仿宋_GB2312" w:cs="Arial Black"/>
          <w:kern w:val="0"/>
          <w:sz w:val="32"/>
          <w:szCs w:val="32"/>
        </w:rPr>
        <w:t>党委的党组织建设，抓好发展党员工作，加强党员队伍建设。维护和执行党的纪律，监督党员干部和其他任何工作人员严格遵守国家法律法规。</w:t>
      </w:r>
    </w:p>
    <w:p>
      <w:pPr>
        <w:widowControl/>
        <w:spacing w:line="580" w:lineRule="exact"/>
        <w:ind w:firstLine="640" w:firstLineChars="200"/>
        <w:rPr>
          <w:rFonts w:hint="eastAsia" w:ascii="仿宋_GB2312" w:eastAsia="仿宋_GB2312" w:cs="Arial Black"/>
          <w:kern w:val="0"/>
          <w:sz w:val="32"/>
          <w:szCs w:val="32"/>
        </w:rPr>
      </w:pPr>
      <w:r>
        <w:rPr>
          <w:rFonts w:hint="eastAsia" w:ascii="仿宋_GB2312" w:eastAsia="仿宋_GB2312" w:cs="Arial Black"/>
          <w:kern w:val="0"/>
          <w:sz w:val="32"/>
          <w:szCs w:val="32"/>
        </w:rPr>
        <w:t>（九）按照干部管理权限，负责对干部的教育、培训、选拔、考核和监督工作。协助管理上级有关部门驻</w:t>
      </w:r>
      <w:r>
        <w:rPr>
          <w:rFonts w:hint="eastAsia" w:ascii="仿宋_GB2312" w:eastAsia="仿宋_GB2312" w:cs="Arial Black"/>
          <w:kern w:val="0"/>
          <w:sz w:val="32"/>
          <w:szCs w:val="32"/>
          <w:lang w:eastAsia="zh-CN"/>
        </w:rPr>
        <w:t>镇</w:t>
      </w:r>
      <w:r>
        <w:rPr>
          <w:rFonts w:hint="eastAsia" w:ascii="仿宋_GB2312" w:eastAsia="仿宋_GB2312" w:cs="Arial Black"/>
          <w:kern w:val="0"/>
          <w:sz w:val="32"/>
          <w:szCs w:val="32"/>
        </w:rPr>
        <w:t>单位的干部。做好人才服务工作。</w:t>
      </w:r>
    </w:p>
    <w:p>
      <w:pPr>
        <w:widowControl/>
        <w:spacing w:line="580" w:lineRule="exact"/>
        <w:ind w:firstLine="640" w:firstLineChars="200"/>
        <w:rPr>
          <w:rFonts w:hint="eastAsia" w:ascii="仿宋_GB2312" w:eastAsia="仿宋_GB2312" w:cs="Arial Black"/>
          <w:kern w:val="0"/>
          <w:sz w:val="32"/>
          <w:szCs w:val="32"/>
        </w:rPr>
      </w:pPr>
      <w:r>
        <w:rPr>
          <w:rFonts w:hint="eastAsia" w:ascii="仿宋_GB2312" w:eastAsia="仿宋_GB2312" w:cs="Arial Black"/>
          <w:kern w:val="0"/>
          <w:sz w:val="32"/>
          <w:szCs w:val="32"/>
        </w:rPr>
        <w:t>（十）领导本</w:t>
      </w:r>
      <w:r>
        <w:rPr>
          <w:rFonts w:hint="eastAsia" w:ascii="仿宋_GB2312" w:eastAsia="仿宋_GB2312" w:cs="Arial Black"/>
          <w:kern w:val="0"/>
          <w:sz w:val="32"/>
          <w:szCs w:val="32"/>
          <w:lang w:eastAsia="zh-CN"/>
        </w:rPr>
        <w:t>镇</w:t>
      </w:r>
      <w:r>
        <w:rPr>
          <w:rFonts w:hint="eastAsia" w:ascii="仿宋_GB2312" w:eastAsia="仿宋_GB2312" w:cs="Arial Black"/>
          <w:kern w:val="0"/>
          <w:sz w:val="32"/>
          <w:szCs w:val="32"/>
        </w:rPr>
        <w:t>的基层治理，加强社会主义民主法治建设和精神文明建设，加强社会治安综合治理,推行网格化管理服务，落实社会矛盾纠纷排查调处机制，综合发挥人民调解、行政调解和司法调解的作用，及时化解辖区社会矛盾，维护安全稳定。做好综合执法、应急管理、自然资源和生态环保、</w:t>
      </w:r>
      <w:r>
        <w:rPr>
          <w:rFonts w:hint="eastAsia" w:ascii="仿宋_GB2312" w:eastAsia="仿宋_GB2312" w:cs="Arial Black"/>
          <w:kern w:val="0"/>
          <w:sz w:val="32"/>
          <w:szCs w:val="32"/>
          <w:lang w:eastAsia="zh-CN"/>
        </w:rPr>
        <w:t>镇</w:t>
      </w:r>
      <w:r>
        <w:rPr>
          <w:rFonts w:hint="eastAsia" w:ascii="仿宋_GB2312" w:eastAsia="仿宋_GB2312" w:cs="Arial Black"/>
          <w:kern w:val="0"/>
          <w:sz w:val="32"/>
          <w:szCs w:val="32"/>
        </w:rPr>
        <w:t>村振兴、民生保障、脱贫致富、民族宗教、防范邪教等工作。承担民兵预备役、征兵、退役军人服务、拥军优属等工作。</w:t>
      </w:r>
    </w:p>
    <w:p>
      <w:pPr>
        <w:widowControl/>
        <w:spacing w:line="580" w:lineRule="exact"/>
        <w:ind w:firstLine="640" w:firstLineChars="200"/>
        <w:rPr>
          <w:rFonts w:hint="eastAsia" w:ascii="仿宋_GB2312" w:eastAsia="仿宋_GB2312" w:cs="Arial Black"/>
          <w:kern w:val="0"/>
          <w:sz w:val="32"/>
          <w:szCs w:val="32"/>
        </w:rPr>
      </w:pPr>
      <w:r>
        <w:rPr>
          <w:rFonts w:hint="eastAsia" w:ascii="仿宋_GB2312" w:eastAsia="仿宋_GB2312" w:cs="Arial Black"/>
          <w:kern w:val="0"/>
          <w:sz w:val="32"/>
          <w:szCs w:val="32"/>
        </w:rPr>
        <w:t>（十一）保护社会主义的全民所有的财产和劳动群众集体所有的财产，保护公民私人所有的合法财产，维护社会秩序，保障公民的人身权利、民主权利和其他权利。保护各种经济组织的合法权益。保障各少数民族的合法权利和利益，尊重少数民族的风俗习惯。保障宪法和法律赋予妇女的男女平等、同工同酬和婚姻自由等各项权利。</w:t>
      </w:r>
    </w:p>
    <w:p>
      <w:pPr>
        <w:widowControl/>
        <w:spacing w:line="580" w:lineRule="exact"/>
        <w:ind w:firstLine="640" w:firstLineChars="200"/>
        <w:rPr>
          <w:rFonts w:ascii="仿宋_GB2312" w:hAnsi="Calibri" w:eastAsia="仿宋_GB2312" w:cs="Arial Black"/>
          <w:kern w:val="0"/>
          <w:sz w:val="32"/>
          <w:szCs w:val="32"/>
        </w:rPr>
      </w:pPr>
      <w:r>
        <w:rPr>
          <w:rFonts w:hint="eastAsia" w:ascii="仿宋_GB2312" w:eastAsia="仿宋_GB2312" w:cs="Arial Black"/>
          <w:kern w:val="0"/>
          <w:sz w:val="32"/>
          <w:szCs w:val="32"/>
        </w:rPr>
        <w:t>（十二）承办上级党委、人大、政府交办的其他事项。</w:t>
      </w:r>
    </w:p>
    <w:p>
      <w:pPr>
        <w:keepNext/>
        <w:keepLines/>
        <w:spacing w:line="580" w:lineRule="exact"/>
        <w:ind w:firstLine="640" w:firstLineChars="200"/>
        <w:jc w:val="left"/>
        <w:outlineLvl w:val="0"/>
        <w:rPr>
          <w:rFonts w:ascii="黑体" w:hAnsi="Calibri" w:eastAsia="黑体" w:cs="黑体"/>
          <w:kern w:val="0"/>
          <w:sz w:val="32"/>
          <w:szCs w:val="32"/>
        </w:rPr>
      </w:pPr>
      <w:r>
        <w:rPr>
          <w:rFonts w:hint="eastAsia" w:ascii="黑体" w:hAnsi="Calibri" w:eastAsia="黑体" w:cs="黑体"/>
          <w:kern w:val="0"/>
          <w:sz w:val="32"/>
          <w:szCs w:val="32"/>
        </w:rPr>
        <w:t>二、机构设置</w:t>
      </w:r>
    </w:p>
    <w:p>
      <w:pPr>
        <w:spacing w:line="580" w:lineRule="exact"/>
        <w:ind w:firstLine="640" w:firstLineChars="200"/>
        <w:rPr>
          <w:rFonts w:ascii="仿宋_GB2312" w:hAnsi="Calibri" w:eastAsia="仿宋_GB2312" w:cs="Arial Black"/>
          <w:kern w:val="0"/>
          <w:sz w:val="32"/>
          <w:szCs w:val="32"/>
        </w:rPr>
      </w:pPr>
      <w:r>
        <w:rPr>
          <w:rFonts w:hint="eastAsia" w:ascii="仿宋_GB2312" w:hAnsi="Calibri" w:eastAsia="仿宋_GB2312" w:cs="Arial Black"/>
          <w:kern w:val="0"/>
          <w:sz w:val="32"/>
          <w:szCs w:val="32"/>
        </w:rPr>
        <w:t>从决算编报单位构成看，纳入20</w:t>
      </w:r>
      <w:r>
        <w:rPr>
          <w:rFonts w:ascii="仿宋_GB2312" w:hAnsi="Calibri" w:eastAsia="仿宋_GB2312" w:cs="Arial Black"/>
          <w:kern w:val="0"/>
          <w:sz w:val="32"/>
          <w:szCs w:val="32"/>
        </w:rPr>
        <w:t>20</w:t>
      </w:r>
      <w:r>
        <w:rPr>
          <w:rFonts w:hint="eastAsia" w:ascii="仿宋_GB2312" w:hAnsi="Calibri" w:eastAsia="仿宋_GB2312" w:cs="Arial Black"/>
          <w:kern w:val="0"/>
          <w:sz w:val="32"/>
          <w:szCs w:val="32"/>
        </w:rPr>
        <w:t>年度本部门决算汇编范围的独立核算单位（以下简称“单位”）共</w:t>
      </w:r>
      <w:r>
        <w:rPr>
          <w:rFonts w:hint="eastAsia" w:ascii="仿宋_GB2312" w:hAnsi="Calibri" w:eastAsia="仿宋_GB2312" w:cs="Arial Black"/>
          <w:kern w:val="0"/>
          <w:sz w:val="32"/>
          <w:szCs w:val="32"/>
          <w:lang w:val="en-US" w:eastAsia="zh-CN"/>
        </w:rPr>
        <w:t>1</w:t>
      </w:r>
      <w:r>
        <w:rPr>
          <w:rFonts w:hint="eastAsia" w:ascii="仿宋_GB2312" w:hAnsi="Calibri" w:eastAsia="仿宋_GB2312" w:cs="Arial Black"/>
          <w:kern w:val="0"/>
          <w:sz w:val="32"/>
          <w:szCs w:val="32"/>
        </w:rPr>
        <w:t>个，具体情况如下：</w:t>
      </w:r>
    </w:p>
    <w:tbl>
      <w:tblPr>
        <w:tblStyle w:val="6"/>
        <w:tblpPr w:leftFromText="180" w:rightFromText="180" w:vertAnchor="text" w:horzAnchor="page" w:tblpXSpec="center" w:tblpY="10"/>
        <w:tblOverlap w:val="never"/>
        <w:tblW w:w="94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8"/>
        <w:gridCol w:w="3426"/>
        <w:gridCol w:w="2404"/>
        <w:gridCol w:w="26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73" w:hRule="atLeast"/>
          <w:jc w:val="center"/>
        </w:trPr>
        <w:tc>
          <w:tcPr>
            <w:tcW w:w="968" w:type="dxa"/>
            <w:vAlign w:val="center"/>
          </w:tcPr>
          <w:p>
            <w:pPr>
              <w:spacing w:line="560" w:lineRule="exact"/>
              <w:jc w:val="center"/>
              <w:rPr>
                <w:rFonts w:ascii="仿宋_GB2312" w:hAnsi="Calibri" w:eastAsia="仿宋_GB2312" w:cs="Arial Black"/>
                <w:b/>
                <w:bCs/>
                <w:kern w:val="0"/>
                <w:sz w:val="28"/>
                <w:szCs w:val="28"/>
              </w:rPr>
            </w:pPr>
            <w:r>
              <w:rPr>
                <w:rFonts w:hint="eastAsia" w:ascii="仿宋_GB2312" w:hAnsi="Calibri" w:eastAsia="仿宋_GB2312" w:cs="Arial Black"/>
                <w:b/>
                <w:bCs/>
                <w:kern w:val="0"/>
                <w:sz w:val="28"/>
                <w:szCs w:val="28"/>
              </w:rPr>
              <w:t>序号</w:t>
            </w:r>
          </w:p>
        </w:tc>
        <w:tc>
          <w:tcPr>
            <w:tcW w:w="3426" w:type="dxa"/>
            <w:vAlign w:val="center"/>
          </w:tcPr>
          <w:p>
            <w:pPr>
              <w:spacing w:line="560" w:lineRule="exact"/>
              <w:jc w:val="center"/>
              <w:rPr>
                <w:rFonts w:ascii="仿宋_GB2312" w:hAnsi="Calibri" w:eastAsia="仿宋_GB2312" w:cs="Arial Black"/>
                <w:b/>
                <w:bCs/>
                <w:kern w:val="0"/>
                <w:sz w:val="28"/>
                <w:szCs w:val="28"/>
              </w:rPr>
            </w:pPr>
            <w:r>
              <w:rPr>
                <w:rFonts w:hint="eastAsia" w:ascii="仿宋_GB2312" w:hAnsi="Calibri" w:eastAsia="仿宋_GB2312" w:cs="Arial Black"/>
                <w:b/>
                <w:bCs/>
                <w:kern w:val="0"/>
                <w:sz w:val="28"/>
                <w:szCs w:val="28"/>
              </w:rPr>
              <w:t>单位名称</w:t>
            </w:r>
          </w:p>
        </w:tc>
        <w:tc>
          <w:tcPr>
            <w:tcW w:w="2404" w:type="dxa"/>
            <w:vAlign w:val="center"/>
          </w:tcPr>
          <w:p>
            <w:pPr>
              <w:spacing w:line="560" w:lineRule="exact"/>
              <w:jc w:val="center"/>
              <w:rPr>
                <w:rFonts w:ascii="仿宋_GB2312" w:hAnsi="Calibri" w:eastAsia="仿宋_GB2312" w:cs="Arial Black"/>
                <w:b/>
                <w:bCs/>
                <w:kern w:val="0"/>
                <w:sz w:val="28"/>
                <w:szCs w:val="28"/>
              </w:rPr>
            </w:pPr>
            <w:r>
              <w:rPr>
                <w:rFonts w:hint="eastAsia" w:ascii="仿宋_GB2312" w:hAnsi="Calibri" w:eastAsia="仿宋_GB2312" w:cs="Arial Black"/>
                <w:b/>
                <w:bCs/>
                <w:kern w:val="0"/>
                <w:sz w:val="28"/>
                <w:szCs w:val="28"/>
              </w:rPr>
              <w:t>单位基本性质</w:t>
            </w:r>
          </w:p>
        </w:tc>
        <w:tc>
          <w:tcPr>
            <w:tcW w:w="2622" w:type="dxa"/>
            <w:vAlign w:val="center"/>
          </w:tcPr>
          <w:p>
            <w:pPr>
              <w:spacing w:line="560" w:lineRule="exact"/>
              <w:jc w:val="center"/>
              <w:rPr>
                <w:rFonts w:ascii="仿宋_GB2312" w:hAnsi="Calibri" w:eastAsia="仿宋_GB2312" w:cs="Arial Black"/>
                <w:b/>
                <w:bCs/>
                <w:kern w:val="0"/>
                <w:sz w:val="28"/>
                <w:szCs w:val="28"/>
              </w:rPr>
            </w:pPr>
            <w:r>
              <w:rPr>
                <w:rFonts w:hint="eastAsia" w:ascii="仿宋_GB2312" w:hAnsi="Calibri" w:eastAsia="仿宋_GB2312" w:cs="Arial Black"/>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968" w:type="dxa"/>
          </w:tcPr>
          <w:p>
            <w:pPr>
              <w:spacing w:line="560" w:lineRule="exact"/>
              <w:jc w:val="center"/>
              <w:rPr>
                <w:rFonts w:ascii="仿宋_GB2312" w:hAnsi="Calibri" w:eastAsia="仿宋_GB2312" w:cs="Arial Black"/>
                <w:kern w:val="0"/>
                <w:sz w:val="28"/>
                <w:szCs w:val="28"/>
              </w:rPr>
            </w:pPr>
            <w:r>
              <w:rPr>
                <w:rFonts w:hint="eastAsia" w:ascii="仿宋_GB2312" w:hAnsi="Calibri" w:eastAsia="仿宋_GB2312" w:cs="Arial Black"/>
                <w:kern w:val="0"/>
                <w:sz w:val="28"/>
                <w:szCs w:val="28"/>
              </w:rPr>
              <w:t>1</w:t>
            </w:r>
          </w:p>
        </w:tc>
        <w:tc>
          <w:tcPr>
            <w:tcW w:w="3426" w:type="dxa"/>
          </w:tcPr>
          <w:p>
            <w:pPr>
              <w:spacing w:line="560" w:lineRule="exact"/>
              <w:rPr>
                <w:rFonts w:ascii="仿宋_GB2312" w:hAnsi="Calibri" w:eastAsia="仿宋_GB2312" w:cs="Arial Black"/>
                <w:kern w:val="0"/>
                <w:sz w:val="28"/>
                <w:szCs w:val="28"/>
              </w:rPr>
            </w:pPr>
            <w:r>
              <w:rPr>
                <w:rFonts w:hint="eastAsia" w:ascii="仿宋_GB2312" w:hAnsi="Calibri" w:eastAsia="仿宋_GB2312" w:cs="Arial Black"/>
                <w:kern w:val="0"/>
                <w:sz w:val="28"/>
                <w:szCs w:val="28"/>
              </w:rPr>
              <w:t>保定市满城区</w:t>
            </w:r>
            <w:r>
              <w:rPr>
                <w:rFonts w:hint="eastAsia" w:ascii="仿宋_GB2312" w:hAnsi="Calibri" w:eastAsia="仿宋_GB2312" w:cs="Arial Black"/>
                <w:kern w:val="0"/>
                <w:sz w:val="28"/>
                <w:szCs w:val="28"/>
                <w:lang w:val="en-US" w:eastAsia="zh-CN"/>
              </w:rPr>
              <w:t>于家庄</w:t>
            </w:r>
            <w:r>
              <w:rPr>
                <w:rFonts w:hint="eastAsia" w:ascii="仿宋_GB2312" w:hAnsi="Calibri" w:eastAsia="仿宋_GB2312" w:cs="Arial Black"/>
                <w:kern w:val="0"/>
                <w:sz w:val="28"/>
                <w:szCs w:val="28"/>
                <w:lang w:eastAsia="zh-CN"/>
              </w:rPr>
              <w:t>镇</w:t>
            </w:r>
            <w:r>
              <w:rPr>
                <w:rFonts w:hint="eastAsia" w:ascii="仿宋_GB2312" w:hAnsi="Calibri" w:eastAsia="仿宋_GB2312" w:cs="Arial Black"/>
                <w:kern w:val="0"/>
                <w:sz w:val="28"/>
                <w:szCs w:val="28"/>
              </w:rPr>
              <w:t>人民政府</w:t>
            </w:r>
          </w:p>
        </w:tc>
        <w:tc>
          <w:tcPr>
            <w:tcW w:w="2404" w:type="dxa"/>
          </w:tcPr>
          <w:p>
            <w:pPr>
              <w:spacing w:line="560" w:lineRule="exact"/>
              <w:jc w:val="center"/>
              <w:rPr>
                <w:rFonts w:ascii="仿宋_GB2312" w:hAnsi="Calibri" w:eastAsia="仿宋_GB2312" w:cs="Arial Black"/>
                <w:kern w:val="0"/>
                <w:sz w:val="28"/>
                <w:szCs w:val="28"/>
              </w:rPr>
            </w:pPr>
            <w:r>
              <w:rPr>
                <w:rFonts w:hint="eastAsia" w:ascii="仿宋_GB2312" w:hAnsi="Calibri" w:eastAsia="仿宋_GB2312" w:cs="Arial Black"/>
                <w:kern w:val="0"/>
                <w:sz w:val="28"/>
                <w:szCs w:val="28"/>
              </w:rPr>
              <w:t>行政单位</w:t>
            </w:r>
          </w:p>
        </w:tc>
        <w:tc>
          <w:tcPr>
            <w:tcW w:w="2622" w:type="dxa"/>
          </w:tcPr>
          <w:p>
            <w:pPr>
              <w:spacing w:line="560" w:lineRule="exact"/>
              <w:jc w:val="center"/>
              <w:rPr>
                <w:rFonts w:ascii="仿宋_GB2312" w:hAnsi="Calibri" w:eastAsia="仿宋_GB2312" w:cs="Arial Black"/>
                <w:kern w:val="0"/>
                <w:sz w:val="28"/>
                <w:szCs w:val="28"/>
              </w:rPr>
            </w:pPr>
            <w:r>
              <w:rPr>
                <w:rFonts w:hint="eastAsia" w:ascii="仿宋_GB2312" w:hAnsi="Calibri" w:eastAsia="仿宋_GB2312" w:cs="Arial Black"/>
                <w:kern w:val="0"/>
                <w:sz w:val="28"/>
                <w:szCs w:val="28"/>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9420" w:type="dxa"/>
            <w:gridSpan w:val="4"/>
            <w:tcBorders>
              <w:top w:val="single" w:color="auto" w:sz="4" w:space="0"/>
              <w:left w:val="nil"/>
              <w:bottom w:val="nil"/>
              <w:right w:val="nil"/>
            </w:tcBorders>
          </w:tcPr>
          <w:p>
            <w:pPr>
              <w:spacing w:line="560" w:lineRule="exact"/>
              <w:jc w:val="left"/>
              <w:rPr>
                <w:rFonts w:ascii="仿宋_GB2312" w:hAnsi="Calibri" w:eastAsia="仿宋_GB2312" w:cs="Arial Black"/>
                <w:kern w:val="0"/>
                <w:sz w:val="28"/>
                <w:szCs w:val="28"/>
              </w:rPr>
            </w:pPr>
            <w:r>
              <w:rPr>
                <w:rFonts w:hint="eastAsia" w:ascii="仿宋_GB2312" w:hAnsi="Calibri" w:eastAsia="仿宋_GB2312" w:cs="Arial Black"/>
                <w:kern w:val="0"/>
                <w:sz w:val="28"/>
                <w:szCs w:val="28"/>
              </w:rPr>
              <w:t>注：1、单位基本性质分为行政单位、参公事业单位、财政补助事业单位、经费自理事业单位四类。</w:t>
            </w:r>
          </w:p>
          <w:p>
            <w:pPr>
              <w:spacing w:line="560" w:lineRule="exact"/>
              <w:ind w:firstLine="560" w:firstLineChars="200"/>
              <w:jc w:val="left"/>
              <w:rPr>
                <w:rFonts w:ascii="仿宋_GB2312" w:hAnsi="Calibri" w:eastAsia="仿宋_GB2312" w:cs="Arial Black"/>
                <w:kern w:val="0"/>
                <w:sz w:val="28"/>
                <w:szCs w:val="28"/>
              </w:rPr>
            </w:pPr>
            <w:r>
              <w:rPr>
                <w:rFonts w:hint="eastAsia" w:ascii="仿宋_GB2312" w:hAnsi="Calibri" w:eastAsia="仿宋_GB2312" w:cs="Arial Black"/>
                <w:kern w:val="0"/>
                <w:sz w:val="28"/>
                <w:szCs w:val="28"/>
              </w:rPr>
              <w:t>2、经费形式分为财政拨款、财政性资金基本保证、财政性资金定额或定项补助、财政性资金零补助四类。</w:t>
            </w:r>
          </w:p>
        </w:tc>
      </w:tr>
    </w:tbl>
    <w:p>
      <w:pPr>
        <w:widowControl/>
        <w:spacing w:after="160" w:line="580" w:lineRule="exact"/>
        <w:ind w:firstLine="640" w:firstLineChars="200"/>
        <w:rPr>
          <w:rFonts w:ascii="Times New Roman" w:hAnsi="Times New Roman" w:eastAsia="黑体" w:cs="Times New Roman"/>
          <w:sz w:val="32"/>
          <w:szCs w:val="32"/>
        </w:rPr>
      </w:pPr>
    </w:p>
    <w:p>
      <w:pPr>
        <w:widowControl/>
        <w:spacing w:after="160" w:line="580" w:lineRule="exact"/>
        <w:ind w:firstLine="640" w:firstLineChars="200"/>
        <w:rPr>
          <w:rFonts w:ascii="Times New Roman" w:hAnsi="Times New Roman" w:eastAsia="黑体" w:cs="Times New Roman"/>
          <w:sz w:val="32"/>
          <w:szCs w:val="32"/>
        </w:rPr>
      </w:pPr>
    </w:p>
    <w:p/>
    <w:p>
      <w:pPr>
        <w:widowControl/>
        <w:spacing w:after="160" w:line="580" w:lineRule="exact"/>
        <w:ind w:firstLine="1440" w:firstLineChars="200"/>
        <w:rPr>
          <w:rFonts w:ascii="Times New Roman" w:hAnsi="Times New Roman" w:eastAsia="黑体" w:cs="Times New Roman"/>
          <w:sz w:val="32"/>
          <w:szCs w:val="32"/>
        </w:rPr>
        <w:sectPr>
          <w:headerReference r:id="rId7" w:type="default"/>
          <w:pgSz w:w="11906" w:h="16838"/>
          <w:pgMar w:top="2098" w:right="1531" w:bottom="1984" w:left="1531" w:header="851" w:footer="992" w:gutter="0"/>
          <w:pgNumType w:fmt="numberInDash"/>
          <w:cols w:space="0" w:num="1"/>
          <w:titlePg/>
          <w:docGrid w:type="lines" w:linePitch="312" w:charSpace="0"/>
        </w:sectPr>
      </w:pPr>
      <w:r>
        <w:rPr>
          <w:sz w:val="72"/>
        </w:rPr>
        <mc:AlternateContent>
          <mc:Choice Requires="wps">
            <w:drawing>
              <wp:anchor distT="0" distB="0" distL="114300" distR="114300" simplePos="0" relativeHeight="251662336" behindDoc="0" locked="0" layoutInCell="1" allowOverlap="1">
                <wp:simplePos x="0" y="0"/>
                <wp:positionH relativeFrom="column">
                  <wp:posOffset>-1088390</wp:posOffset>
                </wp:positionH>
                <wp:positionV relativeFrom="paragraph">
                  <wp:posOffset>3024505</wp:posOffset>
                </wp:positionV>
                <wp:extent cx="7793355" cy="2200275"/>
                <wp:effectExtent l="0" t="0" r="0" b="0"/>
                <wp:wrapNone/>
                <wp:docPr id="151" name="文本框 151"/>
                <wp:cNvGraphicFramePr/>
                <a:graphic xmlns:a="http://schemas.openxmlformats.org/drawingml/2006/main">
                  <a:graphicData uri="http://schemas.microsoft.com/office/word/2010/wordprocessingShape">
                    <wps:wsp>
                      <wps:cNvSpPr txBox="1"/>
                      <wps:spPr>
                        <a:xfrm>
                          <a:off x="0" y="0"/>
                          <a:ext cx="7793355" cy="2200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 </w:t>
                            </w:r>
                          </w:p>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5.7pt;margin-top:238.15pt;height:173.25pt;width:613.65pt;z-index:251662336;mso-width-relative:page;mso-height-relative:page;" filled="f" stroked="f" coordsize="21600,21600" o:gfxdata="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uuj5PeAAAADQEAAA8AAAAAAAAAAQAgAAAA&#10;IgAAAGRycy9kb3ducmV2LnhtbFBLAQIUABQAAAAIAIdO4kBdpNn+PgIAAGsEAAAOAAAAAAAAAAEA&#10;IAAAAC0BAABkcnMvZTJvRG9jLnhtbFBLBQYAAAAABgAGAFkBAADdBQAAAAA=&#10;">
                <v:fill on="f" focussize="0,0"/>
                <v:stroke on="f" weight="0.5pt"/>
                <v:imagedata o:title=""/>
                <o:lock v:ext="edit" aspectratio="f"/>
                <v:textbox>
                  <w:txbxContent>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 </w:t>
                      </w:r>
                    </w:p>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txbxContent>
                </v:textbox>
              </v:shape>
            </w:pict>
          </mc:Fallback>
        </mc:AlternateContent>
      </w:r>
    </w:p>
    <w:p>
      <w:pPr>
        <w:widowControl/>
        <w:spacing w:line="580" w:lineRule="exact"/>
        <w:ind w:firstLine="640" w:firstLineChars="200"/>
        <w:rPr>
          <w:rFonts w:eastAsia="黑体"/>
          <w:sz w:val="32"/>
          <w:szCs w:val="3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r>
        <w:rPr>
          <w:sz w:val="72"/>
        </w:rPr>
        <mc:AlternateContent>
          <mc:Choice Requires="wps">
            <w:drawing>
              <wp:anchor distT="0" distB="0" distL="114300" distR="114300" simplePos="0" relativeHeight="251663360" behindDoc="0" locked="0" layoutInCell="1" allowOverlap="1">
                <wp:simplePos x="0" y="0"/>
                <wp:positionH relativeFrom="column">
                  <wp:posOffset>-1028065</wp:posOffset>
                </wp:positionH>
                <wp:positionV relativeFrom="paragraph">
                  <wp:posOffset>-2637155</wp:posOffset>
                </wp:positionV>
                <wp:extent cx="7793355" cy="3341370"/>
                <wp:effectExtent l="6350" t="6350" r="18415" b="20320"/>
                <wp:wrapNone/>
                <wp:docPr id="2" name="文本框 2"/>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chemeClr val="bg1">
                              <a:lumMod val="50000"/>
                            </a:schemeClr>
                          </a:fgClr>
                          <a:bgClr>
                            <a:schemeClr val="bg1"/>
                          </a:bgClr>
                        </a:pattFill>
                        <a:ln w="12700" cmpd="sng">
                          <a:solidFill>
                            <a:schemeClr val="bg1">
                              <a:lumMod val="65000"/>
                            </a:schemeClr>
                          </a:solidFill>
                          <a:prstDash val="solid"/>
                        </a:ln>
                      </wps:spPr>
                      <wps:style>
                        <a:lnRef idx="0">
                          <a:schemeClr val="accent1"/>
                        </a:lnRef>
                        <a:fillRef idx="0">
                          <a:schemeClr val="accent1"/>
                        </a:fillRef>
                        <a:effectRef idx="0">
                          <a:schemeClr val="accent1"/>
                        </a:effectRef>
                        <a:fontRef idx="minor">
                          <a:schemeClr val="dk1"/>
                        </a:fontRef>
                      </wps:style>
                      <wps:txbx>
                        <w:txbxContent>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第二部分 </w:t>
                            </w:r>
                          </w:p>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2020年部门决算情况说明</w:t>
                            </w:r>
                          </w:p>
                          <w:p>
                            <w:pPr>
                              <w:widowControl/>
                              <w:jc w:val="center"/>
                              <w:rPr>
                                <w14:textOutline w14:w="9525" w14:cap="flat" w14:cmpd="sng" w14:algn="ctr">
                                  <w14:solidFill>
                                    <w14:schemeClr w14:val="tx1">
                                      <w14:lumMod w14:val="50000"/>
                                      <w14:lumOff w14:val="50000"/>
                                    </w14:schemeClr>
                                  </w14:solidFill>
                                  <w14:prstDash w14:val="solid"/>
                                  <w14:round/>
                                </w14:textOutline>
                              </w:rPr>
                            </w:pPr>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80.95pt;margin-top:-207.65pt;height:263.1pt;width:613.65pt;z-index:251663360;v-text-anchor:middle;mso-width-relative:page;mso-height-relative:page;" fillcolor="#44964D [1612]" filled="t" stroked="t" coordsize="21600,21600" o:gfxdata="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HWMf4jbAAAADgEAAA8AAAAAAAAAAQAgAAAAIgAAAGRycy9kb3du&#10;cmV2LnhtbFBLAQIUABQAAAAIAIdO4kDBH3UupwIAAG0FAAAOAAAAAAAAAAEAIAAAACoBAABkcnMv&#10;ZTJvRG9jLnhtbFBLBQYAAAAABgAGAFkBAABDBgAAAAA=&#10;">
                <v:fill type="pattern" on="t" color2="#CCE8CF [3212]" o:title="5%" focussize="0,0" r:id="rId12"/>
                <v:stroke weight="1pt" color="#63B96C [2092]" joinstyle="round"/>
                <v:imagedata o:title=""/>
                <o:lock v:ext="edit" aspectratio="f"/>
                <v:textbox>
                  <w:txbxContent>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第二部分 </w:t>
                      </w:r>
                    </w:p>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2020年部门决算情况说明</w:t>
                      </w:r>
                    </w:p>
                    <w:p>
                      <w:pPr>
                        <w:widowControl/>
                        <w:jc w:val="center"/>
                        <w:rPr>
                          <w14:textOutline w14:w="9525" w14:cap="flat" w14:cmpd="sng" w14:algn="ctr">
                            <w14:solidFill>
                              <w14:schemeClr w14:val="tx1">
                                <w14:lumMod w14:val="50000"/>
                                <w14:lumOff w14:val="50000"/>
                              </w14:schemeClr>
                            </w14:solidFill>
                            <w14:prstDash w14:val="solid"/>
                            <w14:round/>
                          </w14:textOutline>
                        </w:rPr>
                      </w:pPr>
                    </w:p>
                    <w:p/>
                  </w:txbxContent>
                </v:textbox>
              </v:shape>
            </w:pict>
          </mc:Fallback>
        </mc:AlternateContent>
      </w:r>
    </w:p>
    <w:p>
      <w:pPr>
        <w:jc w:val="center"/>
        <w:rPr>
          <w:rFonts w:ascii="黑体" w:hAnsi="黑体" w:eastAsia="黑体" w:cs="黑体"/>
          <w:sz w:val="56"/>
          <w:szCs w:val="72"/>
        </w:rPr>
      </w:pPr>
    </w:p>
    <w:p>
      <w:pPr>
        <w:keepNext/>
        <w:keepLines/>
        <w:snapToGrid w:val="0"/>
        <w:spacing w:line="600" w:lineRule="exact"/>
        <w:ind w:firstLine="420" w:firstLineChars="200"/>
        <w:outlineLvl w:val="1"/>
        <w:rPr>
          <w:rFonts w:ascii="黑体" w:hAnsi="Calibri" w:eastAsia="黑体" w:cs="Times New Roman"/>
          <w:sz w:val="32"/>
          <w:szCs w:val="32"/>
        </w:rPr>
      </w:pPr>
      <w:r>
        <w:br w:type="page"/>
      </w:r>
      <w:r>
        <w:rPr>
          <w:rFonts w:hint="eastAsia" w:ascii="黑体" w:hAnsi="Calibri" w:eastAsia="黑体" w:cs="Times New Roman"/>
          <w:sz w:val="32"/>
          <w:szCs w:val="32"/>
        </w:rPr>
        <w:t>一、收入</w:t>
      </w:r>
      <w:r>
        <w:rPr>
          <w:rFonts w:hint="eastAsia" w:ascii="黑体" w:hAnsi="Cambria" w:eastAsia="黑体" w:cs="黑体"/>
          <w:kern w:val="0"/>
          <w:sz w:val="32"/>
          <w:szCs w:val="32"/>
        </w:rPr>
        <w:t>支出</w:t>
      </w:r>
      <w:r>
        <w:rPr>
          <w:rFonts w:hint="eastAsia" w:ascii="黑体" w:hAnsi="Calibri" w:eastAsia="黑体" w:cs="Times New Roman"/>
          <w:sz w:val="32"/>
          <w:szCs w:val="32"/>
        </w:rPr>
        <w:t>决算总体情况说明</w:t>
      </w:r>
    </w:p>
    <w:p>
      <w:pPr>
        <w:adjustRightInd w:val="0"/>
        <w:snapToGrid w:val="0"/>
        <w:spacing w:line="600" w:lineRule="exact"/>
        <w:ind w:firstLine="640" w:firstLineChars="200"/>
        <w:rPr>
          <w:rFonts w:ascii="仿宋_GB2312" w:hAnsi="Times New Roman" w:eastAsia="仿宋_GB2312" w:cs="Wingdings"/>
          <w:sz w:val="32"/>
          <w:szCs w:val="32"/>
          <w:highlight w:val="yellow"/>
        </w:rPr>
      </w:pPr>
      <w:r>
        <w:rPr>
          <w:rFonts w:hint="eastAsia" w:ascii="仿宋_GB2312" w:hAnsi="Times New Roman" w:eastAsia="仿宋_GB2312" w:cs="Wingdings"/>
          <w:sz w:val="32"/>
          <w:szCs w:val="32"/>
        </w:rPr>
        <w:t>本部门2020年度收、支总计（含结转和结余）</w:t>
      </w:r>
      <w:r>
        <w:rPr>
          <w:rFonts w:hint="eastAsia" w:ascii="仿宋_GB2312" w:hAnsi="Times New Roman" w:eastAsia="仿宋_GB2312" w:cs="Wingdings"/>
          <w:sz w:val="32"/>
          <w:szCs w:val="32"/>
          <w:lang w:val="en-US" w:eastAsia="zh-CN"/>
        </w:rPr>
        <w:t>1305.98</w:t>
      </w:r>
      <w:r>
        <w:rPr>
          <w:rFonts w:hint="eastAsia" w:ascii="仿宋_GB2312" w:hAnsi="Times New Roman" w:eastAsia="仿宋_GB2312" w:cs="Wingdings"/>
          <w:sz w:val="32"/>
          <w:szCs w:val="32"/>
        </w:rPr>
        <w:t>万元。与2019年度决算相比，收支各增加</w:t>
      </w:r>
      <w:r>
        <w:rPr>
          <w:rFonts w:hint="eastAsia" w:ascii="仿宋_GB2312" w:hAnsi="Times New Roman" w:eastAsia="仿宋_GB2312" w:cs="Wingdings"/>
          <w:sz w:val="32"/>
          <w:szCs w:val="32"/>
          <w:lang w:val="en-US" w:eastAsia="zh-CN"/>
        </w:rPr>
        <w:t>123.54</w:t>
      </w:r>
      <w:r>
        <w:rPr>
          <w:rFonts w:hint="eastAsia" w:ascii="仿宋_GB2312" w:hAnsi="Times New Roman" w:eastAsia="仿宋_GB2312" w:cs="Wingdings"/>
          <w:sz w:val="32"/>
          <w:szCs w:val="32"/>
        </w:rPr>
        <w:t>万元，增长</w:t>
      </w:r>
      <w:r>
        <w:rPr>
          <w:rFonts w:hint="eastAsia" w:ascii="仿宋_GB2312" w:hAnsi="Times New Roman" w:eastAsia="仿宋_GB2312" w:cs="Wingdings"/>
          <w:sz w:val="32"/>
          <w:szCs w:val="32"/>
          <w:lang w:val="en-US" w:eastAsia="zh-CN"/>
        </w:rPr>
        <w:t>10.45</w:t>
      </w:r>
      <w:r>
        <w:rPr>
          <w:rFonts w:hint="eastAsia" w:ascii="仿宋_GB2312" w:hAnsi="Times New Roman" w:eastAsia="仿宋_GB2312" w:cs="Wingdings"/>
          <w:sz w:val="32"/>
          <w:szCs w:val="32"/>
        </w:rPr>
        <w:t>%，主要原因是人员工资和保险调整</w:t>
      </w:r>
      <w:r>
        <w:rPr>
          <w:rFonts w:hint="eastAsia" w:ascii="仿宋_GB2312" w:hAnsi="Times New Roman" w:eastAsia="仿宋_GB2312" w:cs="Wingdings"/>
          <w:sz w:val="32"/>
          <w:szCs w:val="32"/>
          <w:lang w:eastAsia="zh-CN"/>
        </w:rPr>
        <w:t>，</w:t>
      </w:r>
      <w:r>
        <w:rPr>
          <w:rFonts w:hint="eastAsia" w:ascii="仿宋_GB2312" w:hAnsi="Times New Roman" w:eastAsia="仿宋_GB2312" w:cs="Wingdings"/>
          <w:sz w:val="32"/>
          <w:szCs w:val="32"/>
        </w:rPr>
        <w:t>增加了大气、农村环境保护、农林水支出等多个项目支出。</w:t>
      </w:r>
    </w:p>
    <w:p>
      <w:pPr>
        <w:keepNext/>
        <w:keepLines/>
        <w:snapToGrid w:val="0"/>
        <w:spacing w:line="60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二、收入决算情况说明</w:t>
      </w:r>
    </w:p>
    <w:p>
      <w:pPr>
        <w:snapToGrid w:val="0"/>
        <w:spacing w:line="600" w:lineRule="exact"/>
        <w:ind w:firstLine="640" w:firstLineChars="200"/>
        <w:outlineLvl w:val="1"/>
        <w:rPr>
          <w:rFonts w:hint="eastAsia" w:ascii="仿宋_GB2312" w:hAnsi="Times New Roman" w:eastAsia="仿宋_GB2312" w:cs="Wingdings"/>
          <w:sz w:val="32"/>
          <w:szCs w:val="32"/>
        </w:rPr>
      </w:pPr>
      <w:r>
        <w:rPr>
          <w:rFonts w:hint="eastAsia" w:ascii="仿宋_GB2312" w:hAnsi="Times New Roman" w:eastAsia="仿宋_GB2312" w:cs="Wingdings"/>
          <w:sz w:val="32"/>
          <w:szCs w:val="32"/>
        </w:rPr>
        <w:t>本部门2020年度本年收入合计</w:t>
      </w:r>
      <w:r>
        <w:rPr>
          <w:rFonts w:hint="eastAsia" w:ascii="仿宋_GB2312" w:hAnsi="Times New Roman" w:eastAsia="仿宋_GB2312" w:cs="Wingdings"/>
          <w:sz w:val="32"/>
          <w:szCs w:val="32"/>
          <w:lang w:val="en-US" w:eastAsia="zh-CN"/>
        </w:rPr>
        <w:t>1305.98</w:t>
      </w:r>
      <w:r>
        <w:rPr>
          <w:rFonts w:hint="eastAsia" w:ascii="仿宋_GB2312" w:hAnsi="Times New Roman" w:eastAsia="仿宋_GB2312" w:cs="Wingdings"/>
          <w:sz w:val="32"/>
          <w:szCs w:val="32"/>
        </w:rPr>
        <w:t>万元，其中：财政拨款收入</w:t>
      </w:r>
      <w:r>
        <w:rPr>
          <w:rFonts w:hint="eastAsia" w:ascii="仿宋_GB2312" w:hAnsi="Times New Roman" w:eastAsia="仿宋_GB2312" w:cs="Wingdings"/>
          <w:sz w:val="32"/>
          <w:szCs w:val="32"/>
          <w:lang w:val="en-US" w:eastAsia="zh-CN"/>
        </w:rPr>
        <w:t>1305.98</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100.00</w:t>
      </w:r>
      <w:r>
        <w:rPr>
          <w:rFonts w:hint="eastAsia" w:ascii="仿宋_GB2312" w:hAnsi="Times New Roman" w:eastAsia="仿宋_GB2312" w:cs="Wingdings"/>
          <w:sz w:val="32"/>
          <w:szCs w:val="32"/>
        </w:rPr>
        <w:t>%；事业收入</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%；经营收入</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%；其他收入</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w:t>
      </w:r>
    </w:p>
    <w:p>
      <w:pPr>
        <w:snapToGrid w:val="0"/>
        <w:spacing w:line="60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三、支出决算情况说明</w:t>
      </w:r>
    </w:p>
    <w:p>
      <w:pPr>
        <w:keepNext/>
        <w:keepLines/>
        <w:snapToGrid w:val="0"/>
        <w:spacing w:line="600" w:lineRule="exact"/>
        <w:ind w:firstLine="640" w:firstLineChars="200"/>
        <w:outlineLvl w:val="1"/>
        <w:rPr>
          <w:rFonts w:ascii="黑体" w:hAnsi="Calibri" w:eastAsia="黑体" w:cs="Times New Roman"/>
          <w:b/>
          <w:bCs/>
          <w:sz w:val="32"/>
          <w:szCs w:val="32"/>
        </w:rPr>
      </w:pPr>
      <w:r>
        <w:rPr>
          <w:rFonts w:hint="eastAsia" w:ascii="仿宋_GB2312" w:hAnsi="Times New Roman" w:eastAsia="仿宋_GB2312" w:cs="Wingdings"/>
          <w:sz w:val="32"/>
          <w:szCs w:val="32"/>
        </w:rPr>
        <w:t>本部门2020年度本年支出合计</w:t>
      </w:r>
      <w:r>
        <w:rPr>
          <w:rFonts w:hint="eastAsia" w:ascii="仿宋_GB2312" w:hAnsi="Times New Roman" w:eastAsia="仿宋_GB2312" w:cs="Wingdings"/>
          <w:sz w:val="32"/>
          <w:szCs w:val="32"/>
          <w:lang w:val="en-US" w:eastAsia="zh-CN"/>
        </w:rPr>
        <w:t>1305.98</w:t>
      </w:r>
      <w:r>
        <w:rPr>
          <w:rFonts w:hint="eastAsia" w:ascii="仿宋_GB2312" w:hAnsi="Times New Roman" w:eastAsia="仿宋_GB2312" w:cs="Wingdings"/>
          <w:sz w:val="32"/>
          <w:szCs w:val="32"/>
        </w:rPr>
        <w:t>万元，其中：基本支出</w:t>
      </w:r>
      <w:r>
        <w:rPr>
          <w:rFonts w:hint="eastAsia" w:ascii="仿宋_GB2312" w:hAnsi="Times New Roman" w:eastAsia="仿宋_GB2312" w:cs="Wingdings"/>
          <w:sz w:val="32"/>
          <w:szCs w:val="32"/>
          <w:lang w:val="en-US" w:eastAsia="zh-CN"/>
        </w:rPr>
        <w:t>770.13</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58.97</w:t>
      </w:r>
      <w:r>
        <w:rPr>
          <w:rFonts w:hint="eastAsia" w:ascii="仿宋_GB2312" w:hAnsi="Times New Roman" w:eastAsia="仿宋_GB2312" w:cs="Wingdings"/>
          <w:sz w:val="32"/>
          <w:szCs w:val="32"/>
        </w:rPr>
        <w:t>%；项目支出</w:t>
      </w:r>
      <w:r>
        <w:rPr>
          <w:rFonts w:hint="eastAsia" w:ascii="仿宋_GB2312" w:hAnsi="Times New Roman" w:eastAsia="仿宋_GB2312" w:cs="Wingdings"/>
          <w:sz w:val="32"/>
          <w:szCs w:val="32"/>
          <w:lang w:val="en-US" w:eastAsia="zh-CN"/>
        </w:rPr>
        <w:t>535.85</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41.03</w:t>
      </w:r>
      <w:r>
        <w:rPr>
          <w:rFonts w:hint="eastAsia" w:ascii="仿宋_GB2312" w:hAnsi="Times New Roman" w:eastAsia="仿宋_GB2312" w:cs="Wingdings"/>
          <w:sz w:val="32"/>
          <w:szCs w:val="32"/>
        </w:rPr>
        <w:t>%；经营支出</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w:t>
      </w:r>
    </w:p>
    <w:p>
      <w:pPr>
        <w:keepNext/>
        <w:keepLines/>
        <w:snapToGrid w:val="0"/>
        <w:spacing w:line="60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四、</w:t>
      </w:r>
      <w:r>
        <w:rPr>
          <w:rFonts w:hint="eastAsia" w:ascii="黑体" w:hAnsi="Cambria" w:eastAsia="黑体" w:cs="黑体"/>
          <w:kern w:val="0"/>
          <w:sz w:val="32"/>
          <w:szCs w:val="32"/>
        </w:rPr>
        <w:t>财政</w:t>
      </w:r>
      <w:r>
        <w:rPr>
          <w:rFonts w:hint="eastAsia" w:ascii="黑体" w:hAnsi="Calibri" w:eastAsia="黑体" w:cs="Times New Roman"/>
          <w:sz w:val="32"/>
          <w:szCs w:val="32"/>
        </w:rPr>
        <w:t>拨款收入支出决算总体情况说明</w:t>
      </w:r>
    </w:p>
    <w:p>
      <w:pPr>
        <w:snapToGrid w:val="0"/>
        <w:spacing w:line="600" w:lineRule="exact"/>
        <w:ind w:firstLine="643" w:firstLine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（一）财政拨款收支与2019年度决算对比情况</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本部门2020年度财政拨款本年收入</w:t>
      </w:r>
      <w:r>
        <w:rPr>
          <w:rFonts w:hint="eastAsia" w:ascii="仿宋_GB2312" w:hAnsi="Times New Roman" w:eastAsia="仿宋_GB2312" w:cs="Wingdings"/>
          <w:sz w:val="32"/>
          <w:szCs w:val="32"/>
          <w:lang w:val="en-US" w:eastAsia="zh-CN"/>
        </w:rPr>
        <w:t>1305.98</w:t>
      </w:r>
      <w:r>
        <w:rPr>
          <w:rFonts w:hint="eastAsia" w:ascii="仿宋_GB2312" w:hAnsi="Times New Roman" w:eastAsia="仿宋_GB2312" w:cs="Wingdings"/>
          <w:sz w:val="32"/>
          <w:szCs w:val="32"/>
        </w:rPr>
        <w:t>万元,比2019年度增加</w:t>
      </w:r>
      <w:r>
        <w:rPr>
          <w:rFonts w:hint="eastAsia" w:ascii="仿宋_GB2312" w:hAnsi="Times New Roman" w:eastAsia="仿宋_GB2312" w:cs="Wingdings"/>
          <w:sz w:val="32"/>
          <w:szCs w:val="32"/>
          <w:lang w:val="en-US" w:eastAsia="zh-CN"/>
        </w:rPr>
        <w:t>123.54</w:t>
      </w:r>
      <w:r>
        <w:rPr>
          <w:rFonts w:hint="eastAsia" w:ascii="仿宋_GB2312" w:hAnsi="Times New Roman" w:eastAsia="仿宋_GB2312" w:cs="Wingdings"/>
          <w:sz w:val="32"/>
          <w:szCs w:val="32"/>
        </w:rPr>
        <w:t>万元，增长</w:t>
      </w:r>
      <w:r>
        <w:rPr>
          <w:rFonts w:hint="eastAsia" w:ascii="仿宋_GB2312" w:hAnsi="Times New Roman" w:eastAsia="仿宋_GB2312" w:cs="Wingdings"/>
          <w:sz w:val="32"/>
          <w:szCs w:val="32"/>
          <w:lang w:val="en-US" w:eastAsia="zh-CN"/>
        </w:rPr>
        <w:t>10.45</w:t>
      </w:r>
      <w:r>
        <w:rPr>
          <w:rFonts w:hint="eastAsia" w:ascii="仿宋_GB2312" w:hAnsi="Times New Roman" w:eastAsia="仿宋_GB2312" w:cs="Wingdings"/>
          <w:sz w:val="32"/>
          <w:szCs w:val="32"/>
        </w:rPr>
        <w:t>%，主要是人员工资和保险调整</w:t>
      </w:r>
      <w:r>
        <w:rPr>
          <w:rFonts w:hint="eastAsia" w:ascii="仿宋_GB2312" w:hAnsi="Times New Roman" w:eastAsia="仿宋_GB2312" w:cs="Wingdings"/>
          <w:sz w:val="32"/>
          <w:szCs w:val="32"/>
          <w:lang w:eastAsia="zh-CN"/>
        </w:rPr>
        <w:t>，</w:t>
      </w:r>
      <w:r>
        <w:rPr>
          <w:rFonts w:hint="eastAsia" w:ascii="仿宋_GB2312" w:hAnsi="Times New Roman" w:eastAsia="仿宋_GB2312" w:cs="Wingdings"/>
          <w:sz w:val="32"/>
          <w:szCs w:val="32"/>
        </w:rPr>
        <w:t>增加了大气、农村环境保护、农林水支出等多个项目</w:t>
      </w:r>
      <w:r>
        <w:rPr>
          <w:rFonts w:hint="eastAsia" w:ascii="仿宋_GB2312" w:hAnsi="Times New Roman" w:eastAsia="仿宋_GB2312" w:cs="Wingdings"/>
          <w:sz w:val="32"/>
          <w:szCs w:val="32"/>
          <w:lang w:val="en-US" w:eastAsia="zh-CN"/>
        </w:rPr>
        <w:t>收入</w:t>
      </w:r>
      <w:r>
        <w:rPr>
          <w:rFonts w:hint="eastAsia" w:ascii="仿宋_GB2312" w:hAnsi="Times New Roman" w:eastAsia="仿宋_GB2312" w:cs="Wingdings"/>
          <w:sz w:val="32"/>
          <w:szCs w:val="32"/>
        </w:rPr>
        <w:t>；本年支出</w:t>
      </w:r>
      <w:r>
        <w:rPr>
          <w:rFonts w:hint="eastAsia" w:ascii="仿宋_GB2312" w:hAnsi="Times New Roman" w:eastAsia="仿宋_GB2312" w:cs="Wingdings"/>
          <w:sz w:val="32"/>
          <w:szCs w:val="32"/>
          <w:lang w:val="en-US" w:eastAsia="zh-CN"/>
        </w:rPr>
        <w:t>1305.98</w:t>
      </w:r>
      <w:r>
        <w:rPr>
          <w:rFonts w:hint="eastAsia" w:ascii="仿宋_GB2312" w:hAnsi="Times New Roman" w:eastAsia="仿宋_GB2312" w:cs="Wingdings"/>
          <w:sz w:val="32"/>
          <w:szCs w:val="32"/>
        </w:rPr>
        <w:t>万元，增加</w:t>
      </w:r>
      <w:r>
        <w:rPr>
          <w:rFonts w:hint="eastAsia" w:ascii="仿宋_GB2312" w:hAnsi="Times New Roman" w:eastAsia="仿宋_GB2312" w:cs="Wingdings"/>
          <w:sz w:val="32"/>
          <w:szCs w:val="32"/>
          <w:lang w:val="en-US" w:eastAsia="zh-CN"/>
        </w:rPr>
        <w:t>123.54</w:t>
      </w:r>
      <w:r>
        <w:rPr>
          <w:rFonts w:hint="eastAsia" w:ascii="仿宋_GB2312" w:hAnsi="Times New Roman" w:eastAsia="仿宋_GB2312" w:cs="Wingdings"/>
          <w:sz w:val="32"/>
          <w:szCs w:val="32"/>
        </w:rPr>
        <w:t>万元，增长</w:t>
      </w:r>
      <w:r>
        <w:rPr>
          <w:rFonts w:hint="eastAsia" w:ascii="仿宋_GB2312" w:hAnsi="Times New Roman" w:eastAsia="仿宋_GB2312" w:cs="Wingdings"/>
          <w:sz w:val="32"/>
          <w:szCs w:val="32"/>
          <w:lang w:val="en-US" w:eastAsia="zh-CN"/>
        </w:rPr>
        <w:t>10.45</w:t>
      </w:r>
      <w:r>
        <w:rPr>
          <w:rFonts w:hint="eastAsia" w:ascii="仿宋_GB2312" w:hAnsi="Times New Roman" w:eastAsia="仿宋_GB2312" w:cs="Wingdings"/>
          <w:sz w:val="32"/>
          <w:szCs w:val="32"/>
        </w:rPr>
        <w:t>%，主要是人员工资和保险调整</w:t>
      </w:r>
      <w:r>
        <w:rPr>
          <w:rFonts w:hint="eastAsia" w:ascii="仿宋_GB2312" w:hAnsi="Times New Roman" w:eastAsia="仿宋_GB2312" w:cs="Wingdings"/>
          <w:sz w:val="32"/>
          <w:szCs w:val="32"/>
          <w:lang w:eastAsia="zh-CN"/>
        </w:rPr>
        <w:t>，</w:t>
      </w:r>
      <w:r>
        <w:rPr>
          <w:rFonts w:hint="eastAsia" w:ascii="仿宋_GB2312" w:hAnsi="Times New Roman" w:eastAsia="仿宋_GB2312" w:cs="Wingdings"/>
          <w:sz w:val="32"/>
          <w:szCs w:val="32"/>
        </w:rPr>
        <w:t>增加了大气、农村环境保护、农林水支出等多个项目支出。具体情况如下：</w:t>
      </w:r>
    </w:p>
    <w:p>
      <w:pPr>
        <w:numPr>
          <w:ilvl w:val="0"/>
          <w:numId w:val="1"/>
        </w:num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一般公共预算财政拨款本年收入</w:t>
      </w:r>
      <w:r>
        <w:rPr>
          <w:rFonts w:hint="eastAsia" w:ascii="仿宋_GB2312" w:hAnsi="Times New Roman" w:eastAsia="仿宋_GB2312" w:cs="Wingdings"/>
          <w:sz w:val="32"/>
          <w:szCs w:val="32"/>
          <w:lang w:val="en-US" w:eastAsia="zh-CN"/>
        </w:rPr>
        <w:t>1252.22</w:t>
      </w:r>
      <w:r>
        <w:rPr>
          <w:rFonts w:hint="eastAsia" w:ascii="仿宋_GB2312" w:hAnsi="Times New Roman" w:eastAsia="仿宋_GB2312" w:cs="Wingdings"/>
          <w:sz w:val="32"/>
          <w:szCs w:val="32"/>
        </w:rPr>
        <w:t>万元，比上年增加</w:t>
      </w:r>
      <w:r>
        <w:rPr>
          <w:rFonts w:hint="eastAsia" w:ascii="仿宋_GB2312" w:hAnsi="Times New Roman" w:eastAsia="仿宋_GB2312" w:cs="Wingdings"/>
          <w:sz w:val="32"/>
          <w:szCs w:val="32"/>
          <w:lang w:val="en-US" w:eastAsia="zh-CN"/>
        </w:rPr>
        <w:t>278.53</w:t>
      </w:r>
      <w:r>
        <w:rPr>
          <w:rFonts w:hint="eastAsia" w:ascii="仿宋_GB2312" w:hAnsi="Times New Roman" w:eastAsia="仿宋_GB2312" w:cs="Wingdings"/>
          <w:sz w:val="32"/>
          <w:szCs w:val="32"/>
        </w:rPr>
        <w:t>万元；主要是人员工资和保险调整</w:t>
      </w:r>
      <w:r>
        <w:rPr>
          <w:rFonts w:hint="eastAsia" w:ascii="仿宋_GB2312" w:hAnsi="Times New Roman" w:eastAsia="仿宋_GB2312" w:cs="Wingdings"/>
          <w:sz w:val="32"/>
          <w:szCs w:val="32"/>
          <w:lang w:eastAsia="zh-CN"/>
        </w:rPr>
        <w:t>，</w:t>
      </w:r>
      <w:r>
        <w:rPr>
          <w:rFonts w:hint="eastAsia" w:ascii="仿宋_GB2312" w:hAnsi="Times New Roman" w:eastAsia="仿宋_GB2312" w:cs="Wingdings"/>
          <w:sz w:val="32"/>
          <w:szCs w:val="32"/>
        </w:rPr>
        <w:t>增加了大气、农村环境保护、农林水支出等多个项目</w:t>
      </w:r>
      <w:r>
        <w:rPr>
          <w:rFonts w:hint="eastAsia" w:ascii="仿宋_GB2312" w:hAnsi="Times New Roman" w:eastAsia="仿宋_GB2312" w:cs="Wingdings"/>
          <w:sz w:val="32"/>
          <w:szCs w:val="32"/>
          <w:lang w:val="en-US" w:eastAsia="zh-CN"/>
        </w:rPr>
        <w:t>收入</w:t>
      </w:r>
      <w:r>
        <w:rPr>
          <w:rFonts w:hint="eastAsia" w:ascii="仿宋_GB2312" w:hAnsi="Times New Roman" w:eastAsia="仿宋_GB2312" w:cs="Wingdings"/>
          <w:sz w:val="32"/>
          <w:szCs w:val="32"/>
        </w:rPr>
        <w:t>；本年支出</w:t>
      </w:r>
      <w:r>
        <w:rPr>
          <w:rFonts w:hint="eastAsia" w:ascii="仿宋_GB2312" w:hAnsi="Times New Roman" w:eastAsia="仿宋_GB2312" w:cs="Wingdings"/>
          <w:sz w:val="32"/>
          <w:szCs w:val="32"/>
          <w:lang w:val="en-US" w:eastAsia="zh-CN"/>
        </w:rPr>
        <w:t>1252.22</w:t>
      </w:r>
      <w:r>
        <w:rPr>
          <w:rFonts w:hint="eastAsia" w:ascii="仿宋_GB2312" w:hAnsi="Times New Roman" w:eastAsia="仿宋_GB2312" w:cs="Wingdings"/>
          <w:sz w:val="32"/>
          <w:szCs w:val="32"/>
        </w:rPr>
        <w:t>万元，比上年增加</w:t>
      </w:r>
      <w:r>
        <w:rPr>
          <w:rFonts w:hint="eastAsia" w:ascii="仿宋_GB2312" w:hAnsi="Times New Roman" w:eastAsia="仿宋_GB2312" w:cs="Wingdings"/>
          <w:sz w:val="32"/>
          <w:szCs w:val="32"/>
          <w:lang w:val="en-US" w:eastAsia="zh-CN"/>
        </w:rPr>
        <w:t>278.53</w:t>
      </w:r>
      <w:r>
        <w:rPr>
          <w:rFonts w:hint="eastAsia" w:ascii="仿宋_GB2312" w:hAnsi="Times New Roman" w:eastAsia="仿宋_GB2312" w:cs="Wingdings"/>
          <w:sz w:val="32"/>
          <w:szCs w:val="32"/>
        </w:rPr>
        <w:t>万元，增长</w:t>
      </w:r>
      <w:r>
        <w:rPr>
          <w:rFonts w:hint="eastAsia" w:ascii="仿宋_GB2312" w:hAnsi="Times New Roman" w:eastAsia="仿宋_GB2312" w:cs="Wingdings"/>
          <w:sz w:val="32"/>
          <w:szCs w:val="32"/>
          <w:lang w:val="en-US" w:eastAsia="zh-CN"/>
        </w:rPr>
        <w:t>28.61</w:t>
      </w:r>
      <w:r>
        <w:rPr>
          <w:rFonts w:hint="eastAsia" w:ascii="仿宋_GB2312" w:hAnsi="Times New Roman" w:eastAsia="仿宋_GB2312" w:cs="Wingdings"/>
          <w:sz w:val="32"/>
          <w:szCs w:val="32"/>
        </w:rPr>
        <w:t>%，主要是人员工资和保险调整</w:t>
      </w:r>
      <w:r>
        <w:rPr>
          <w:rFonts w:hint="eastAsia" w:ascii="仿宋_GB2312" w:hAnsi="Times New Roman" w:eastAsia="仿宋_GB2312" w:cs="Wingdings"/>
          <w:sz w:val="32"/>
          <w:szCs w:val="32"/>
          <w:lang w:eastAsia="zh-CN"/>
        </w:rPr>
        <w:t>，</w:t>
      </w:r>
      <w:r>
        <w:rPr>
          <w:rFonts w:hint="eastAsia" w:ascii="仿宋_GB2312" w:hAnsi="Times New Roman" w:eastAsia="仿宋_GB2312" w:cs="Wingdings"/>
          <w:sz w:val="32"/>
          <w:szCs w:val="32"/>
        </w:rPr>
        <w:t>增加了大气、农村环境保护、农林水支出等多个项目支出。</w:t>
      </w:r>
    </w:p>
    <w:p>
      <w:pPr>
        <w:numPr>
          <w:ilvl w:val="0"/>
          <w:numId w:val="1"/>
        </w:numPr>
        <w:adjustRightInd w:val="0"/>
        <w:snapToGrid w:val="0"/>
        <w:spacing w:line="600" w:lineRule="exact"/>
        <w:ind w:firstLine="640" w:firstLineChars="200"/>
        <w:rPr>
          <w:rFonts w:ascii="仿宋_GB2312" w:hAnsi="Times New Roman" w:eastAsia="仿宋_GB2312" w:cs="Wingdings"/>
          <w:color w:val="auto"/>
          <w:sz w:val="32"/>
          <w:szCs w:val="32"/>
        </w:rPr>
      </w:pPr>
      <w:r>
        <w:rPr>
          <w:rFonts w:hint="eastAsia" w:ascii="仿宋_GB2312" w:hAnsi="Times New Roman" w:eastAsia="仿宋_GB2312" w:cs="Wingdings"/>
          <w:color w:val="auto"/>
          <w:sz w:val="32"/>
          <w:szCs w:val="32"/>
        </w:rPr>
        <w:t>政府性基金预算财政拨款本年收入</w:t>
      </w:r>
      <w:r>
        <w:rPr>
          <w:rFonts w:hint="eastAsia" w:ascii="仿宋_GB2312" w:hAnsi="Times New Roman" w:eastAsia="仿宋_GB2312" w:cs="Wingdings"/>
          <w:color w:val="auto"/>
          <w:sz w:val="32"/>
          <w:szCs w:val="32"/>
          <w:lang w:val="en-US" w:eastAsia="zh-CN"/>
        </w:rPr>
        <w:t>53.76</w:t>
      </w:r>
      <w:r>
        <w:rPr>
          <w:rFonts w:hint="eastAsia" w:ascii="仿宋_GB2312" w:hAnsi="Times New Roman" w:eastAsia="仿宋_GB2312" w:cs="Wingdings"/>
          <w:color w:val="auto"/>
          <w:sz w:val="32"/>
          <w:szCs w:val="32"/>
        </w:rPr>
        <w:t>万元，比上年</w:t>
      </w:r>
      <w:r>
        <w:rPr>
          <w:rFonts w:hint="eastAsia" w:ascii="仿宋_GB2312" w:hAnsi="Times New Roman" w:eastAsia="仿宋_GB2312" w:cs="Wingdings"/>
          <w:color w:val="auto"/>
          <w:sz w:val="32"/>
          <w:szCs w:val="32"/>
          <w:lang w:val="en-US" w:eastAsia="zh-CN"/>
        </w:rPr>
        <w:t>减少155.00</w:t>
      </w:r>
      <w:r>
        <w:rPr>
          <w:rFonts w:hint="eastAsia" w:ascii="仿宋_GB2312" w:hAnsi="Times New Roman" w:eastAsia="仿宋_GB2312" w:cs="Wingdings"/>
          <w:color w:val="auto"/>
          <w:sz w:val="32"/>
          <w:szCs w:val="32"/>
        </w:rPr>
        <w:t>万元，</w:t>
      </w:r>
      <w:r>
        <w:rPr>
          <w:rFonts w:hint="eastAsia" w:ascii="仿宋_GB2312" w:hAnsi="Times New Roman" w:eastAsia="仿宋_GB2312" w:cs="Wingdings"/>
          <w:color w:val="auto"/>
          <w:sz w:val="32"/>
          <w:szCs w:val="32"/>
          <w:lang w:val="en-US" w:eastAsia="zh-CN"/>
        </w:rPr>
        <w:t>减少74.25</w:t>
      </w:r>
      <w:r>
        <w:rPr>
          <w:rFonts w:hint="eastAsia" w:ascii="仿宋_GB2312" w:hAnsi="Times New Roman" w:eastAsia="仿宋_GB2312" w:cs="Wingdings"/>
          <w:color w:val="auto"/>
          <w:sz w:val="32"/>
          <w:szCs w:val="32"/>
        </w:rPr>
        <w:t>%，主要原因是</w:t>
      </w:r>
      <w:r>
        <w:rPr>
          <w:rFonts w:hint="eastAsia" w:ascii="仿宋_GB2312" w:hAnsi="Times New Roman" w:eastAsia="仿宋_GB2312" w:cs="Wingdings"/>
          <w:color w:val="auto"/>
          <w:sz w:val="32"/>
          <w:szCs w:val="32"/>
          <w:lang w:val="en-US" w:eastAsia="zh-CN"/>
        </w:rPr>
        <w:t>征地和拆迁补偿支出和农村基础设施建设支出减少</w:t>
      </w:r>
      <w:r>
        <w:rPr>
          <w:rFonts w:hint="eastAsia" w:ascii="仿宋_GB2312" w:hAnsi="Times New Roman" w:eastAsia="仿宋_GB2312" w:cs="Wingdings"/>
          <w:color w:val="auto"/>
          <w:sz w:val="32"/>
          <w:szCs w:val="32"/>
        </w:rPr>
        <w:t>；本年支出</w:t>
      </w:r>
      <w:r>
        <w:rPr>
          <w:rFonts w:hint="eastAsia" w:ascii="仿宋_GB2312" w:hAnsi="Times New Roman" w:eastAsia="仿宋_GB2312" w:cs="Wingdings"/>
          <w:color w:val="auto"/>
          <w:sz w:val="32"/>
          <w:szCs w:val="32"/>
          <w:lang w:val="en-US" w:eastAsia="zh-CN"/>
        </w:rPr>
        <w:t>53.76</w:t>
      </w:r>
      <w:r>
        <w:rPr>
          <w:rFonts w:hint="eastAsia" w:ascii="仿宋_GB2312" w:hAnsi="Times New Roman" w:eastAsia="仿宋_GB2312" w:cs="Wingdings"/>
          <w:color w:val="auto"/>
          <w:sz w:val="32"/>
          <w:szCs w:val="32"/>
        </w:rPr>
        <w:t>万元，比上年</w:t>
      </w:r>
      <w:r>
        <w:rPr>
          <w:rFonts w:hint="eastAsia" w:ascii="仿宋_GB2312" w:hAnsi="Times New Roman" w:eastAsia="仿宋_GB2312" w:cs="Wingdings"/>
          <w:color w:val="auto"/>
          <w:sz w:val="32"/>
          <w:szCs w:val="32"/>
          <w:lang w:val="en-US" w:eastAsia="zh-CN"/>
        </w:rPr>
        <w:t>减少155.00</w:t>
      </w:r>
      <w:r>
        <w:rPr>
          <w:rFonts w:hint="eastAsia" w:ascii="仿宋_GB2312" w:hAnsi="Times New Roman" w:eastAsia="仿宋_GB2312" w:cs="Wingdings"/>
          <w:color w:val="auto"/>
          <w:sz w:val="32"/>
          <w:szCs w:val="32"/>
        </w:rPr>
        <w:t>万元，</w:t>
      </w:r>
      <w:r>
        <w:rPr>
          <w:rFonts w:hint="eastAsia" w:ascii="仿宋_GB2312" w:hAnsi="Times New Roman" w:eastAsia="仿宋_GB2312" w:cs="Wingdings"/>
          <w:color w:val="auto"/>
          <w:sz w:val="32"/>
          <w:szCs w:val="32"/>
          <w:lang w:val="en-US" w:eastAsia="zh-CN"/>
        </w:rPr>
        <w:t>减少74.25</w:t>
      </w:r>
      <w:r>
        <w:rPr>
          <w:rFonts w:hint="eastAsia" w:ascii="仿宋_GB2312" w:hAnsi="Times New Roman" w:eastAsia="仿宋_GB2312" w:cs="Wingdings"/>
          <w:color w:val="auto"/>
          <w:sz w:val="32"/>
          <w:szCs w:val="32"/>
        </w:rPr>
        <w:t>%，主要原因是</w:t>
      </w:r>
      <w:r>
        <w:rPr>
          <w:rFonts w:hint="eastAsia" w:ascii="仿宋_GB2312" w:hAnsi="Times New Roman" w:eastAsia="仿宋_GB2312" w:cs="Wingdings"/>
          <w:color w:val="auto"/>
          <w:sz w:val="32"/>
          <w:szCs w:val="32"/>
          <w:lang w:val="en-US" w:eastAsia="zh-CN"/>
        </w:rPr>
        <w:t>征地和拆迁补偿支出和农村基础设施建设支出减少。</w:t>
      </w:r>
    </w:p>
    <w:p>
      <w:pPr>
        <w:snapToGrid w:val="0"/>
        <w:spacing w:line="600" w:lineRule="exact"/>
        <w:ind w:firstLine="643" w:firstLineChars="200"/>
        <w:rPr>
          <w:rFonts w:ascii="仿宋_GB2312" w:hAnsi="Times New Roman" w:eastAsia="仿宋_GB2312" w:cs="Mongolian Baiti"/>
          <w:b/>
          <w:bCs/>
          <w:sz w:val="32"/>
          <w:szCs w:val="32"/>
        </w:rPr>
      </w:pPr>
      <w:r>
        <w:rPr>
          <w:rFonts w:hint="eastAsia" w:ascii="楷体_GB2312" w:hAnsi="Times New Roman" w:eastAsia="楷体_GB2312" w:cs="Mongolian Baiti"/>
          <w:b/>
          <w:bCs/>
          <w:sz w:val="32"/>
          <w:szCs w:val="32"/>
        </w:rPr>
        <w:t>（二）财政拨款收支与年初预算数对比情况</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本部门2020年度财政拨款本年收入</w:t>
      </w:r>
      <w:r>
        <w:rPr>
          <w:rFonts w:hint="eastAsia" w:ascii="仿宋_GB2312" w:hAnsi="Times New Roman" w:eastAsia="仿宋_GB2312" w:cs="Wingdings"/>
          <w:sz w:val="32"/>
          <w:szCs w:val="32"/>
          <w:lang w:val="en-US" w:eastAsia="zh-CN"/>
        </w:rPr>
        <w:t>1305.98</w:t>
      </w:r>
      <w:r>
        <w:rPr>
          <w:rFonts w:hint="eastAsia" w:ascii="仿宋_GB2312" w:hAnsi="Times New Roman" w:eastAsia="仿宋_GB2312" w:cs="Wingdings"/>
          <w:sz w:val="32"/>
          <w:szCs w:val="32"/>
        </w:rPr>
        <w:t>万元，完成年初预算的</w:t>
      </w:r>
      <w:r>
        <w:rPr>
          <w:rFonts w:hint="eastAsia" w:ascii="仿宋_GB2312" w:hAnsi="Times New Roman" w:eastAsia="仿宋_GB2312" w:cs="Wingdings"/>
          <w:sz w:val="32"/>
          <w:szCs w:val="32"/>
          <w:lang w:val="en-US" w:eastAsia="zh-CN"/>
        </w:rPr>
        <w:t>132.86</w:t>
      </w:r>
      <w:r>
        <w:rPr>
          <w:rFonts w:hint="eastAsia" w:ascii="仿宋_GB2312" w:hAnsi="Times New Roman" w:eastAsia="仿宋_GB2312" w:cs="Wingdings"/>
          <w:sz w:val="32"/>
          <w:szCs w:val="32"/>
        </w:rPr>
        <w:t>%,比年初预算增加</w:t>
      </w:r>
      <w:r>
        <w:rPr>
          <w:rFonts w:hint="eastAsia" w:ascii="仿宋_GB2312" w:hAnsi="Times New Roman" w:eastAsia="仿宋_GB2312" w:cs="Wingdings"/>
          <w:sz w:val="32"/>
          <w:szCs w:val="32"/>
          <w:lang w:val="en-US" w:eastAsia="zh-CN"/>
        </w:rPr>
        <w:t>323.04</w:t>
      </w:r>
      <w:r>
        <w:rPr>
          <w:rFonts w:hint="eastAsia" w:ascii="仿宋_GB2312" w:hAnsi="Times New Roman" w:eastAsia="仿宋_GB2312" w:cs="Wingdings"/>
          <w:sz w:val="32"/>
          <w:szCs w:val="32"/>
        </w:rPr>
        <w:t>万元，决算数大于预算数主要原因是人员工资和保险调整</w:t>
      </w:r>
      <w:r>
        <w:rPr>
          <w:rFonts w:hint="eastAsia" w:ascii="仿宋_GB2312" w:hAnsi="Times New Roman" w:eastAsia="仿宋_GB2312" w:cs="Wingdings"/>
          <w:sz w:val="32"/>
          <w:szCs w:val="32"/>
          <w:lang w:eastAsia="zh-CN"/>
        </w:rPr>
        <w:t>，</w:t>
      </w:r>
      <w:r>
        <w:rPr>
          <w:rFonts w:hint="eastAsia" w:ascii="仿宋_GB2312" w:hAnsi="Times New Roman" w:eastAsia="仿宋_GB2312" w:cs="Wingdings"/>
          <w:sz w:val="32"/>
          <w:szCs w:val="32"/>
        </w:rPr>
        <w:t>增加了大气、农村环境保护、农林水支出等多个项目</w:t>
      </w:r>
      <w:r>
        <w:rPr>
          <w:rFonts w:hint="eastAsia" w:ascii="仿宋_GB2312" w:hAnsi="Times New Roman" w:eastAsia="仿宋_GB2312" w:cs="Wingdings"/>
          <w:sz w:val="32"/>
          <w:szCs w:val="32"/>
          <w:lang w:val="en-US" w:eastAsia="zh-CN"/>
        </w:rPr>
        <w:t>收入</w:t>
      </w:r>
      <w:r>
        <w:rPr>
          <w:rFonts w:hint="eastAsia" w:ascii="仿宋_GB2312" w:hAnsi="Times New Roman" w:eastAsia="仿宋_GB2312" w:cs="Wingdings"/>
          <w:sz w:val="32"/>
          <w:szCs w:val="32"/>
        </w:rPr>
        <w:t>；本年支出</w:t>
      </w:r>
      <w:r>
        <w:rPr>
          <w:rFonts w:hint="eastAsia" w:ascii="仿宋_GB2312" w:hAnsi="Times New Roman" w:eastAsia="仿宋_GB2312" w:cs="Wingdings"/>
          <w:sz w:val="32"/>
          <w:szCs w:val="32"/>
          <w:lang w:val="en-US" w:eastAsia="zh-CN"/>
        </w:rPr>
        <w:t>1305.98</w:t>
      </w:r>
      <w:r>
        <w:rPr>
          <w:rFonts w:hint="eastAsia" w:ascii="仿宋_GB2312" w:hAnsi="Times New Roman" w:eastAsia="仿宋_GB2312" w:cs="Wingdings"/>
          <w:sz w:val="32"/>
          <w:szCs w:val="32"/>
        </w:rPr>
        <w:t>万元，完成年初预算的</w:t>
      </w:r>
      <w:r>
        <w:rPr>
          <w:rFonts w:hint="eastAsia" w:ascii="仿宋_GB2312" w:hAnsi="Times New Roman" w:eastAsia="仿宋_GB2312" w:cs="Wingdings"/>
          <w:sz w:val="32"/>
          <w:szCs w:val="32"/>
          <w:lang w:val="en-US" w:eastAsia="zh-CN"/>
        </w:rPr>
        <w:t>132.86</w:t>
      </w:r>
      <w:r>
        <w:rPr>
          <w:rFonts w:hint="eastAsia" w:ascii="仿宋_GB2312" w:hAnsi="Times New Roman" w:eastAsia="仿宋_GB2312" w:cs="Wingdings"/>
          <w:sz w:val="32"/>
          <w:szCs w:val="32"/>
        </w:rPr>
        <w:t>%,比年初预算增加</w:t>
      </w:r>
      <w:r>
        <w:rPr>
          <w:rFonts w:hint="eastAsia" w:ascii="仿宋_GB2312" w:hAnsi="Times New Roman" w:eastAsia="仿宋_GB2312" w:cs="Wingdings"/>
          <w:sz w:val="32"/>
          <w:szCs w:val="32"/>
          <w:lang w:val="en-US" w:eastAsia="zh-CN"/>
        </w:rPr>
        <w:t>323.04</w:t>
      </w:r>
      <w:r>
        <w:rPr>
          <w:rFonts w:hint="eastAsia" w:ascii="仿宋_GB2312" w:hAnsi="Times New Roman" w:eastAsia="仿宋_GB2312" w:cs="Wingdings"/>
          <w:sz w:val="32"/>
          <w:szCs w:val="32"/>
        </w:rPr>
        <w:t>万元，决算数大于预算数主要原因是主要是人员工资和保险调整</w:t>
      </w:r>
      <w:r>
        <w:rPr>
          <w:rFonts w:hint="eastAsia" w:ascii="仿宋_GB2312" w:hAnsi="Times New Roman" w:eastAsia="仿宋_GB2312" w:cs="Wingdings"/>
          <w:sz w:val="32"/>
          <w:szCs w:val="32"/>
          <w:lang w:eastAsia="zh-CN"/>
        </w:rPr>
        <w:t>，</w:t>
      </w:r>
      <w:r>
        <w:rPr>
          <w:rFonts w:hint="eastAsia" w:ascii="仿宋_GB2312" w:hAnsi="Times New Roman" w:eastAsia="仿宋_GB2312" w:cs="Wingdings"/>
          <w:sz w:val="32"/>
          <w:szCs w:val="32"/>
        </w:rPr>
        <w:t>增加了大气、农村环境保护、农林水支出等多个项目支出。具体情况如下：</w:t>
      </w:r>
    </w:p>
    <w:p>
      <w:pPr>
        <w:numPr>
          <w:ilvl w:val="0"/>
          <w:numId w:val="2"/>
        </w:num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一般公共预算财政拨款本年收入完成年初预算</w:t>
      </w:r>
      <w:r>
        <w:rPr>
          <w:rFonts w:hint="eastAsia" w:ascii="仿宋_GB2312" w:hAnsi="Times New Roman" w:eastAsia="仿宋_GB2312" w:cs="Wingdings"/>
          <w:sz w:val="32"/>
          <w:szCs w:val="32"/>
          <w:lang w:val="en-US" w:eastAsia="zh-CN"/>
        </w:rPr>
        <w:t>107.36</w:t>
      </w:r>
      <w:r>
        <w:rPr>
          <w:rFonts w:hint="eastAsia" w:ascii="仿宋_GB2312" w:hAnsi="Times New Roman" w:eastAsia="仿宋_GB2312" w:cs="Wingdings"/>
          <w:sz w:val="32"/>
          <w:szCs w:val="32"/>
        </w:rPr>
        <w:t>%，比年初预算增加</w:t>
      </w:r>
      <w:r>
        <w:rPr>
          <w:rFonts w:hint="eastAsia" w:ascii="仿宋_GB2312" w:hAnsi="Times New Roman" w:eastAsia="仿宋_GB2312" w:cs="Wingdings"/>
          <w:sz w:val="32"/>
          <w:szCs w:val="32"/>
          <w:lang w:val="en-US" w:eastAsia="zh-CN"/>
        </w:rPr>
        <w:t>74.50</w:t>
      </w:r>
      <w:r>
        <w:rPr>
          <w:rFonts w:hint="eastAsia" w:ascii="仿宋_GB2312" w:hAnsi="Times New Roman" w:eastAsia="仿宋_GB2312" w:cs="Wingdings"/>
          <w:sz w:val="32"/>
          <w:szCs w:val="32"/>
        </w:rPr>
        <w:t>万元，主要是人员工资和保险调整</w:t>
      </w:r>
      <w:r>
        <w:rPr>
          <w:rFonts w:hint="eastAsia" w:ascii="仿宋_GB2312" w:hAnsi="Times New Roman" w:eastAsia="仿宋_GB2312" w:cs="Wingdings"/>
          <w:sz w:val="32"/>
          <w:szCs w:val="32"/>
          <w:lang w:eastAsia="zh-CN"/>
        </w:rPr>
        <w:t>，</w:t>
      </w:r>
      <w:r>
        <w:rPr>
          <w:rFonts w:hint="eastAsia" w:ascii="仿宋_GB2312" w:hAnsi="Times New Roman" w:eastAsia="仿宋_GB2312" w:cs="Wingdings"/>
          <w:sz w:val="32"/>
          <w:szCs w:val="32"/>
        </w:rPr>
        <w:t>增加了大气、农村环境保护、农林水支出等多个项目</w:t>
      </w:r>
      <w:r>
        <w:rPr>
          <w:rFonts w:hint="eastAsia" w:ascii="仿宋_GB2312" w:hAnsi="Times New Roman" w:eastAsia="仿宋_GB2312" w:cs="Wingdings"/>
          <w:sz w:val="32"/>
          <w:szCs w:val="32"/>
          <w:lang w:val="en-US" w:eastAsia="zh-CN"/>
        </w:rPr>
        <w:t>收入</w:t>
      </w:r>
      <w:r>
        <w:rPr>
          <w:rFonts w:hint="eastAsia" w:ascii="仿宋_GB2312" w:hAnsi="Times New Roman" w:eastAsia="仿宋_GB2312" w:cs="Wingdings"/>
          <w:sz w:val="32"/>
          <w:szCs w:val="32"/>
        </w:rPr>
        <w:t>；支出完成年初预算</w:t>
      </w:r>
      <w:r>
        <w:rPr>
          <w:rFonts w:hint="eastAsia" w:ascii="仿宋_GB2312" w:hAnsi="Times New Roman" w:eastAsia="仿宋_GB2312" w:cs="Wingdings"/>
          <w:sz w:val="32"/>
          <w:szCs w:val="32"/>
          <w:lang w:val="en-US" w:eastAsia="zh-CN"/>
        </w:rPr>
        <w:t>107.36</w:t>
      </w:r>
      <w:r>
        <w:rPr>
          <w:rFonts w:hint="eastAsia" w:ascii="仿宋_GB2312" w:hAnsi="Times New Roman" w:eastAsia="仿宋_GB2312" w:cs="Wingdings"/>
          <w:sz w:val="32"/>
          <w:szCs w:val="32"/>
        </w:rPr>
        <w:t>%，比年初预算增加</w:t>
      </w:r>
      <w:r>
        <w:rPr>
          <w:rFonts w:hint="eastAsia" w:ascii="仿宋_GB2312" w:hAnsi="Times New Roman" w:eastAsia="仿宋_GB2312" w:cs="Wingdings"/>
          <w:sz w:val="32"/>
          <w:szCs w:val="32"/>
          <w:lang w:val="en-US" w:eastAsia="zh-CN"/>
        </w:rPr>
        <w:t>74.50</w:t>
      </w:r>
      <w:r>
        <w:rPr>
          <w:rFonts w:hint="eastAsia" w:ascii="仿宋_GB2312" w:hAnsi="Times New Roman" w:eastAsia="仿宋_GB2312" w:cs="Wingdings"/>
          <w:sz w:val="32"/>
          <w:szCs w:val="32"/>
        </w:rPr>
        <w:t>万元，主要是人员工资和保险调整</w:t>
      </w:r>
      <w:r>
        <w:rPr>
          <w:rFonts w:hint="eastAsia" w:ascii="仿宋_GB2312" w:hAnsi="Times New Roman" w:eastAsia="仿宋_GB2312" w:cs="Wingdings"/>
          <w:sz w:val="32"/>
          <w:szCs w:val="32"/>
          <w:lang w:eastAsia="zh-CN"/>
        </w:rPr>
        <w:t>，</w:t>
      </w:r>
      <w:r>
        <w:rPr>
          <w:rFonts w:hint="eastAsia" w:ascii="仿宋_GB2312" w:hAnsi="Times New Roman" w:eastAsia="仿宋_GB2312" w:cs="Wingdings"/>
          <w:sz w:val="32"/>
          <w:szCs w:val="32"/>
        </w:rPr>
        <w:t>增加了大气、农村环境保护、农林水支出等多个项目支出。</w:t>
      </w:r>
    </w:p>
    <w:p>
      <w:pPr>
        <w:numPr>
          <w:ilvl w:val="0"/>
          <w:numId w:val="2"/>
        </w:num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政府性基金预算财政拨款本年收入</w:t>
      </w:r>
      <w:r>
        <w:rPr>
          <w:rFonts w:hint="eastAsia" w:ascii="仿宋_GB2312" w:hAnsi="Times New Roman" w:eastAsia="仿宋_GB2312" w:cs="Wingdings"/>
          <w:color w:val="auto"/>
          <w:sz w:val="32"/>
          <w:szCs w:val="32"/>
          <w:lang w:val="en-US" w:eastAsia="zh-CN"/>
        </w:rPr>
        <w:t>53.76</w:t>
      </w:r>
      <w:r>
        <w:rPr>
          <w:rFonts w:hint="eastAsia" w:ascii="仿宋_GB2312" w:hAnsi="Times New Roman" w:eastAsia="仿宋_GB2312" w:cs="Wingdings"/>
          <w:sz w:val="32"/>
          <w:szCs w:val="32"/>
          <w:lang w:val="en-US" w:eastAsia="zh-CN"/>
        </w:rPr>
        <w:t>万元，年初预算数0万元，调整预算数</w:t>
      </w:r>
      <w:r>
        <w:rPr>
          <w:rFonts w:hint="eastAsia" w:ascii="仿宋_GB2312" w:hAnsi="Times New Roman" w:eastAsia="仿宋_GB2312" w:cs="Wingdings"/>
          <w:color w:val="auto"/>
          <w:sz w:val="32"/>
          <w:szCs w:val="32"/>
          <w:lang w:val="en-US" w:eastAsia="zh-CN"/>
        </w:rPr>
        <w:t>53.76</w:t>
      </w:r>
      <w:r>
        <w:rPr>
          <w:rFonts w:hint="eastAsia" w:ascii="仿宋_GB2312" w:hAnsi="Times New Roman" w:eastAsia="仿宋_GB2312" w:cs="Wingdings"/>
          <w:sz w:val="32"/>
          <w:szCs w:val="32"/>
          <w:lang w:val="en-US" w:eastAsia="zh-CN"/>
        </w:rPr>
        <w:t>万元，</w:t>
      </w:r>
      <w:r>
        <w:rPr>
          <w:rFonts w:hint="eastAsia" w:ascii="仿宋_GB2312" w:hAnsi="Times New Roman" w:eastAsia="仿宋_GB2312" w:cs="Wingdings"/>
          <w:sz w:val="32"/>
          <w:szCs w:val="32"/>
        </w:rPr>
        <w:t>完成</w:t>
      </w:r>
      <w:r>
        <w:rPr>
          <w:rFonts w:hint="eastAsia" w:ascii="仿宋_GB2312" w:hAnsi="Times New Roman" w:eastAsia="仿宋_GB2312" w:cs="Wingdings"/>
          <w:sz w:val="32"/>
          <w:szCs w:val="32"/>
          <w:lang w:val="en-US" w:eastAsia="zh-CN"/>
        </w:rPr>
        <w:t>调整</w:t>
      </w:r>
      <w:r>
        <w:rPr>
          <w:rFonts w:hint="eastAsia" w:ascii="仿宋_GB2312" w:hAnsi="Times New Roman" w:eastAsia="仿宋_GB2312" w:cs="Wingdings"/>
          <w:sz w:val="32"/>
          <w:szCs w:val="32"/>
        </w:rPr>
        <w:t>预算</w:t>
      </w:r>
      <w:r>
        <w:rPr>
          <w:rFonts w:hint="eastAsia" w:ascii="仿宋_GB2312" w:hAnsi="Times New Roman" w:eastAsia="仿宋_GB2312" w:cs="Wingdings"/>
          <w:sz w:val="32"/>
          <w:szCs w:val="32"/>
          <w:highlight w:val="none"/>
          <w:lang w:val="en-US" w:eastAsia="zh-CN"/>
        </w:rPr>
        <w:t>100.00</w:t>
      </w:r>
      <w:r>
        <w:rPr>
          <w:rFonts w:hint="eastAsia" w:ascii="仿宋_GB2312" w:hAnsi="Times New Roman" w:eastAsia="仿宋_GB2312" w:cs="Wingdings"/>
          <w:sz w:val="32"/>
          <w:szCs w:val="32"/>
          <w:highlight w:val="none"/>
        </w:rPr>
        <w:t>%</w:t>
      </w:r>
      <w:r>
        <w:rPr>
          <w:rFonts w:hint="eastAsia" w:ascii="仿宋_GB2312" w:hAnsi="Times New Roman" w:eastAsia="仿宋_GB2312" w:cs="Wingdings"/>
          <w:sz w:val="32"/>
          <w:szCs w:val="32"/>
        </w:rPr>
        <w:t>，比年初预算增加</w:t>
      </w:r>
      <w:r>
        <w:rPr>
          <w:rFonts w:hint="eastAsia" w:ascii="仿宋_GB2312" w:hAnsi="Times New Roman" w:eastAsia="仿宋_GB2312" w:cs="Wingdings"/>
          <w:color w:val="auto"/>
          <w:sz w:val="32"/>
          <w:szCs w:val="32"/>
          <w:lang w:val="en-US" w:eastAsia="zh-CN"/>
        </w:rPr>
        <w:t>53.76</w:t>
      </w:r>
      <w:r>
        <w:rPr>
          <w:rFonts w:hint="eastAsia" w:ascii="仿宋_GB2312" w:hAnsi="Times New Roman" w:eastAsia="仿宋_GB2312" w:cs="Wingdings"/>
          <w:sz w:val="32"/>
          <w:szCs w:val="32"/>
        </w:rPr>
        <w:t>万元，主要是</w:t>
      </w:r>
      <w:r>
        <w:rPr>
          <w:rFonts w:hint="eastAsia" w:ascii="仿宋_GB2312" w:hAnsi="Times New Roman" w:eastAsia="仿宋_GB2312" w:cs="Wingdings"/>
          <w:color w:val="auto"/>
          <w:sz w:val="32"/>
          <w:szCs w:val="32"/>
          <w:lang w:val="en-US" w:eastAsia="zh-CN"/>
        </w:rPr>
        <w:t>征地和拆迁补偿费用和农村基础设施建设费用</w:t>
      </w:r>
      <w:r>
        <w:rPr>
          <w:rFonts w:hint="eastAsia" w:ascii="仿宋_GB2312" w:hAnsi="Times New Roman" w:eastAsia="仿宋_GB2312" w:cs="Wingdings"/>
          <w:sz w:val="32"/>
          <w:szCs w:val="32"/>
        </w:rPr>
        <w:t>；支出</w:t>
      </w:r>
      <w:r>
        <w:rPr>
          <w:rFonts w:hint="eastAsia" w:ascii="仿宋_GB2312" w:hAnsi="Times New Roman" w:eastAsia="仿宋_GB2312" w:cs="Wingdings"/>
          <w:color w:val="auto"/>
          <w:sz w:val="32"/>
          <w:szCs w:val="32"/>
          <w:lang w:val="en-US" w:eastAsia="zh-CN"/>
        </w:rPr>
        <w:t>53.76</w:t>
      </w:r>
      <w:r>
        <w:rPr>
          <w:rFonts w:hint="eastAsia" w:ascii="仿宋_GB2312" w:hAnsi="Times New Roman" w:eastAsia="仿宋_GB2312" w:cs="Wingdings"/>
          <w:sz w:val="32"/>
          <w:szCs w:val="32"/>
          <w:lang w:val="en-US" w:eastAsia="zh-CN"/>
        </w:rPr>
        <w:t>万元，年初预算数0万元，调整预算数</w:t>
      </w:r>
      <w:r>
        <w:rPr>
          <w:rFonts w:hint="eastAsia" w:ascii="仿宋_GB2312" w:hAnsi="Times New Roman" w:eastAsia="仿宋_GB2312" w:cs="Wingdings"/>
          <w:color w:val="auto"/>
          <w:sz w:val="32"/>
          <w:szCs w:val="32"/>
          <w:lang w:val="en-US" w:eastAsia="zh-CN"/>
        </w:rPr>
        <w:t>53.76</w:t>
      </w:r>
      <w:r>
        <w:rPr>
          <w:rFonts w:hint="eastAsia" w:ascii="仿宋_GB2312" w:hAnsi="Times New Roman" w:eastAsia="仿宋_GB2312" w:cs="Wingdings"/>
          <w:sz w:val="32"/>
          <w:szCs w:val="32"/>
          <w:lang w:val="en-US" w:eastAsia="zh-CN"/>
        </w:rPr>
        <w:t>万元，</w:t>
      </w:r>
      <w:r>
        <w:rPr>
          <w:rFonts w:hint="eastAsia" w:ascii="仿宋_GB2312" w:hAnsi="Times New Roman" w:eastAsia="仿宋_GB2312" w:cs="Wingdings"/>
          <w:sz w:val="32"/>
          <w:szCs w:val="32"/>
        </w:rPr>
        <w:t>完成</w:t>
      </w:r>
      <w:r>
        <w:rPr>
          <w:rFonts w:hint="eastAsia" w:ascii="仿宋_GB2312" w:hAnsi="Times New Roman" w:eastAsia="仿宋_GB2312" w:cs="Wingdings"/>
          <w:sz w:val="32"/>
          <w:szCs w:val="32"/>
          <w:lang w:val="en-US" w:eastAsia="zh-CN"/>
        </w:rPr>
        <w:t>调整</w:t>
      </w:r>
      <w:r>
        <w:rPr>
          <w:rFonts w:hint="eastAsia" w:ascii="仿宋_GB2312" w:hAnsi="Times New Roman" w:eastAsia="仿宋_GB2312" w:cs="Wingdings"/>
          <w:sz w:val="32"/>
          <w:szCs w:val="32"/>
        </w:rPr>
        <w:t>预算</w:t>
      </w:r>
      <w:r>
        <w:rPr>
          <w:rFonts w:hint="eastAsia" w:ascii="仿宋_GB2312" w:hAnsi="Times New Roman" w:eastAsia="仿宋_GB2312" w:cs="Wingdings"/>
          <w:sz w:val="32"/>
          <w:szCs w:val="32"/>
          <w:highlight w:val="none"/>
          <w:lang w:val="en-US" w:eastAsia="zh-CN"/>
        </w:rPr>
        <w:t>100.00</w:t>
      </w:r>
      <w:r>
        <w:rPr>
          <w:rFonts w:hint="eastAsia" w:ascii="仿宋_GB2312" w:hAnsi="Times New Roman" w:eastAsia="仿宋_GB2312" w:cs="Wingdings"/>
          <w:sz w:val="32"/>
          <w:szCs w:val="32"/>
          <w:highlight w:val="none"/>
        </w:rPr>
        <w:t>%</w:t>
      </w:r>
      <w:r>
        <w:rPr>
          <w:rFonts w:hint="eastAsia" w:ascii="仿宋_GB2312" w:hAnsi="Times New Roman" w:eastAsia="仿宋_GB2312" w:cs="Wingdings"/>
          <w:sz w:val="32"/>
          <w:szCs w:val="32"/>
        </w:rPr>
        <w:t>，比年初预算增加</w:t>
      </w:r>
      <w:r>
        <w:rPr>
          <w:rFonts w:hint="eastAsia" w:ascii="仿宋_GB2312" w:hAnsi="Times New Roman" w:eastAsia="仿宋_GB2312" w:cs="Wingdings"/>
          <w:color w:val="auto"/>
          <w:sz w:val="32"/>
          <w:szCs w:val="32"/>
          <w:lang w:val="en-US" w:eastAsia="zh-CN"/>
        </w:rPr>
        <w:t>53.76</w:t>
      </w:r>
      <w:r>
        <w:rPr>
          <w:rFonts w:hint="eastAsia" w:ascii="仿宋_GB2312" w:hAnsi="Times New Roman" w:eastAsia="仿宋_GB2312" w:cs="Wingdings"/>
          <w:sz w:val="32"/>
          <w:szCs w:val="32"/>
        </w:rPr>
        <w:t>万元，主要是</w:t>
      </w:r>
      <w:r>
        <w:rPr>
          <w:rFonts w:hint="eastAsia" w:ascii="仿宋_GB2312" w:hAnsi="Times New Roman" w:eastAsia="仿宋_GB2312" w:cs="Wingdings"/>
          <w:color w:val="auto"/>
          <w:sz w:val="32"/>
          <w:szCs w:val="32"/>
          <w:lang w:val="en-US" w:eastAsia="zh-CN"/>
        </w:rPr>
        <w:t>征地和拆迁补偿费用和农村基础设施建设费用</w:t>
      </w:r>
      <w:r>
        <w:rPr>
          <w:rFonts w:hint="eastAsia" w:ascii="仿宋_GB2312" w:hAnsi="Times New Roman" w:eastAsia="仿宋_GB2312" w:cs="Wingdings"/>
          <w:sz w:val="32"/>
          <w:szCs w:val="32"/>
        </w:rPr>
        <w:t>。</w:t>
      </w:r>
    </w:p>
    <w:p>
      <w:pPr>
        <w:numPr>
          <w:ilvl w:val="0"/>
          <w:numId w:val="3"/>
        </w:numPr>
        <w:adjustRightInd w:val="0"/>
        <w:snapToGrid w:val="0"/>
        <w:spacing w:line="600" w:lineRule="exact"/>
        <w:ind w:left="420" w:left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财政拨款支出决算结构情况。</w:t>
      </w:r>
    </w:p>
    <w:p>
      <w:pPr>
        <w:adjustRightInd w:val="0"/>
        <w:snapToGrid w:val="0"/>
        <w:spacing w:line="600" w:lineRule="exact"/>
        <w:ind w:firstLine="640" w:firstLineChars="200"/>
        <w:rPr>
          <w:rFonts w:ascii="楷体_GB2312" w:hAnsi="Times New Roman" w:eastAsia="楷体_GB2312" w:cs="Mongolian Baiti"/>
          <w:b/>
          <w:bCs/>
          <w:sz w:val="32"/>
          <w:szCs w:val="32"/>
        </w:rPr>
      </w:pPr>
      <w:r>
        <w:rPr>
          <w:rFonts w:hint="eastAsia" w:ascii="仿宋_GB2312" w:hAnsi="Times New Roman" w:eastAsia="仿宋_GB2312" w:cs="Wingdings"/>
          <w:sz w:val="32"/>
          <w:szCs w:val="32"/>
        </w:rPr>
        <w:t>2020 年度财政拨款支出</w:t>
      </w:r>
      <w:r>
        <w:rPr>
          <w:rFonts w:hint="eastAsia" w:ascii="仿宋_GB2312" w:hAnsi="Times New Roman" w:eastAsia="仿宋_GB2312" w:cs="Wingdings"/>
          <w:sz w:val="32"/>
          <w:szCs w:val="32"/>
          <w:lang w:val="en-US" w:eastAsia="zh-CN"/>
        </w:rPr>
        <w:t>1305.98</w:t>
      </w:r>
      <w:r>
        <w:rPr>
          <w:rFonts w:hint="eastAsia" w:ascii="仿宋_GB2312" w:hAnsi="Times New Roman" w:eastAsia="仿宋_GB2312" w:cs="Wingdings"/>
          <w:sz w:val="32"/>
          <w:szCs w:val="32"/>
        </w:rPr>
        <w:t>万元，主要用于以下方面：比如：一般公共服务（类）支出</w:t>
      </w:r>
      <w:r>
        <w:rPr>
          <w:rFonts w:hint="eastAsia" w:ascii="仿宋_GB2312" w:hAnsi="Times New Roman" w:eastAsia="仿宋_GB2312" w:cs="Wingdings"/>
          <w:sz w:val="32"/>
          <w:szCs w:val="32"/>
          <w:lang w:val="en-US" w:eastAsia="zh-CN"/>
        </w:rPr>
        <w:t>635.20</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48.64</w:t>
      </w:r>
      <w:r>
        <w:rPr>
          <w:rFonts w:hint="eastAsia" w:ascii="仿宋_GB2312" w:hAnsi="Times New Roman" w:eastAsia="仿宋_GB2312" w:cs="Wingdings"/>
          <w:sz w:val="32"/>
          <w:szCs w:val="32"/>
        </w:rPr>
        <w:t>%，；文化旅游体育与传媒</w:t>
      </w:r>
      <w:r>
        <w:rPr>
          <w:rFonts w:hint="eastAsia" w:ascii="仿宋_GB2312" w:hAnsi="Times New Roman" w:eastAsia="仿宋_GB2312" w:cs="Wingdings"/>
          <w:sz w:val="32"/>
          <w:szCs w:val="32"/>
          <w:lang w:eastAsia="zh-CN"/>
        </w:rPr>
        <w:t>（</w:t>
      </w:r>
      <w:r>
        <w:rPr>
          <w:rFonts w:hint="eastAsia" w:ascii="仿宋_GB2312" w:hAnsi="Times New Roman" w:eastAsia="仿宋_GB2312" w:cs="Wingdings"/>
          <w:sz w:val="32"/>
          <w:szCs w:val="32"/>
          <w:lang w:val="en-US" w:eastAsia="zh-CN"/>
        </w:rPr>
        <w:t>类</w:t>
      </w:r>
      <w:r>
        <w:rPr>
          <w:rFonts w:hint="eastAsia" w:ascii="仿宋_GB2312" w:hAnsi="Times New Roman" w:eastAsia="仿宋_GB2312" w:cs="Wingdings"/>
          <w:sz w:val="32"/>
          <w:szCs w:val="32"/>
          <w:lang w:eastAsia="zh-CN"/>
        </w:rPr>
        <w:t>）</w:t>
      </w:r>
      <w:r>
        <w:rPr>
          <w:rFonts w:hint="eastAsia" w:ascii="仿宋_GB2312" w:hAnsi="Times New Roman" w:eastAsia="仿宋_GB2312" w:cs="Wingdings"/>
          <w:sz w:val="32"/>
          <w:szCs w:val="32"/>
        </w:rPr>
        <w:t>支出</w:t>
      </w:r>
      <w:r>
        <w:rPr>
          <w:rFonts w:hint="eastAsia" w:ascii="仿宋_GB2312" w:hAnsi="Times New Roman" w:eastAsia="仿宋_GB2312" w:cs="Wingdings"/>
          <w:sz w:val="32"/>
          <w:szCs w:val="32"/>
          <w:lang w:val="en-US" w:eastAsia="zh-CN"/>
        </w:rPr>
        <w:t>7.00</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0.54</w:t>
      </w:r>
      <w:r>
        <w:rPr>
          <w:rFonts w:hint="eastAsia" w:ascii="仿宋_GB2312" w:hAnsi="Times New Roman" w:eastAsia="仿宋_GB2312" w:cs="Wingdings"/>
          <w:sz w:val="32"/>
          <w:szCs w:val="32"/>
        </w:rPr>
        <w:t>%；社会保障和就业</w:t>
      </w:r>
      <w:r>
        <w:rPr>
          <w:rFonts w:hint="eastAsia" w:ascii="仿宋_GB2312" w:hAnsi="Times New Roman" w:eastAsia="仿宋_GB2312" w:cs="Wingdings"/>
          <w:sz w:val="32"/>
          <w:szCs w:val="32"/>
          <w:lang w:eastAsia="zh-CN"/>
        </w:rPr>
        <w:t>（</w:t>
      </w:r>
      <w:r>
        <w:rPr>
          <w:rFonts w:hint="eastAsia" w:ascii="仿宋_GB2312" w:hAnsi="Times New Roman" w:eastAsia="仿宋_GB2312" w:cs="Wingdings"/>
          <w:sz w:val="32"/>
          <w:szCs w:val="32"/>
          <w:lang w:val="en-US" w:eastAsia="zh-CN"/>
        </w:rPr>
        <w:t>类</w:t>
      </w:r>
      <w:r>
        <w:rPr>
          <w:rFonts w:hint="eastAsia" w:ascii="仿宋_GB2312" w:hAnsi="Times New Roman" w:eastAsia="仿宋_GB2312" w:cs="Wingdings"/>
          <w:sz w:val="32"/>
          <w:szCs w:val="32"/>
          <w:lang w:eastAsia="zh-CN"/>
        </w:rPr>
        <w:t>）</w:t>
      </w:r>
      <w:r>
        <w:rPr>
          <w:rFonts w:hint="eastAsia" w:ascii="仿宋_GB2312" w:hAnsi="Times New Roman" w:eastAsia="仿宋_GB2312" w:cs="Wingdings"/>
          <w:sz w:val="32"/>
          <w:szCs w:val="32"/>
        </w:rPr>
        <w:t>支出</w:t>
      </w:r>
      <w:r>
        <w:rPr>
          <w:rFonts w:hint="eastAsia" w:ascii="仿宋_GB2312" w:hAnsi="Times New Roman" w:eastAsia="仿宋_GB2312" w:cs="Wingdings"/>
          <w:sz w:val="32"/>
          <w:szCs w:val="32"/>
          <w:lang w:val="en-US" w:eastAsia="zh-CN"/>
        </w:rPr>
        <w:t>77.95</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5.97</w:t>
      </w:r>
      <w:r>
        <w:rPr>
          <w:rFonts w:hint="eastAsia" w:ascii="仿宋_GB2312" w:hAnsi="Times New Roman" w:eastAsia="仿宋_GB2312" w:cs="Wingdings"/>
          <w:sz w:val="32"/>
          <w:szCs w:val="32"/>
        </w:rPr>
        <w:t>%；卫生健康</w:t>
      </w:r>
      <w:r>
        <w:rPr>
          <w:rFonts w:hint="eastAsia" w:ascii="仿宋_GB2312" w:hAnsi="Times New Roman" w:eastAsia="仿宋_GB2312" w:cs="Wingdings"/>
          <w:sz w:val="32"/>
          <w:szCs w:val="32"/>
          <w:lang w:eastAsia="zh-CN"/>
        </w:rPr>
        <w:t>（</w:t>
      </w:r>
      <w:r>
        <w:rPr>
          <w:rFonts w:hint="eastAsia" w:ascii="仿宋_GB2312" w:hAnsi="Times New Roman" w:eastAsia="仿宋_GB2312" w:cs="Wingdings"/>
          <w:sz w:val="32"/>
          <w:szCs w:val="32"/>
          <w:lang w:val="en-US" w:eastAsia="zh-CN"/>
        </w:rPr>
        <w:t>类</w:t>
      </w:r>
      <w:r>
        <w:rPr>
          <w:rFonts w:hint="eastAsia" w:ascii="仿宋_GB2312" w:hAnsi="Times New Roman" w:eastAsia="仿宋_GB2312" w:cs="Wingdings"/>
          <w:sz w:val="32"/>
          <w:szCs w:val="32"/>
          <w:lang w:eastAsia="zh-CN"/>
        </w:rPr>
        <w:t>）</w:t>
      </w:r>
      <w:r>
        <w:rPr>
          <w:rFonts w:hint="eastAsia" w:ascii="仿宋_GB2312" w:hAnsi="Times New Roman" w:eastAsia="仿宋_GB2312" w:cs="Wingdings"/>
          <w:sz w:val="32"/>
          <w:szCs w:val="32"/>
        </w:rPr>
        <w:t>支出</w:t>
      </w:r>
      <w:r>
        <w:rPr>
          <w:rFonts w:hint="eastAsia" w:ascii="仿宋_GB2312" w:hAnsi="Times New Roman" w:eastAsia="仿宋_GB2312" w:cs="Wingdings"/>
          <w:sz w:val="32"/>
          <w:szCs w:val="32"/>
          <w:lang w:val="en-US" w:eastAsia="zh-CN"/>
        </w:rPr>
        <w:t>32.94</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2.52</w:t>
      </w:r>
      <w:r>
        <w:rPr>
          <w:rFonts w:hint="eastAsia" w:ascii="仿宋_GB2312" w:hAnsi="Times New Roman" w:eastAsia="仿宋_GB2312" w:cs="Wingdings"/>
          <w:sz w:val="32"/>
          <w:szCs w:val="32"/>
        </w:rPr>
        <w:t>%；城</w:t>
      </w:r>
      <w:r>
        <w:rPr>
          <w:rFonts w:hint="eastAsia" w:ascii="仿宋_GB2312" w:hAnsi="Times New Roman" w:eastAsia="仿宋_GB2312" w:cs="Wingdings"/>
          <w:sz w:val="32"/>
          <w:szCs w:val="32"/>
          <w:lang w:eastAsia="zh-CN"/>
        </w:rPr>
        <w:t>镇</w:t>
      </w:r>
      <w:r>
        <w:rPr>
          <w:rFonts w:hint="eastAsia" w:ascii="仿宋_GB2312" w:hAnsi="Times New Roman" w:eastAsia="仿宋_GB2312" w:cs="Wingdings"/>
          <w:sz w:val="32"/>
          <w:szCs w:val="32"/>
        </w:rPr>
        <w:t>社区</w:t>
      </w:r>
      <w:r>
        <w:rPr>
          <w:rFonts w:hint="eastAsia" w:ascii="仿宋_GB2312" w:hAnsi="Times New Roman" w:eastAsia="仿宋_GB2312" w:cs="Wingdings"/>
          <w:sz w:val="32"/>
          <w:szCs w:val="32"/>
          <w:lang w:eastAsia="zh-CN"/>
        </w:rPr>
        <w:t>（</w:t>
      </w:r>
      <w:r>
        <w:rPr>
          <w:rFonts w:hint="eastAsia" w:ascii="仿宋_GB2312" w:hAnsi="Times New Roman" w:eastAsia="仿宋_GB2312" w:cs="Wingdings"/>
          <w:sz w:val="32"/>
          <w:szCs w:val="32"/>
          <w:lang w:val="en-US" w:eastAsia="zh-CN"/>
        </w:rPr>
        <w:t>类</w:t>
      </w:r>
      <w:r>
        <w:rPr>
          <w:rFonts w:hint="eastAsia" w:ascii="仿宋_GB2312" w:hAnsi="Times New Roman" w:eastAsia="仿宋_GB2312" w:cs="Wingdings"/>
          <w:sz w:val="32"/>
          <w:szCs w:val="32"/>
          <w:lang w:eastAsia="zh-CN"/>
        </w:rPr>
        <w:t>）</w:t>
      </w:r>
      <w:r>
        <w:rPr>
          <w:rFonts w:hint="eastAsia" w:ascii="仿宋_GB2312" w:hAnsi="Times New Roman" w:eastAsia="仿宋_GB2312" w:cs="Wingdings"/>
          <w:sz w:val="32"/>
          <w:szCs w:val="32"/>
        </w:rPr>
        <w:t>支出</w:t>
      </w:r>
      <w:r>
        <w:rPr>
          <w:rFonts w:hint="eastAsia" w:ascii="仿宋_GB2312" w:hAnsi="Times New Roman" w:eastAsia="仿宋_GB2312" w:cs="Wingdings"/>
          <w:sz w:val="32"/>
          <w:szCs w:val="32"/>
          <w:lang w:val="en-US" w:eastAsia="zh-CN"/>
        </w:rPr>
        <w:t>53.76</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4.12</w:t>
      </w:r>
      <w:r>
        <w:rPr>
          <w:rFonts w:hint="eastAsia" w:ascii="仿宋_GB2312" w:hAnsi="Times New Roman" w:eastAsia="仿宋_GB2312" w:cs="Wingdings"/>
          <w:sz w:val="32"/>
          <w:szCs w:val="32"/>
        </w:rPr>
        <w:t>%；农林水</w:t>
      </w:r>
      <w:r>
        <w:rPr>
          <w:rFonts w:hint="eastAsia" w:ascii="仿宋_GB2312" w:hAnsi="Times New Roman" w:eastAsia="仿宋_GB2312" w:cs="Wingdings"/>
          <w:sz w:val="32"/>
          <w:szCs w:val="32"/>
          <w:lang w:eastAsia="zh-CN"/>
        </w:rPr>
        <w:t>（</w:t>
      </w:r>
      <w:r>
        <w:rPr>
          <w:rFonts w:hint="eastAsia" w:ascii="仿宋_GB2312" w:hAnsi="Times New Roman" w:eastAsia="仿宋_GB2312" w:cs="Wingdings"/>
          <w:sz w:val="32"/>
          <w:szCs w:val="32"/>
          <w:lang w:val="en-US" w:eastAsia="zh-CN"/>
        </w:rPr>
        <w:t>类</w:t>
      </w:r>
      <w:r>
        <w:rPr>
          <w:rFonts w:hint="eastAsia" w:ascii="仿宋_GB2312" w:hAnsi="Times New Roman" w:eastAsia="仿宋_GB2312" w:cs="Wingdings"/>
          <w:sz w:val="32"/>
          <w:szCs w:val="32"/>
          <w:lang w:eastAsia="zh-CN"/>
        </w:rPr>
        <w:t>）</w:t>
      </w:r>
      <w:r>
        <w:rPr>
          <w:rFonts w:hint="eastAsia" w:ascii="仿宋_GB2312" w:hAnsi="Times New Roman" w:eastAsia="仿宋_GB2312" w:cs="Wingdings"/>
          <w:sz w:val="32"/>
          <w:szCs w:val="32"/>
        </w:rPr>
        <w:t>支出</w:t>
      </w:r>
      <w:r>
        <w:rPr>
          <w:rFonts w:hint="eastAsia" w:ascii="仿宋_GB2312" w:hAnsi="Times New Roman" w:eastAsia="仿宋_GB2312" w:cs="Wingdings"/>
          <w:sz w:val="32"/>
          <w:szCs w:val="32"/>
          <w:lang w:val="en-US" w:eastAsia="zh-CN"/>
        </w:rPr>
        <w:t>465.09</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35.61</w:t>
      </w:r>
      <w:r>
        <w:rPr>
          <w:rFonts w:hint="eastAsia" w:ascii="仿宋_GB2312" w:hAnsi="Times New Roman" w:eastAsia="仿宋_GB2312" w:cs="Wingdings"/>
          <w:sz w:val="32"/>
          <w:szCs w:val="32"/>
        </w:rPr>
        <w:t>%;住房保障</w:t>
      </w:r>
      <w:r>
        <w:rPr>
          <w:rFonts w:hint="eastAsia" w:ascii="仿宋_GB2312" w:hAnsi="Times New Roman" w:eastAsia="仿宋_GB2312" w:cs="Wingdings"/>
          <w:sz w:val="32"/>
          <w:szCs w:val="32"/>
          <w:lang w:eastAsia="zh-CN"/>
        </w:rPr>
        <w:t>（</w:t>
      </w:r>
      <w:r>
        <w:rPr>
          <w:rFonts w:hint="eastAsia" w:ascii="仿宋_GB2312" w:hAnsi="Times New Roman" w:eastAsia="仿宋_GB2312" w:cs="Wingdings"/>
          <w:sz w:val="32"/>
          <w:szCs w:val="32"/>
          <w:lang w:val="en-US" w:eastAsia="zh-CN"/>
        </w:rPr>
        <w:t>类</w:t>
      </w:r>
      <w:r>
        <w:rPr>
          <w:rFonts w:hint="eastAsia" w:ascii="仿宋_GB2312" w:hAnsi="Times New Roman" w:eastAsia="仿宋_GB2312" w:cs="Wingdings"/>
          <w:sz w:val="32"/>
          <w:szCs w:val="32"/>
          <w:lang w:eastAsia="zh-CN"/>
        </w:rPr>
        <w:t>）</w:t>
      </w:r>
      <w:r>
        <w:rPr>
          <w:rFonts w:hint="eastAsia" w:ascii="仿宋_GB2312" w:hAnsi="Times New Roman" w:eastAsia="仿宋_GB2312" w:cs="Wingdings"/>
          <w:sz w:val="32"/>
          <w:szCs w:val="32"/>
        </w:rPr>
        <w:t>支出</w:t>
      </w:r>
      <w:r>
        <w:rPr>
          <w:rFonts w:hint="eastAsia" w:ascii="仿宋_GB2312" w:hAnsi="Times New Roman" w:eastAsia="仿宋_GB2312" w:cs="Wingdings"/>
          <w:sz w:val="32"/>
          <w:szCs w:val="32"/>
          <w:lang w:val="en-US" w:eastAsia="zh-CN"/>
        </w:rPr>
        <w:t>34.04万元，占2.61%</w:t>
      </w:r>
      <w:r>
        <w:rPr>
          <w:rFonts w:hint="eastAsia" w:ascii="仿宋_GB2312" w:hAnsi="Times New Roman" w:eastAsia="仿宋_GB2312" w:cs="Wingdings"/>
          <w:sz w:val="32"/>
          <w:szCs w:val="32"/>
        </w:rPr>
        <w:t>。</w:t>
      </w:r>
    </w:p>
    <w:p>
      <w:pPr>
        <w:adjustRightInd w:val="0"/>
        <w:snapToGrid w:val="0"/>
        <w:spacing w:line="600" w:lineRule="exact"/>
        <w:ind w:left="420" w:left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（四）一般公共预算基本支出决算情况说明</w:t>
      </w:r>
    </w:p>
    <w:p>
      <w:pPr>
        <w:adjustRightInd w:val="0"/>
        <w:snapToGrid w:val="0"/>
        <w:spacing w:line="600" w:lineRule="exact"/>
        <w:ind w:firstLine="640" w:firstLineChars="200"/>
        <w:rPr>
          <w:rFonts w:hint="eastAsia" w:ascii="仿宋_GB2312" w:hAnsi="Times New Roman" w:eastAsia="仿宋_GB2312" w:cs="Wingdings"/>
          <w:sz w:val="32"/>
          <w:szCs w:val="32"/>
          <w:lang w:eastAsia="zh-CN"/>
        </w:rPr>
      </w:pPr>
      <w:r>
        <w:rPr>
          <w:rFonts w:hint="eastAsia" w:ascii="仿宋_GB2312" w:hAnsi="Times New Roman" w:eastAsia="仿宋_GB2312" w:cs="Wingdings"/>
          <w:sz w:val="32"/>
          <w:szCs w:val="32"/>
        </w:rPr>
        <w:t>2020 年度财政拨款基本支出770</w:t>
      </w:r>
      <w:r>
        <w:rPr>
          <w:rFonts w:hint="eastAsia" w:ascii="仿宋_GB2312" w:hAnsi="Times New Roman" w:eastAsia="仿宋_GB2312" w:cs="Wingdings"/>
          <w:sz w:val="32"/>
          <w:szCs w:val="32"/>
          <w:lang w:val="en-US" w:eastAsia="zh-CN"/>
        </w:rPr>
        <w:t>.</w:t>
      </w:r>
      <w:r>
        <w:rPr>
          <w:rFonts w:hint="eastAsia" w:ascii="仿宋_GB2312" w:hAnsi="Times New Roman" w:eastAsia="仿宋_GB2312" w:cs="Wingdings"/>
          <w:sz w:val="32"/>
          <w:szCs w:val="32"/>
        </w:rPr>
        <w:t>13万元，其中：人员经费665</w:t>
      </w:r>
      <w:r>
        <w:rPr>
          <w:rFonts w:hint="eastAsia" w:ascii="仿宋_GB2312" w:hAnsi="Times New Roman" w:eastAsia="仿宋_GB2312" w:cs="Wingdings"/>
          <w:sz w:val="32"/>
          <w:szCs w:val="32"/>
          <w:lang w:val="en-US" w:eastAsia="zh-CN"/>
        </w:rPr>
        <w:t>.</w:t>
      </w:r>
      <w:r>
        <w:rPr>
          <w:rFonts w:hint="eastAsia" w:ascii="仿宋_GB2312" w:hAnsi="Times New Roman" w:eastAsia="仿宋_GB2312" w:cs="Wingdings"/>
          <w:sz w:val="32"/>
          <w:szCs w:val="32"/>
        </w:rPr>
        <w:t>3</w:t>
      </w:r>
      <w:r>
        <w:rPr>
          <w:rFonts w:hint="eastAsia" w:ascii="仿宋_GB2312" w:hAnsi="Times New Roman" w:eastAsia="仿宋_GB2312" w:cs="Wingdings"/>
          <w:sz w:val="32"/>
          <w:szCs w:val="32"/>
          <w:lang w:val="en-US" w:eastAsia="zh-CN"/>
        </w:rPr>
        <w:t>6</w:t>
      </w:r>
      <w:r>
        <w:rPr>
          <w:rFonts w:hint="eastAsia" w:ascii="仿宋_GB2312" w:hAnsi="Times New Roman" w:eastAsia="仿宋_GB2312" w:cs="Wingdings"/>
          <w:sz w:val="32"/>
          <w:szCs w:val="32"/>
        </w:rPr>
        <w:t>万元，主要包括基本工资、津贴补贴、奖金、绩效工资、机关事业单位基本养老保险缴费、职业年金缴费、职工基本医疗保险缴费、住房公积金、其他社会保障缴费、其他工资福利支出、退休费、抚恤金、生活补助、奖励金、其他对个人和家庭的补助支出；公用经费</w:t>
      </w:r>
      <w:r>
        <w:rPr>
          <w:rFonts w:hint="eastAsia" w:ascii="仿宋_GB2312" w:hAnsi="Times New Roman" w:eastAsia="仿宋_GB2312" w:cs="Wingdings"/>
          <w:sz w:val="32"/>
          <w:szCs w:val="32"/>
          <w:lang w:val="en-US" w:eastAsia="zh-CN"/>
        </w:rPr>
        <w:t>104.77</w:t>
      </w:r>
      <w:r>
        <w:rPr>
          <w:rFonts w:hint="eastAsia" w:ascii="仿宋_GB2312" w:hAnsi="Times New Roman" w:eastAsia="仿宋_GB2312" w:cs="Wingdings"/>
          <w:sz w:val="32"/>
          <w:szCs w:val="32"/>
        </w:rPr>
        <w:t>万元，主要包括办公费</w:t>
      </w:r>
      <w:r>
        <w:rPr>
          <w:rFonts w:hint="eastAsia" w:ascii="仿宋_GB2312" w:hAnsi="Times New Roman" w:eastAsia="仿宋_GB2312" w:cs="Wingdings"/>
          <w:sz w:val="32"/>
          <w:szCs w:val="32"/>
          <w:lang w:eastAsia="zh-CN"/>
        </w:rPr>
        <w:t>、</w:t>
      </w:r>
      <w:r>
        <w:rPr>
          <w:rFonts w:hint="eastAsia" w:ascii="仿宋_GB2312" w:hAnsi="Times New Roman" w:eastAsia="仿宋_GB2312" w:cs="Wingdings"/>
          <w:sz w:val="32"/>
          <w:szCs w:val="32"/>
        </w:rPr>
        <w:t>邮电费、取暖费、维修（护）费</w:t>
      </w:r>
      <w:r>
        <w:rPr>
          <w:rFonts w:hint="eastAsia" w:ascii="仿宋_GB2312" w:hAnsi="Times New Roman" w:eastAsia="仿宋_GB2312" w:cs="Wingdings"/>
          <w:sz w:val="32"/>
          <w:szCs w:val="32"/>
          <w:lang w:eastAsia="zh-CN"/>
        </w:rPr>
        <w:t>、 劳务费、委托业务费、</w:t>
      </w:r>
      <w:r>
        <w:rPr>
          <w:rFonts w:hint="eastAsia" w:ascii="仿宋_GB2312" w:hAnsi="Times New Roman" w:eastAsia="仿宋_GB2312" w:cs="Wingdings"/>
          <w:sz w:val="32"/>
          <w:szCs w:val="32"/>
        </w:rPr>
        <w:t>公务用车运行维护费、其他交通费用、其他商品和服务支出</w:t>
      </w:r>
      <w:r>
        <w:rPr>
          <w:rFonts w:hint="eastAsia" w:ascii="仿宋_GB2312" w:hAnsi="Times New Roman" w:eastAsia="仿宋_GB2312" w:cs="Wingdings"/>
          <w:sz w:val="32"/>
          <w:szCs w:val="32"/>
          <w:lang w:eastAsia="zh-CN"/>
        </w:rPr>
        <w:t>。</w:t>
      </w:r>
    </w:p>
    <w:p>
      <w:pPr>
        <w:keepNext/>
        <w:keepLines/>
        <w:snapToGrid w:val="0"/>
        <w:spacing w:line="60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五、一般公共预算“三公” 经费支出决算情况说明</w:t>
      </w:r>
    </w:p>
    <w:p>
      <w:pPr>
        <w:adjustRightInd w:val="0"/>
        <w:snapToGrid w:val="0"/>
        <w:spacing w:line="600" w:lineRule="exact"/>
        <w:ind w:firstLine="643" w:firstLine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（一）“三公”经费财政拨款支出决算总体情况说明</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本部门2020年度“三公”经费财政拨款支出预算为</w:t>
      </w:r>
      <w:r>
        <w:rPr>
          <w:rFonts w:hint="eastAsia" w:ascii="仿宋_GB2312" w:hAnsi="Times New Roman" w:eastAsia="仿宋_GB2312" w:cs="Wingdings"/>
          <w:sz w:val="32"/>
          <w:szCs w:val="32"/>
          <w:lang w:val="en-US" w:eastAsia="zh-CN"/>
        </w:rPr>
        <w:t>6.00</w:t>
      </w:r>
      <w:r>
        <w:rPr>
          <w:rFonts w:hint="eastAsia" w:ascii="仿宋_GB2312" w:hAnsi="Times New Roman" w:eastAsia="仿宋_GB2312" w:cs="Wingdings"/>
          <w:sz w:val="32"/>
          <w:szCs w:val="32"/>
        </w:rPr>
        <w:t>万元，支出决算为</w:t>
      </w:r>
      <w:r>
        <w:rPr>
          <w:rFonts w:hint="eastAsia" w:ascii="仿宋_GB2312" w:hAnsi="Times New Roman" w:eastAsia="仿宋_GB2312" w:cs="Wingdings"/>
          <w:sz w:val="32"/>
          <w:szCs w:val="32"/>
          <w:lang w:val="en-US" w:eastAsia="zh-CN"/>
        </w:rPr>
        <w:t>6.00万</w:t>
      </w:r>
      <w:r>
        <w:rPr>
          <w:rFonts w:hint="eastAsia" w:ascii="仿宋_GB2312" w:hAnsi="Times New Roman" w:eastAsia="仿宋_GB2312" w:cs="Wingdings"/>
          <w:sz w:val="32"/>
          <w:szCs w:val="32"/>
        </w:rPr>
        <w:t>元，完成预算的</w:t>
      </w:r>
      <w:r>
        <w:rPr>
          <w:rFonts w:hint="eastAsia" w:ascii="仿宋_GB2312" w:hAnsi="Times New Roman" w:eastAsia="仿宋_GB2312" w:cs="Wingdings"/>
          <w:sz w:val="32"/>
          <w:szCs w:val="32"/>
          <w:lang w:val="en-US" w:eastAsia="zh-CN"/>
        </w:rPr>
        <w:t>100.00</w:t>
      </w:r>
      <w:r>
        <w:rPr>
          <w:rFonts w:hint="eastAsia" w:ascii="仿宋_GB2312" w:hAnsi="Times New Roman" w:eastAsia="仿宋_GB2312" w:cs="Wingdings"/>
          <w:sz w:val="32"/>
          <w:szCs w:val="32"/>
        </w:rPr>
        <w:t>%,较预算增加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万元，增长</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val="en-US" w:eastAsia="zh-CN"/>
        </w:rPr>
        <w:t>2020年防火巡查增多</w:t>
      </w:r>
      <w:r>
        <w:rPr>
          <w:rFonts w:hint="eastAsia" w:ascii="仿宋_GB2312" w:hAnsi="Times New Roman" w:eastAsia="仿宋_GB2312" w:cs="Wingdings"/>
          <w:sz w:val="32"/>
          <w:szCs w:val="32"/>
        </w:rPr>
        <w:t>；较2019年度增加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万元，增长</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val="en-US" w:eastAsia="zh-CN"/>
        </w:rPr>
        <w:t>2020年防火巡查增多</w:t>
      </w:r>
      <w:r>
        <w:rPr>
          <w:rFonts w:hint="eastAsia" w:ascii="仿宋_GB2312" w:hAnsi="Times New Roman" w:eastAsia="仿宋_GB2312" w:cs="Wingdings"/>
          <w:sz w:val="32"/>
          <w:szCs w:val="32"/>
        </w:rPr>
        <w:t>。</w:t>
      </w:r>
    </w:p>
    <w:p>
      <w:pPr>
        <w:adjustRightInd w:val="0"/>
        <w:snapToGrid w:val="0"/>
        <w:spacing w:line="600" w:lineRule="exact"/>
        <w:ind w:firstLine="643" w:firstLine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（二）“三公”经费财政拨款支出决算具体情况说明</w:t>
      </w:r>
    </w:p>
    <w:p>
      <w:pPr>
        <w:adjustRightInd w:val="0"/>
        <w:snapToGrid w:val="0"/>
        <w:spacing w:line="600" w:lineRule="exact"/>
        <w:ind w:firstLine="643" w:firstLineChars="200"/>
        <w:rPr>
          <w:rFonts w:ascii="仿宋_GB2312" w:hAnsi="Times New Roman" w:eastAsia="仿宋_GB2312" w:cs="Wingdings"/>
          <w:sz w:val="32"/>
          <w:szCs w:val="32"/>
        </w:rPr>
      </w:pPr>
      <w:r>
        <w:rPr>
          <w:rFonts w:hint="eastAsia" w:ascii="楷体_GB2312" w:hAnsi="Times New Roman" w:eastAsia="楷体_GB2312" w:cs="Mongolian Baiti"/>
          <w:b/>
          <w:bCs/>
          <w:sz w:val="32"/>
          <w:szCs w:val="32"/>
        </w:rPr>
        <w:t>1.因公出国（境）费</w:t>
      </w:r>
      <w:r>
        <w:rPr>
          <w:rFonts w:hint="eastAsia" w:ascii="楷体_GB2312" w:hAnsi="Times New Roman" w:eastAsia="楷体_GB2312" w:cs="Mongolian Baiti"/>
          <w:b/>
          <w:bCs/>
          <w:sz w:val="32"/>
          <w:szCs w:val="32"/>
          <w:lang w:eastAsia="zh-CN"/>
        </w:rPr>
        <w:t>。</w:t>
      </w:r>
      <w:r>
        <w:rPr>
          <w:rFonts w:hint="eastAsia" w:ascii="仿宋_GB2312" w:hAnsi="仿宋_GB2312" w:eastAsia="仿宋_GB2312" w:cs="仿宋_GB2312"/>
          <w:b w:val="0"/>
          <w:bCs w:val="0"/>
          <w:sz w:val="32"/>
          <w:szCs w:val="32"/>
        </w:rPr>
        <w:t>本部门2020</w:t>
      </w:r>
      <w:r>
        <w:rPr>
          <w:rFonts w:hint="eastAsia" w:ascii="仿宋_GB2312" w:hAnsi="仿宋_GB2312" w:eastAsia="仿宋_GB2312" w:cs="仿宋_GB2312"/>
          <w:b w:val="0"/>
          <w:bCs w:val="0"/>
          <w:sz w:val="32"/>
          <w:szCs w:val="32"/>
          <w:lang w:val="en-US" w:eastAsia="zh-CN"/>
        </w:rPr>
        <w:t>年因公出国（境）费</w:t>
      </w:r>
      <w:r>
        <w:rPr>
          <w:rFonts w:hint="eastAsia" w:ascii="仿宋_GB2312" w:hAnsi="仿宋_GB2312" w:eastAsia="仿宋_GB2312" w:cs="仿宋_GB2312"/>
          <w:b w:val="0"/>
          <w:bCs w:val="0"/>
          <w:sz w:val="32"/>
          <w:szCs w:val="32"/>
        </w:rPr>
        <w:t>支出</w:t>
      </w:r>
      <w:r>
        <w:rPr>
          <w:rFonts w:hint="eastAsia" w:ascii="仿宋_GB2312" w:hAnsi="仿宋_GB2312" w:eastAsia="仿宋_GB2312" w:cs="仿宋_GB2312"/>
          <w:b w:val="0"/>
          <w:bCs w:val="0"/>
          <w:sz w:val="32"/>
          <w:szCs w:val="32"/>
          <w:lang w:val="en-US" w:eastAsia="zh-CN"/>
        </w:rPr>
        <w:t>0</w:t>
      </w:r>
      <w:r>
        <w:rPr>
          <w:rFonts w:hint="eastAsia" w:ascii="仿宋_GB2312" w:hAnsi="仿宋_GB2312" w:eastAsia="仿宋_GB2312" w:cs="仿宋_GB2312"/>
          <w:b w:val="0"/>
          <w:bCs w:val="0"/>
          <w:sz w:val="32"/>
          <w:szCs w:val="32"/>
        </w:rPr>
        <w:t>万元，完成预算的</w:t>
      </w:r>
      <w:r>
        <w:rPr>
          <w:rFonts w:hint="eastAsia" w:ascii="仿宋_GB2312" w:hAnsi="仿宋_GB2312" w:eastAsia="仿宋_GB2312" w:cs="仿宋_GB2312"/>
          <w:b w:val="0"/>
          <w:bCs w:val="0"/>
          <w:sz w:val="32"/>
          <w:szCs w:val="32"/>
          <w:lang w:val="en-US" w:eastAsia="zh-CN"/>
        </w:rPr>
        <w:t>0</w:t>
      </w:r>
      <w:r>
        <w:rPr>
          <w:rFonts w:hint="eastAsia" w:ascii="仿宋_GB2312" w:hAnsi="仿宋_GB2312" w:eastAsia="仿宋_GB2312" w:cs="仿宋_GB2312"/>
          <w:b w:val="0"/>
          <w:bCs w:val="0"/>
          <w:sz w:val="32"/>
          <w:szCs w:val="32"/>
        </w:rPr>
        <w:t>%。</w:t>
      </w:r>
      <w:r>
        <w:rPr>
          <w:rFonts w:hint="eastAsia" w:ascii="仿宋_GB2312" w:hAnsi="Times New Roman" w:eastAsia="仿宋_GB2312" w:cs="Wingdings"/>
          <w:sz w:val="32"/>
          <w:szCs w:val="32"/>
        </w:rPr>
        <w:t>因公出国（境）团组</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个、共</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人、参加其他单位组织的因公出国（境）团组</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个、共</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人/无本单位组织的出国（境）团组。因公出国（境）费支出较预算增加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万元，增长</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val="en-US" w:eastAsia="zh-CN"/>
        </w:rPr>
        <w:t>未发生因公出国（境）费支出</w:t>
      </w:r>
      <w:r>
        <w:rPr>
          <w:rFonts w:hint="eastAsia" w:ascii="仿宋_GB2312" w:hAnsi="Times New Roman" w:eastAsia="仿宋_GB2312" w:cs="Wingdings"/>
          <w:sz w:val="32"/>
          <w:szCs w:val="32"/>
        </w:rPr>
        <w:t>；较上年增加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万元，增长</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val="en-US" w:eastAsia="zh-CN"/>
        </w:rPr>
        <w:t>未发生因公出国（境）费支出</w:t>
      </w:r>
      <w:r>
        <w:rPr>
          <w:rFonts w:hint="eastAsia" w:ascii="仿宋_GB2312" w:hAnsi="Times New Roman" w:eastAsia="仿宋_GB2312" w:cs="Wingdings"/>
          <w:sz w:val="32"/>
          <w:szCs w:val="32"/>
        </w:rPr>
        <w:t>。</w:t>
      </w:r>
    </w:p>
    <w:p>
      <w:pPr>
        <w:adjustRightInd w:val="0"/>
        <w:snapToGrid w:val="0"/>
        <w:spacing w:line="600" w:lineRule="exact"/>
        <w:ind w:firstLine="643" w:firstLineChars="200"/>
        <w:rPr>
          <w:rFonts w:ascii="仿宋_GB2312" w:hAnsi="Times New Roman" w:eastAsia="仿宋_GB2312" w:cs="Mongolian Baiti"/>
          <w:b/>
          <w:bCs/>
          <w:sz w:val="32"/>
          <w:szCs w:val="32"/>
        </w:rPr>
      </w:pPr>
      <w:r>
        <w:rPr>
          <w:rFonts w:hint="eastAsia" w:ascii="楷体_GB2312" w:hAnsi="Times New Roman" w:eastAsia="楷体_GB2312" w:cs="Mongolian Baiti"/>
          <w:b/>
          <w:bCs/>
          <w:sz w:val="32"/>
          <w:szCs w:val="32"/>
        </w:rPr>
        <w:t>2.公务用车购置及运行维护费</w:t>
      </w:r>
      <w:r>
        <w:rPr>
          <w:rFonts w:hint="eastAsia" w:ascii="楷体_GB2312" w:hAnsi="Times New Roman" w:eastAsia="楷体_GB2312" w:cs="Mongolian Baiti"/>
          <w:b/>
          <w:bCs/>
          <w:sz w:val="32"/>
          <w:szCs w:val="32"/>
          <w:lang w:eastAsia="zh-CN"/>
        </w:rPr>
        <w:t>。</w:t>
      </w:r>
      <w:r>
        <w:rPr>
          <w:rFonts w:hint="eastAsia" w:ascii="仿宋_GB2312" w:hAnsi="仿宋_GB2312" w:eastAsia="仿宋_GB2312" w:cs="仿宋_GB2312"/>
          <w:b w:val="0"/>
          <w:bCs w:val="0"/>
          <w:sz w:val="32"/>
          <w:szCs w:val="32"/>
          <w:lang w:eastAsia="zh-CN"/>
        </w:rPr>
        <w:t>本部门2020</w:t>
      </w:r>
      <w:r>
        <w:rPr>
          <w:rFonts w:hint="eastAsia" w:ascii="仿宋_GB2312" w:hAnsi="仿宋_GB2312" w:eastAsia="仿宋_GB2312" w:cs="仿宋_GB2312"/>
          <w:b w:val="0"/>
          <w:bCs w:val="0"/>
          <w:sz w:val="32"/>
          <w:szCs w:val="32"/>
          <w:lang w:val="en-US" w:eastAsia="zh-CN"/>
        </w:rPr>
        <w:t>年</w:t>
      </w:r>
      <w:r>
        <w:rPr>
          <w:rFonts w:hint="eastAsia" w:ascii="仿宋_GB2312" w:hAnsi="仿宋_GB2312" w:eastAsia="仿宋_GB2312" w:cs="仿宋_GB2312"/>
          <w:b w:val="0"/>
          <w:bCs w:val="0"/>
          <w:sz w:val="32"/>
          <w:szCs w:val="32"/>
        </w:rPr>
        <w:t>公务用车购置及运行维护费</w:t>
      </w:r>
      <w:r>
        <w:rPr>
          <w:rFonts w:hint="eastAsia" w:ascii="仿宋_GB2312" w:hAnsi="仿宋_GB2312" w:eastAsia="仿宋_GB2312" w:cs="仿宋_GB2312"/>
          <w:b w:val="0"/>
          <w:bCs w:val="0"/>
          <w:sz w:val="32"/>
          <w:szCs w:val="32"/>
          <w:lang w:eastAsia="zh-CN"/>
        </w:rPr>
        <w:t>支出</w:t>
      </w:r>
      <w:r>
        <w:rPr>
          <w:rFonts w:hint="eastAsia" w:ascii="仿宋_GB2312" w:hAnsi="仿宋_GB2312" w:eastAsia="仿宋_GB2312" w:cs="仿宋_GB2312"/>
          <w:b w:val="0"/>
          <w:bCs w:val="0"/>
          <w:sz w:val="32"/>
          <w:szCs w:val="32"/>
          <w:lang w:val="en-US" w:eastAsia="zh-CN"/>
        </w:rPr>
        <w:t>6.00</w:t>
      </w:r>
      <w:r>
        <w:rPr>
          <w:rFonts w:hint="eastAsia" w:ascii="仿宋_GB2312" w:hAnsi="仿宋_GB2312" w:eastAsia="仿宋_GB2312" w:cs="仿宋_GB2312"/>
          <w:b w:val="0"/>
          <w:bCs w:val="0"/>
          <w:sz w:val="32"/>
          <w:szCs w:val="32"/>
          <w:lang w:eastAsia="zh-CN"/>
        </w:rPr>
        <w:t>万元，完成预算的</w:t>
      </w:r>
      <w:r>
        <w:rPr>
          <w:rFonts w:hint="eastAsia" w:ascii="仿宋_GB2312" w:hAnsi="仿宋_GB2312" w:eastAsia="仿宋_GB2312" w:cs="仿宋_GB2312"/>
          <w:b w:val="0"/>
          <w:bCs w:val="0"/>
          <w:sz w:val="32"/>
          <w:szCs w:val="32"/>
          <w:lang w:val="en-US" w:eastAsia="zh-CN"/>
        </w:rPr>
        <w:t>100.00</w:t>
      </w:r>
      <w:r>
        <w:rPr>
          <w:rFonts w:hint="eastAsia" w:ascii="仿宋_GB2312" w:hAnsi="仿宋_GB2312" w:eastAsia="仿宋_GB2312" w:cs="仿宋_GB2312"/>
          <w:b w:val="0"/>
          <w:bCs w:val="0"/>
          <w:sz w:val="32"/>
          <w:szCs w:val="32"/>
          <w:lang w:eastAsia="zh-CN"/>
        </w:rPr>
        <w:t>%，</w:t>
      </w:r>
      <w:r>
        <w:rPr>
          <w:rFonts w:hint="eastAsia" w:ascii="仿宋_GB2312" w:hAnsi="Times New Roman" w:eastAsia="仿宋_GB2312" w:cs="Wingdings"/>
          <w:sz w:val="32"/>
          <w:szCs w:val="32"/>
        </w:rPr>
        <w:t>较预算减少</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万元，降低</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val="en-US" w:eastAsia="zh-CN"/>
        </w:rPr>
        <w:t>2020年防火巡查增多</w:t>
      </w:r>
      <w:r>
        <w:rPr>
          <w:rFonts w:hint="eastAsia" w:ascii="仿宋_GB2312" w:hAnsi="Times New Roman" w:eastAsia="仿宋_GB2312" w:cs="Wingdings"/>
          <w:sz w:val="32"/>
          <w:szCs w:val="32"/>
        </w:rPr>
        <w:t>；较上年减少</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万元，降低</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val="en-US" w:eastAsia="zh-CN"/>
        </w:rPr>
        <w:t>2020年防火巡查增多</w:t>
      </w:r>
      <w:r>
        <w:rPr>
          <w:rFonts w:hint="eastAsia" w:ascii="仿宋_GB2312" w:hAnsi="Times New Roman" w:eastAsia="仿宋_GB2312" w:cs="Wingdings"/>
          <w:sz w:val="32"/>
          <w:szCs w:val="32"/>
        </w:rPr>
        <w:t>。</w:t>
      </w:r>
      <w:r>
        <w:rPr>
          <w:rFonts w:hint="eastAsia" w:ascii="仿宋_GB2312" w:hAnsi="Times New Roman" w:eastAsia="仿宋_GB2312" w:cs="Mongolian Baiti"/>
          <w:b/>
          <w:bCs/>
          <w:sz w:val="32"/>
          <w:szCs w:val="32"/>
        </w:rPr>
        <w:t>其中：</w:t>
      </w:r>
    </w:p>
    <w:p>
      <w:pPr>
        <w:adjustRightInd w:val="0"/>
        <w:snapToGrid w:val="0"/>
        <w:spacing w:line="600" w:lineRule="exact"/>
        <w:ind w:firstLine="643" w:firstLineChars="200"/>
        <w:rPr>
          <w:rFonts w:ascii="仿宋_GB2312" w:hAnsi="Times New Roman" w:eastAsia="仿宋_GB2312" w:cs="Wingdings"/>
          <w:sz w:val="32"/>
          <w:szCs w:val="32"/>
        </w:rPr>
      </w:pPr>
      <w:r>
        <w:rPr>
          <w:rFonts w:hint="eastAsia" w:ascii="仿宋_GB2312" w:hAnsi="Times New Roman" w:eastAsia="仿宋_GB2312" w:cs="Wingdings"/>
          <w:b/>
          <w:sz w:val="32"/>
          <w:szCs w:val="32"/>
        </w:rPr>
        <w:t>公务用车购置费支出：</w:t>
      </w:r>
      <w:r>
        <w:rPr>
          <w:rFonts w:hint="eastAsia" w:ascii="仿宋_GB2312" w:hAnsi="Times New Roman" w:eastAsia="仿宋_GB2312" w:cs="Wingdings"/>
          <w:sz w:val="32"/>
          <w:szCs w:val="32"/>
        </w:rPr>
        <w:t>本部门2020年度公务用车购置量</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辆，发生“公务用车购置”经费支出</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万元。公务用车购置费支出较预算增加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万元，增长</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val="en-US" w:eastAsia="zh-CN"/>
        </w:rPr>
        <w:t>未发生公务用车购置经费支出</w:t>
      </w:r>
      <w:r>
        <w:rPr>
          <w:rFonts w:hint="eastAsia" w:ascii="仿宋_GB2312" w:hAnsi="Times New Roman" w:eastAsia="仿宋_GB2312" w:cs="Wingdings"/>
          <w:sz w:val="32"/>
          <w:szCs w:val="32"/>
        </w:rPr>
        <w:t>；较上年增加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万元，增长</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val="en-US" w:eastAsia="zh-CN"/>
        </w:rPr>
        <w:t>未发生公务用车购置经费支出</w:t>
      </w:r>
      <w:r>
        <w:rPr>
          <w:rFonts w:hint="eastAsia" w:ascii="仿宋_GB2312" w:hAnsi="Times New Roman" w:eastAsia="仿宋_GB2312" w:cs="Wingdings"/>
          <w:sz w:val="32"/>
          <w:szCs w:val="32"/>
        </w:rPr>
        <w:t>。</w:t>
      </w:r>
    </w:p>
    <w:p>
      <w:pPr>
        <w:adjustRightInd w:val="0"/>
        <w:snapToGrid w:val="0"/>
        <w:spacing w:line="600" w:lineRule="exact"/>
        <w:ind w:firstLine="643" w:firstLineChars="200"/>
        <w:rPr>
          <w:rFonts w:ascii="仿宋_GB2312" w:hAnsi="Times New Roman" w:eastAsia="仿宋_GB2312" w:cs="Wingdings"/>
          <w:sz w:val="32"/>
          <w:szCs w:val="32"/>
        </w:rPr>
      </w:pPr>
      <w:r>
        <w:rPr>
          <w:rFonts w:hint="eastAsia" w:ascii="仿宋_GB2312" w:hAnsi="Times New Roman" w:eastAsia="仿宋_GB2312" w:cs="Wingdings"/>
          <w:b/>
          <w:sz w:val="32"/>
          <w:szCs w:val="32"/>
        </w:rPr>
        <w:t>公务用车运行维护费支出：</w:t>
      </w:r>
      <w:r>
        <w:rPr>
          <w:rFonts w:hint="eastAsia" w:ascii="仿宋_GB2312" w:hAnsi="Times New Roman" w:eastAsia="仿宋_GB2312" w:cs="Wingdings"/>
          <w:sz w:val="32"/>
          <w:szCs w:val="32"/>
        </w:rPr>
        <w:t>本部门2020年度单位公务用车保有量</w:t>
      </w:r>
      <w:r>
        <w:rPr>
          <w:rFonts w:hint="eastAsia" w:ascii="仿宋_GB2312" w:hAnsi="Times New Roman" w:eastAsia="仿宋_GB2312" w:cs="Wingdings"/>
          <w:sz w:val="32"/>
          <w:szCs w:val="32"/>
          <w:lang w:val="en-US" w:eastAsia="zh-CN"/>
        </w:rPr>
        <w:t>2</w:t>
      </w:r>
      <w:r>
        <w:rPr>
          <w:rFonts w:hint="eastAsia" w:ascii="仿宋_GB2312" w:hAnsi="Times New Roman" w:eastAsia="仿宋_GB2312" w:cs="Wingdings"/>
          <w:sz w:val="32"/>
          <w:szCs w:val="32"/>
        </w:rPr>
        <w:t>辆</w:t>
      </w:r>
      <w:r>
        <w:rPr>
          <w:rFonts w:hint="eastAsia" w:ascii="仿宋_GB2312" w:hAnsi="Times New Roman" w:eastAsia="仿宋_GB2312" w:cs="Wingdings"/>
          <w:sz w:val="32"/>
          <w:szCs w:val="32"/>
          <w:lang w:val="en-US" w:eastAsia="zh-CN"/>
        </w:rPr>
        <w:t>,发生运行维护费支出6.00万元</w:t>
      </w:r>
      <w:r>
        <w:rPr>
          <w:rFonts w:hint="eastAsia" w:ascii="仿宋_GB2312" w:hAnsi="Times New Roman" w:eastAsia="仿宋_GB2312" w:cs="Wingdings"/>
          <w:sz w:val="32"/>
          <w:szCs w:val="32"/>
        </w:rPr>
        <w:t>。公车运行维护费支出较预算增加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万元，增长</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val="en-US" w:eastAsia="zh-CN"/>
        </w:rPr>
        <w:t>2020年防火巡查增多</w:t>
      </w:r>
      <w:r>
        <w:rPr>
          <w:rFonts w:hint="eastAsia" w:ascii="仿宋_GB2312" w:hAnsi="Times New Roman" w:eastAsia="仿宋_GB2312" w:cs="Wingdings"/>
          <w:sz w:val="32"/>
          <w:szCs w:val="32"/>
        </w:rPr>
        <w:t>；较上年增加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万元，增长</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val="en-US" w:eastAsia="zh-CN"/>
        </w:rPr>
        <w:t>2020年公车防火巡查增多</w:t>
      </w:r>
      <w:r>
        <w:rPr>
          <w:rFonts w:hint="eastAsia" w:ascii="仿宋_GB2312" w:hAnsi="Times New Roman" w:eastAsia="仿宋_GB2312" w:cs="Wingdings"/>
          <w:sz w:val="32"/>
          <w:szCs w:val="32"/>
        </w:rPr>
        <w:t>。</w:t>
      </w:r>
    </w:p>
    <w:p>
      <w:pPr>
        <w:adjustRightInd w:val="0"/>
        <w:snapToGrid w:val="0"/>
        <w:spacing w:line="600" w:lineRule="exact"/>
        <w:ind w:firstLine="643" w:firstLineChars="200"/>
        <w:rPr>
          <w:rFonts w:ascii="仿宋_GB2312" w:hAnsi="Times New Roman" w:eastAsia="仿宋_GB2312" w:cs="Wingdings"/>
          <w:sz w:val="32"/>
          <w:szCs w:val="32"/>
        </w:rPr>
      </w:pPr>
      <w:r>
        <w:rPr>
          <w:rFonts w:hint="eastAsia" w:ascii="楷体_GB2312" w:hAnsi="Times New Roman" w:eastAsia="楷体_GB2312" w:cs="Mongolian Baiti"/>
          <w:b/>
          <w:bCs/>
          <w:sz w:val="32"/>
          <w:szCs w:val="32"/>
        </w:rPr>
        <w:t>3.公务接待费</w:t>
      </w:r>
      <w:r>
        <w:rPr>
          <w:rFonts w:hint="eastAsia" w:ascii="楷体_GB2312" w:hAnsi="Times New Roman" w:eastAsia="楷体_GB2312" w:cs="Mongolian Baiti"/>
          <w:b/>
          <w:bCs/>
          <w:sz w:val="32"/>
          <w:szCs w:val="32"/>
          <w:lang w:eastAsia="zh-CN"/>
        </w:rPr>
        <w:t>。</w:t>
      </w:r>
      <w:r>
        <w:rPr>
          <w:rFonts w:hint="eastAsia" w:ascii="仿宋_GB2312" w:hAnsi="仿宋_GB2312" w:eastAsia="仿宋_GB2312" w:cs="仿宋_GB2312"/>
          <w:b w:val="0"/>
          <w:bCs w:val="0"/>
          <w:sz w:val="32"/>
          <w:szCs w:val="32"/>
        </w:rPr>
        <w:t>本部门2020年公务用车购置及运行维护费支出</w:t>
      </w:r>
      <w:r>
        <w:rPr>
          <w:rFonts w:hint="eastAsia" w:ascii="仿宋_GB2312" w:hAnsi="仿宋_GB2312" w:eastAsia="仿宋_GB2312" w:cs="仿宋_GB2312"/>
          <w:b w:val="0"/>
          <w:bCs w:val="0"/>
          <w:sz w:val="32"/>
          <w:szCs w:val="32"/>
          <w:lang w:val="en-US" w:eastAsia="zh-CN"/>
        </w:rPr>
        <w:t>0</w:t>
      </w:r>
      <w:r>
        <w:rPr>
          <w:rFonts w:hint="eastAsia" w:ascii="仿宋_GB2312" w:hAnsi="仿宋_GB2312" w:eastAsia="仿宋_GB2312" w:cs="仿宋_GB2312"/>
          <w:b w:val="0"/>
          <w:bCs w:val="0"/>
          <w:sz w:val="32"/>
          <w:szCs w:val="32"/>
        </w:rPr>
        <w:t>万元，完成预算的</w:t>
      </w:r>
      <w:r>
        <w:rPr>
          <w:rFonts w:hint="eastAsia" w:ascii="仿宋_GB2312" w:hAnsi="仿宋_GB2312" w:eastAsia="仿宋_GB2312" w:cs="仿宋_GB2312"/>
          <w:b w:val="0"/>
          <w:bCs w:val="0"/>
          <w:sz w:val="32"/>
          <w:szCs w:val="32"/>
          <w:lang w:val="en-US" w:eastAsia="zh-CN"/>
        </w:rPr>
        <w:t>0</w:t>
      </w:r>
      <w:r>
        <w:rPr>
          <w:rFonts w:hint="eastAsia" w:ascii="仿宋_GB2312" w:hAnsi="仿宋_GB2312" w:eastAsia="仿宋_GB2312" w:cs="仿宋_GB2312"/>
          <w:b w:val="0"/>
          <w:bCs w:val="0"/>
          <w:sz w:val="32"/>
          <w:szCs w:val="32"/>
        </w:rPr>
        <w:t>%</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lang w:val="en-US" w:eastAsia="zh-CN"/>
        </w:rPr>
        <w:t>发生</w:t>
      </w:r>
      <w:r>
        <w:rPr>
          <w:rFonts w:hint="eastAsia" w:ascii="仿宋_GB2312" w:hAnsi="Times New Roman" w:eastAsia="仿宋_GB2312" w:cs="Wingdings"/>
          <w:sz w:val="32"/>
          <w:szCs w:val="32"/>
        </w:rPr>
        <w:t>公务接待共</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批次、</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人次。公务接待费支出较预算减少</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万元，降低</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val="en-US" w:eastAsia="zh-CN"/>
        </w:rPr>
        <w:t>未发生“公务接待费”支出</w:t>
      </w:r>
      <w:r>
        <w:rPr>
          <w:rFonts w:hint="eastAsia" w:ascii="仿宋_GB2312" w:hAnsi="Times New Roman" w:eastAsia="仿宋_GB2312" w:cs="Wingdings"/>
          <w:sz w:val="32"/>
          <w:szCs w:val="32"/>
        </w:rPr>
        <w:t>；较上年度减少</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万元，降低</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val="en-US" w:eastAsia="zh-CN"/>
        </w:rPr>
        <w:t>未发生“公务接待费”支出</w:t>
      </w:r>
      <w:r>
        <w:rPr>
          <w:rFonts w:hint="eastAsia" w:ascii="仿宋_GB2312" w:hAnsi="Times New Roman" w:eastAsia="仿宋_GB2312" w:cs="Wingdings"/>
          <w:sz w:val="32"/>
          <w:szCs w:val="32"/>
        </w:rPr>
        <w:t>。</w:t>
      </w:r>
    </w:p>
    <w:p>
      <w:pPr>
        <w:adjustRightInd w:val="0"/>
        <w:snapToGrid w:val="0"/>
        <w:spacing w:line="600" w:lineRule="exact"/>
        <w:ind w:firstLine="640" w:firstLineChars="200"/>
        <w:rPr>
          <w:rFonts w:ascii="黑体" w:hAnsi="Times New Roman" w:eastAsia="黑体" w:cs="Times New Roman"/>
          <w:sz w:val="32"/>
          <w:szCs w:val="40"/>
        </w:rPr>
      </w:pPr>
      <w:r>
        <w:rPr>
          <w:rFonts w:hint="eastAsia" w:ascii="黑体" w:hAnsi="Times New Roman" w:eastAsia="黑体" w:cs="Times New Roman"/>
          <w:sz w:val="32"/>
          <w:szCs w:val="40"/>
        </w:rPr>
        <w:t>六、预算绩效情况说明</w:t>
      </w:r>
    </w:p>
    <w:p>
      <w:pPr>
        <w:adjustRightInd w:val="0"/>
        <w:snapToGrid w:val="0"/>
        <w:spacing w:line="600" w:lineRule="exact"/>
        <w:ind w:firstLine="643" w:firstLineChars="200"/>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（一）预算绩效管理工作开展情况。</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根据预算绩效管理要求，本部门组织对2020年度项目支出全面开展绩效自评，其中，一般公共预算</w:t>
      </w:r>
      <w:r>
        <w:rPr>
          <w:rFonts w:hint="eastAsia" w:ascii="仿宋_GB2312" w:hAnsi="仿宋_GB2312" w:eastAsia="仿宋_GB2312" w:cs="仿宋_GB2312"/>
          <w:sz w:val="32"/>
          <w:szCs w:val="32"/>
          <w:lang w:val="en-US" w:eastAsia="zh-CN"/>
        </w:rPr>
        <w:t>二</w:t>
      </w:r>
      <w:r>
        <w:rPr>
          <w:rFonts w:hint="eastAsia" w:ascii="仿宋_GB2312" w:hAnsi="仿宋_GB2312" w:eastAsia="仿宋_GB2312" w:cs="仿宋_GB2312"/>
          <w:sz w:val="32"/>
          <w:szCs w:val="32"/>
        </w:rPr>
        <w:t>级项目</w:t>
      </w:r>
      <w:r>
        <w:rPr>
          <w:rFonts w:hint="eastAsia" w:ascii="仿宋_GB2312" w:hAnsi="仿宋_GB2312" w:eastAsia="仿宋_GB2312" w:cs="仿宋_GB2312"/>
          <w:sz w:val="32"/>
          <w:szCs w:val="32"/>
          <w:lang w:val="en-US" w:eastAsia="zh-CN"/>
        </w:rPr>
        <w:t>16</w:t>
      </w:r>
      <w:r>
        <w:rPr>
          <w:rFonts w:hint="eastAsia" w:ascii="仿宋_GB2312" w:hAnsi="仿宋_GB2312" w:eastAsia="仿宋_GB2312" w:cs="仿宋_GB2312"/>
          <w:sz w:val="32"/>
          <w:szCs w:val="32"/>
        </w:rPr>
        <w:t>个，共涉及资金</w:t>
      </w:r>
      <w:r>
        <w:rPr>
          <w:rFonts w:hint="eastAsia" w:ascii="仿宋_GB2312" w:hAnsi="仿宋_GB2312" w:eastAsia="仿宋_GB2312" w:cs="仿宋_GB2312"/>
          <w:sz w:val="32"/>
          <w:szCs w:val="32"/>
          <w:lang w:val="en-US" w:eastAsia="zh-CN"/>
        </w:rPr>
        <w:t>482.09</w:t>
      </w:r>
      <w:r>
        <w:rPr>
          <w:rFonts w:hint="eastAsia" w:ascii="仿宋_GB2312" w:hAnsi="仿宋_GB2312" w:eastAsia="仿宋_GB2312" w:cs="仿宋_GB2312"/>
          <w:sz w:val="32"/>
          <w:szCs w:val="32"/>
        </w:rPr>
        <w:t>万元，占一般公共预算项目支出总额的</w:t>
      </w:r>
      <w:r>
        <w:rPr>
          <w:rFonts w:hint="eastAsia" w:ascii="仿宋_GB2312" w:hAnsi="仿宋_GB2312" w:eastAsia="仿宋_GB2312" w:cs="仿宋_GB2312"/>
          <w:sz w:val="32"/>
          <w:szCs w:val="32"/>
          <w:lang w:val="en-US" w:eastAsia="zh-CN"/>
        </w:rPr>
        <w:t>100.00%</w:t>
      </w:r>
      <w:r>
        <w:rPr>
          <w:rFonts w:hint="eastAsia" w:ascii="仿宋_GB2312" w:hAnsi="仿宋_GB2312" w:eastAsia="仿宋_GB2312" w:cs="仿宋_GB2312"/>
          <w:sz w:val="32"/>
          <w:szCs w:val="32"/>
        </w:rPr>
        <w:t>；政府性基金预算</w:t>
      </w:r>
      <w:r>
        <w:rPr>
          <w:rFonts w:hint="eastAsia" w:ascii="仿宋_GB2312" w:hAnsi="仿宋_GB2312" w:eastAsia="仿宋_GB2312" w:cs="仿宋_GB2312"/>
          <w:sz w:val="32"/>
          <w:szCs w:val="32"/>
          <w:lang w:val="en-US" w:eastAsia="zh-CN"/>
        </w:rPr>
        <w:t>二</w:t>
      </w:r>
      <w:r>
        <w:rPr>
          <w:rFonts w:hint="eastAsia" w:ascii="仿宋_GB2312" w:hAnsi="仿宋_GB2312" w:eastAsia="仿宋_GB2312" w:cs="仿宋_GB2312"/>
          <w:sz w:val="32"/>
          <w:szCs w:val="32"/>
        </w:rPr>
        <w:t>级项目</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个，共涉及资金</w:t>
      </w:r>
      <w:r>
        <w:rPr>
          <w:rFonts w:hint="eastAsia" w:ascii="仿宋_GB2312" w:hAnsi="仿宋_GB2312" w:eastAsia="仿宋_GB2312" w:cs="仿宋_GB2312"/>
          <w:sz w:val="32"/>
          <w:szCs w:val="32"/>
          <w:lang w:val="en-US" w:eastAsia="zh-CN"/>
        </w:rPr>
        <w:t>53.76</w:t>
      </w:r>
      <w:r>
        <w:rPr>
          <w:rFonts w:hint="eastAsia" w:ascii="仿宋_GB2312" w:hAnsi="仿宋_GB2312" w:eastAsia="仿宋_GB2312" w:cs="仿宋_GB2312"/>
          <w:sz w:val="32"/>
          <w:szCs w:val="32"/>
        </w:rPr>
        <w:t>万元，占政府性基金预算项目支出总额的</w:t>
      </w:r>
      <w:r>
        <w:rPr>
          <w:rFonts w:hint="eastAsia" w:ascii="仿宋_GB2312" w:hAnsi="仿宋_GB2312" w:eastAsia="仿宋_GB2312" w:cs="仿宋_GB2312"/>
          <w:sz w:val="32"/>
          <w:szCs w:val="32"/>
          <w:lang w:val="en-US" w:eastAsia="zh-CN"/>
        </w:rPr>
        <w:t>100.00%</w:t>
      </w:r>
      <w:r>
        <w:rPr>
          <w:rFonts w:hint="eastAsia" w:ascii="仿宋_GB2312" w:hAnsi="仿宋_GB2312" w:eastAsia="仿宋_GB2312" w:cs="仿宋_GB2312"/>
          <w:sz w:val="32"/>
          <w:szCs w:val="32"/>
        </w:rPr>
        <w:t>。</w:t>
      </w:r>
    </w:p>
    <w:p>
      <w:pPr>
        <w:adjustRightInd w:val="0"/>
        <w:snapToGrid w:val="0"/>
        <w:spacing w:line="600" w:lineRule="exact"/>
        <w:ind w:firstLine="640" w:firstLineChars="200"/>
        <w:rPr>
          <w:rFonts w:ascii="仿宋_GB2312" w:hAnsi="仿宋_GB2312" w:eastAsia="仿宋_GB2312" w:cs="仿宋_GB2312"/>
          <w:sz w:val="32"/>
          <w:szCs w:val="32"/>
          <w:highlight w:val="yellow"/>
        </w:rPr>
      </w:pPr>
      <w:r>
        <w:rPr>
          <w:rFonts w:hint="eastAsia" w:ascii="仿宋_GB2312" w:hAnsi="仿宋_GB2312" w:eastAsia="仿宋_GB2312" w:cs="仿宋_GB2312"/>
          <w:sz w:val="32"/>
          <w:szCs w:val="32"/>
        </w:rPr>
        <w:t>组织对“</w:t>
      </w:r>
      <w:r>
        <w:rPr>
          <w:rFonts w:hint="eastAsia" w:ascii="仿宋_GB2312" w:hAnsi="仿宋_GB2312" w:eastAsia="仿宋_GB2312" w:cs="仿宋_GB2312"/>
          <w:sz w:val="32"/>
          <w:szCs w:val="32"/>
          <w:lang w:val="en-US" w:eastAsia="zh-CN"/>
        </w:rPr>
        <w:t>村干部基础职务补贴</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二</w:t>
      </w:r>
      <w:r>
        <w:rPr>
          <w:rFonts w:hint="eastAsia" w:ascii="仿宋_GB2312" w:hAnsi="仿宋_GB2312" w:eastAsia="仿宋_GB2312" w:cs="仿宋_GB2312"/>
          <w:sz w:val="32"/>
          <w:szCs w:val="32"/>
        </w:rPr>
        <w:t>级项目开展了部门评价，涉及一般公共预算支出</w:t>
      </w:r>
      <w:r>
        <w:rPr>
          <w:rFonts w:hint="eastAsia" w:ascii="仿宋_GB2312" w:hAnsi="仿宋_GB2312" w:eastAsia="仿宋_GB2312" w:cs="仿宋_GB2312"/>
          <w:sz w:val="32"/>
          <w:szCs w:val="32"/>
          <w:lang w:val="en-US" w:eastAsia="zh-CN"/>
        </w:rPr>
        <w:t>59.93</w:t>
      </w:r>
      <w:r>
        <w:rPr>
          <w:rFonts w:hint="eastAsia" w:ascii="仿宋_GB2312" w:hAnsi="仿宋_GB2312" w:eastAsia="仿宋_GB2312" w:cs="仿宋_GB2312"/>
          <w:sz w:val="32"/>
          <w:szCs w:val="32"/>
        </w:rPr>
        <w:t>万元，政府性基金预算支出</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万元。其中，对“</w:t>
      </w:r>
      <w:r>
        <w:rPr>
          <w:rFonts w:hint="eastAsia" w:ascii="仿宋_GB2312" w:hAnsi="仿宋_GB2312" w:eastAsia="仿宋_GB2312" w:cs="仿宋_GB2312"/>
          <w:sz w:val="32"/>
          <w:szCs w:val="32"/>
          <w:lang w:val="en-US" w:eastAsia="zh-CN"/>
        </w:rPr>
        <w:t>村干部基础职务补贴</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于家庄</w:t>
      </w:r>
      <w:r>
        <w:rPr>
          <w:rFonts w:hint="eastAsia" w:ascii="仿宋_GB2312" w:hAnsi="仿宋_GB2312" w:eastAsia="仿宋_GB2312" w:cs="仿宋_GB2312"/>
          <w:sz w:val="32"/>
          <w:szCs w:val="32"/>
          <w:lang w:eastAsia="zh-CN"/>
        </w:rPr>
        <w:t>镇</w:t>
      </w:r>
      <w:r>
        <w:rPr>
          <w:rFonts w:hint="eastAsia" w:ascii="仿宋_GB2312" w:hAnsi="仿宋_GB2312" w:eastAsia="仿宋_GB2312" w:cs="仿宋_GB2312"/>
          <w:sz w:val="32"/>
          <w:szCs w:val="32"/>
        </w:rPr>
        <w:t>防控经费”等项目分别委托</w:t>
      </w:r>
      <w:r>
        <w:rPr>
          <w:rFonts w:hint="eastAsia" w:ascii="仿宋_GB2312" w:hAnsi="仿宋_GB2312" w:eastAsia="仿宋_GB2312" w:cs="仿宋_GB2312"/>
          <w:sz w:val="32"/>
          <w:szCs w:val="32"/>
          <w:lang w:val="en-US" w:eastAsia="zh-CN"/>
        </w:rPr>
        <w:t>单位内控</w:t>
      </w:r>
      <w:r>
        <w:rPr>
          <w:rFonts w:hint="eastAsia" w:ascii="仿宋_GB2312" w:hAnsi="仿宋_GB2312" w:eastAsia="仿宋_GB2312" w:cs="仿宋_GB2312"/>
          <w:sz w:val="32"/>
          <w:szCs w:val="32"/>
        </w:rPr>
        <w:t>机构开展绩效评价。从评价情况来看，本部门对</w:t>
      </w:r>
      <w:r>
        <w:rPr>
          <w:rFonts w:hint="eastAsia" w:ascii="仿宋_GB2312" w:hAnsi="仿宋_GB2312" w:eastAsia="仿宋_GB2312" w:cs="仿宋_GB2312"/>
          <w:sz w:val="32"/>
          <w:szCs w:val="32"/>
          <w:lang w:val="en-US" w:eastAsia="zh-CN"/>
        </w:rPr>
        <w:t>18</w:t>
      </w:r>
      <w:r>
        <w:rPr>
          <w:rFonts w:hint="eastAsia" w:ascii="仿宋_GB2312" w:hAnsi="仿宋_GB2312" w:eastAsia="仿宋_GB2312" w:cs="仿宋_GB2312"/>
          <w:sz w:val="32"/>
          <w:szCs w:val="32"/>
        </w:rPr>
        <w:t>个项目均能按时、按质、按量对资金予以作用及发放到位。</w:t>
      </w:r>
    </w:p>
    <w:p>
      <w:pPr>
        <w:adjustRightInd w:val="0"/>
        <w:snapToGrid w:val="0"/>
        <w:spacing w:line="600" w:lineRule="exact"/>
        <w:ind w:firstLine="643" w:firstLineChars="200"/>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（二） 部门决算中项目绩效自评结果。</w:t>
      </w:r>
    </w:p>
    <w:p>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本部门在今年部门决算公开中反映</w:t>
      </w:r>
      <w:r>
        <w:rPr>
          <w:rFonts w:hint="eastAsia" w:ascii="仿宋_GB2312" w:hAnsi="仿宋_GB2312" w:eastAsia="仿宋_GB2312" w:cs="仿宋_GB2312"/>
          <w:sz w:val="32"/>
          <w:szCs w:val="32"/>
          <w:lang w:val="en-US" w:eastAsia="zh-CN"/>
        </w:rPr>
        <w:t>一般公共预算</w:t>
      </w:r>
      <w:r>
        <w:rPr>
          <w:rFonts w:hint="eastAsia" w:ascii="仿宋_GB2312" w:hAnsi="仿宋_GB2312" w:eastAsia="仿宋_GB2312" w:cs="仿宋_GB2312"/>
          <w:sz w:val="32"/>
          <w:szCs w:val="32"/>
        </w:rPr>
        <w:t>项目及</w:t>
      </w:r>
      <w:r>
        <w:rPr>
          <w:rFonts w:hint="eastAsia" w:ascii="仿宋_GB2312" w:hAnsi="仿宋_GB2312" w:eastAsia="仿宋_GB2312" w:cs="仿宋_GB2312"/>
          <w:sz w:val="32"/>
          <w:szCs w:val="32"/>
          <w:lang w:val="en-US" w:eastAsia="zh-CN"/>
        </w:rPr>
        <w:t>政府性基金预算</w:t>
      </w:r>
      <w:r>
        <w:rPr>
          <w:rFonts w:hint="eastAsia" w:ascii="仿宋_GB2312" w:hAnsi="仿宋_GB2312" w:eastAsia="仿宋_GB2312" w:cs="仿宋_GB2312"/>
          <w:sz w:val="32"/>
          <w:szCs w:val="32"/>
        </w:rPr>
        <w:t>项目等</w:t>
      </w:r>
      <w:r>
        <w:rPr>
          <w:rFonts w:hint="eastAsia" w:ascii="仿宋_GB2312" w:hAnsi="仿宋_GB2312" w:eastAsia="仿宋_GB2312" w:cs="仿宋_GB2312"/>
          <w:sz w:val="32"/>
          <w:szCs w:val="32"/>
          <w:lang w:val="en-US" w:eastAsia="zh-CN"/>
        </w:rPr>
        <w:t>18</w:t>
      </w:r>
      <w:r>
        <w:rPr>
          <w:rFonts w:hint="eastAsia" w:ascii="仿宋_GB2312" w:hAnsi="仿宋_GB2312" w:eastAsia="仿宋_GB2312" w:cs="仿宋_GB2312"/>
          <w:sz w:val="32"/>
          <w:szCs w:val="32"/>
        </w:rPr>
        <w:t>个项目绩效自评结果。</w:t>
      </w:r>
    </w:p>
    <w:p>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下达2019市级乡村振兴资金</w:t>
      </w:r>
      <w:r>
        <w:rPr>
          <w:rFonts w:hint="eastAsia" w:ascii="仿宋_GB2312" w:hAnsi="仿宋_GB2312" w:eastAsia="仿宋_GB2312" w:cs="仿宋_GB2312"/>
          <w:sz w:val="32"/>
          <w:szCs w:val="32"/>
        </w:rPr>
        <w:t>”项目自评综述：根据年初设定的绩效目标，“</w:t>
      </w:r>
      <w:r>
        <w:rPr>
          <w:rFonts w:hint="eastAsia" w:ascii="仿宋_GB2312" w:hAnsi="仿宋_GB2312" w:eastAsia="仿宋_GB2312" w:cs="仿宋_GB2312"/>
          <w:sz w:val="32"/>
          <w:szCs w:val="32"/>
          <w:lang w:val="en-US" w:eastAsia="zh-CN"/>
        </w:rPr>
        <w:t>下达2019市级乡村振兴资金</w:t>
      </w:r>
      <w:r>
        <w:rPr>
          <w:rFonts w:hint="eastAsia" w:ascii="仿宋_GB2312" w:hAnsi="仿宋_GB2312" w:eastAsia="仿宋_GB2312" w:cs="仿宋_GB2312"/>
          <w:sz w:val="32"/>
          <w:szCs w:val="32"/>
        </w:rPr>
        <w:t>”项目绩效自评得分为100分（绩效自评表附后）。全年预算数为</w:t>
      </w:r>
      <w:r>
        <w:rPr>
          <w:rFonts w:hint="eastAsia" w:ascii="仿宋_GB2312" w:hAnsi="仿宋_GB2312" w:eastAsia="仿宋_GB2312" w:cs="仿宋_GB2312"/>
          <w:sz w:val="32"/>
          <w:szCs w:val="32"/>
          <w:lang w:val="en-US" w:eastAsia="zh-CN"/>
        </w:rPr>
        <w:t>21.70</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21.70</w:t>
      </w:r>
      <w:r>
        <w:rPr>
          <w:rFonts w:hint="eastAsia" w:ascii="仿宋_GB2312" w:hAnsi="仿宋_GB2312" w:eastAsia="仿宋_GB2312" w:cs="仿宋_GB2312"/>
          <w:sz w:val="32"/>
          <w:szCs w:val="32"/>
        </w:rPr>
        <w:t>万元，完成预算的100%。项目绩效目标完成情况：一是推动</w:t>
      </w:r>
      <w:r>
        <w:rPr>
          <w:rFonts w:hint="eastAsia" w:ascii="仿宋_GB2312" w:hAnsi="仿宋_GB2312" w:eastAsia="仿宋_GB2312" w:cs="仿宋_GB2312"/>
          <w:sz w:val="32"/>
          <w:szCs w:val="32"/>
          <w:lang w:eastAsia="zh-CN"/>
        </w:rPr>
        <w:t>河道拆违工作</w:t>
      </w:r>
      <w:r>
        <w:rPr>
          <w:rFonts w:hint="eastAsia" w:ascii="仿宋_GB2312" w:hAnsi="仿宋_GB2312" w:eastAsia="仿宋_GB2312" w:cs="仿宋_GB2312"/>
          <w:sz w:val="32"/>
          <w:szCs w:val="32"/>
        </w:rPr>
        <w:t>；二是</w:t>
      </w:r>
      <w:r>
        <w:rPr>
          <w:rFonts w:hint="eastAsia" w:ascii="仿宋_GB2312" w:hAnsi="仿宋_GB2312" w:eastAsia="仿宋_GB2312" w:cs="仿宋_GB2312"/>
          <w:sz w:val="32"/>
          <w:szCs w:val="32"/>
          <w:lang w:eastAsia="zh-CN"/>
        </w:rPr>
        <w:t>及时支付工程款，消除上访隐患</w:t>
      </w:r>
      <w:r>
        <w:rPr>
          <w:rFonts w:hint="eastAsia" w:ascii="仿宋_GB2312" w:hAnsi="仿宋_GB2312" w:eastAsia="仿宋_GB2312" w:cs="仿宋_GB2312"/>
          <w:sz w:val="32"/>
          <w:szCs w:val="32"/>
        </w:rPr>
        <w:t>。发现的主要问题及原因：无。下一步改进措施：无。</w:t>
      </w:r>
    </w:p>
    <w:p>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val="en-US" w:eastAsia="zh-CN"/>
        </w:rPr>
        <w:t>保阜(保沧）高速保定西出入口土地流转费用</w:t>
      </w:r>
      <w:r>
        <w:rPr>
          <w:rFonts w:hint="eastAsia" w:ascii="仿宋_GB2312" w:hAnsi="仿宋_GB2312" w:eastAsia="仿宋_GB2312" w:cs="仿宋_GB2312"/>
          <w:sz w:val="32"/>
          <w:szCs w:val="32"/>
        </w:rPr>
        <w:t>”项目自评综述： “</w:t>
      </w:r>
      <w:r>
        <w:rPr>
          <w:rFonts w:hint="eastAsia" w:ascii="仿宋_GB2312" w:hAnsi="仿宋_GB2312" w:eastAsia="仿宋_GB2312" w:cs="仿宋_GB2312"/>
          <w:sz w:val="32"/>
          <w:szCs w:val="32"/>
          <w:lang w:val="en-US" w:eastAsia="zh-CN"/>
        </w:rPr>
        <w:t>保阜(保沧）高速保定西出入口土地流转费用</w:t>
      </w:r>
      <w:r>
        <w:rPr>
          <w:rFonts w:hint="eastAsia" w:ascii="仿宋_GB2312" w:hAnsi="仿宋_GB2312" w:eastAsia="仿宋_GB2312" w:cs="仿宋_GB2312"/>
          <w:sz w:val="32"/>
          <w:szCs w:val="32"/>
        </w:rPr>
        <w:t>”项目绩效自评得分为100分（绩效自评表附后）。全年预算数为</w:t>
      </w:r>
      <w:r>
        <w:rPr>
          <w:rFonts w:hint="eastAsia" w:ascii="仿宋_GB2312" w:hAnsi="仿宋_GB2312" w:eastAsia="仿宋_GB2312" w:cs="仿宋_GB2312"/>
          <w:sz w:val="32"/>
          <w:szCs w:val="32"/>
          <w:lang w:val="en-US" w:eastAsia="zh-CN"/>
        </w:rPr>
        <w:t>34.19</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34.19</w:t>
      </w:r>
      <w:r>
        <w:rPr>
          <w:rFonts w:hint="eastAsia" w:ascii="仿宋_GB2312" w:hAnsi="仿宋_GB2312" w:eastAsia="仿宋_GB2312" w:cs="仿宋_GB2312"/>
          <w:sz w:val="32"/>
          <w:szCs w:val="32"/>
        </w:rPr>
        <w:t>万元，完成预算的100%。项目绩效目标完成情况：一是</w:t>
      </w:r>
      <w:r>
        <w:rPr>
          <w:rFonts w:hint="eastAsia" w:ascii="仿宋_GB2312" w:hAnsi="仿宋_GB2312" w:eastAsia="仿宋_GB2312" w:cs="仿宋_GB2312"/>
          <w:sz w:val="32"/>
          <w:szCs w:val="32"/>
          <w:lang w:eastAsia="zh-CN"/>
        </w:rPr>
        <w:t>及时支付资金，保证绿化项目顺利完成。</w:t>
      </w:r>
      <w:r>
        <w:rPr>
          <w:rFonts w:hint="eastAsia" w:ascii="仿宋_GB2312" w:hAnsi="仿宋_GB2312" w:eastAsia="仿宋_GB2312" w:cs="仿宋_GB2312"/>
          <w:sz w:val="32"/>
          <w:szCs w:val="32"/>
        </w:rPr>
        <w:t>发现的主要问题及原因：无。下一步改进措施：无。</w:t>
      </w:r>
    </w:p>
    <w:p>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农村文化建设资金</w:t>
      </w:r>
      <w:r>
        <w:rPr>
          <w:rFonts w:hint="eastAsia" w:ascii="仿宋_GB2312" w:hAnsi="仿宋_GB2312" w:eastAsia="仿宋_GB2312" w:cs="仿宋_GB2312"/>
          <w:sz w:val="32"/>
          <w:szCs w:val="32"/>
        </w:rPr>
        <w:t>”项目自评综述：根据年初设定的绩效目标，“</w:t>
      </w:r>
      <w:r>
        <w:rPr>
          <w:rFonts w:hint="eastAsia" w:ascii="仿宋_GB2312" w:hAnsi="仿宋_GB2312" w:eastAsia="仿宋_GB2312" w:cs="仿宋_GB2312"/>
          <w:sz w:val="32"/>
          <w:szCs w:val="32"/>
          <w:lang w:val="en-US" w:eastAsia="zh-CN"/>
        </w:rPr>
        <w:t>农村文化建设资金</w:t>
      </w:r>
      <w:r>
        <w:rPr>
          <w:rFonts w:hint="eastAsia" w:ascii="仿宋_GB2312" w:hAnsi="仿宋_GB2312" w:eastAsia="仿宋_GB2312" w:cs="仿宋_GB2312"/>
          <w:sz w:val="32"/>
          <w:szCs w:val="32"/>
        </w:rPr>
        <w:t>”项目绩效自评得分为100分（绩效自评表附后）。全年预算数为</w:t>
      </w:r>
      <w:r>
        <w:rPr>
          <w:rFonts w:hint="eastAsia" w:ascii="仿宋_GB2312" w:hAnsi="仿宋_GB2312" w:eastAsia="仿宋_GB2312" w:cs="仿宋_GB2312"/>
          <w:sz w:val="32"/>
          <w:szCs w:val="32"/>
          <w:lang w:val="en-US" w:eastAsia="zh-CN"/>
        </w:rPr>
        <w:t>7.00</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7.00</w:t>
      </w:r>
      <w:r>
        <w:rPr>
          <w:rFonts w:hint="eastAsia" w:ascii="仿宋_GB2312" w:hAnsi="仿宋_GB2312" w:eastAsia="仿宋_GB2312" w:cs="仿宋_GB2312"/>
          <w:sz w:val="32"/>
          <w:szCs w:val="32"/>
        </w:rPr>
        <w:t>万元，完成预算的100%。项目绩效目标完成情况：一是</w:t>
      </w:r>
      <w:r>
        <w:rPr>
          <w:rFonts w:hint="eastAsia" w:ascii="仿宋_GB2312" w:hAnsi="仿宋_GB2312" w:eastAsia="仿宋_GB2312" w:cs="仿宋_GB2312"/>
          <w:sz w:val="32"/>
          <w:szCs w:val="32"/>
          <w:lang w:eastAsia="zh-CN"/>
        </w:rPr>
        <w:t>提高人民群众集体文化水平</w:t>
      </w:r>
      <w:r>
        <w:rPr>
          <w:rFonts w:hint="eastAsia" w:ascii="仿宋_GB2312" w:hAnsi="仿宋_GB2312" w:eastAsia="仿宋_GB2312" w:cs="仿宋_GB2312"/>
          <w:sz w:val="32"/>
          <w:szCs w:val="32"/>
        </w:rPr>
        <w:t>；二是保障了村级</w:t>
      </w:r>
      <w:r>
        <w:rPr>
          <w:rFonts w:hint="eastAsia" w:ascii="仿宋_GB2312" w:hAnsi="仿宋_GB2312" w:eastAsia="仿宋_GB2312" w:cs="仿宋_GB2312"/>
          <w:sz w:val="32"/>
          <w:szCs w:val="32"/>
          <w:lang w:eastAsia="zh-CN"/>
        </w:rPr>
        <w:t>文化</w:t>
      </w:r>
      <w:r>
        <w:rPr>
          <w:rFonts w:hint="eastAsia" w:ascii="仿宋_GB2312" w:hAnsi="仿宋_GB2312" w:eastAsia="仿宋_GB2312" w:cs="仿宋_GB2312"/>
          <w:sz w:val="32"/>
          <w:szCs w:val="32"/>
        </w:rPr>
        <w:t>工作顺利开展。发现的主要问题及原因：无。下一步改进措施：无。</w:t>
      </w:r>
    </w:p>
    <w:p>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于家庄镇防控经费</w:t>
      </w:r>
      <w:r>
        <w:rPr>
          <w:rFonts w:hint="eastAsia" w:ascii="仿宋_GB2312" w:hAnsi="仿宋_GB2312" w:eastAsia="仿宋_GB2312" w:cs="仿宋_GB2312"/>
          <w:sz w:val="32"/>
          <w:szCs w:val="32"/>
        </w:rPr>
        <w:t>”项目自评综述：根据年初设定的绩效目标，“</w:t>
      </w:r>
      <w:r>
        <w:rPr>
          <w:rFonts w:hint="eastAsia" w:ascii="仿宋_GB2312" w:hAnsi="仿宋_GB2312" w:eastAsia="仿宋_GB2312" w:cs="仿宋_GB2312"/>
          <w:sz w:val="32"/>
          <w:szCs w:val="32"/>
          <w:lang w:val="en-US" w:eastAsia="zh-CN"/>
        </w:rPr>
        <w:t>石井镇防控经费</w:t>
      </w:r>
      <w:r>
        <w:rPr>
          <w:rFonts w:hint="eastAsia" w:ascii="仿宋_GB2312" w:hAnsi="仿宋_GB2312" w:eastAsia="仿宋_GB2312" w:cs="仿宋_GB2312"/>
          <w:sz w:val="32"/>
          <w:szCs w:val="32"/>
        </w:rPr>
        <w:t>”项目绩效自评得分为100分（绩效自评表附后）。全年预算数为</w:t>
      </w:r>
      <w:r>
        <w:rPr>
          <w:rFonts w:hint="eastAsia" w:ascii="仿宋_GB2312" w:hAnsi="仿宋_GB2312" w:eastAsia="仿宋_GB2312" w:cs="仿宋_GB2312"/>
          <w:sz w:val="32"/>
          <w:szCs w:val="32"/>
          <w:lang w:val="en-US" w:eastAsia="zh-CN"/>
        </w:rPr>
        <w:t>10.00</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10.00</w:t>
      </w:r>
      <w:r>
        <w:rPr>
          <w:rFonts w:hint="eastAsia" w:ascii="仿宋_GB2312" w:hAnsi="仿宋_GB2312" w:eastAsia="仿宋_GB2312" w:cs="仿宋_GB2312"/>
          <w:sz w:val="32"/>
          <w:szCs w:val="32"/>
        </w:rPr>
        <w:t>万元，完成预算的100%。项目绩效目标完成情况：一是保障了</w:t>
      </w:r>
      <w:r>
        <w:rPr>
          <w:rFonts w:hint="eastAsia" w:ascii="仿宋_GB2312" w:hAnsi="仿宋_GB2312" w:eastAsia="仿宋_GB2312" w:cs="仿宋_GB2312"/>
          <w:sz w:val="32"/>
          <w:szCs w:val="32"/>
          <w:lang w:eastAsia="zh-CN"/>
        </w:rPr>
        <w:t>镇村疫情防控工作正常开展</w:t>
      </w:r>
      <w:r>
        <w:rPr>
          <w:rFonts w:hint="eastAsia" w:ascii="仿宋_GB2312" w:hAnsi="仿宋_GB2312" w:eastAsia="仿宋_GB2312" w:cs="仿宋_GB2312"/>
          <w:sz w:val="32"/>
          <w:szCs w:val="32"/>
        </w:rPr>
        <w:t>。发现的主要问题及原因：无。下一步改进措施：无。</w:t>
      </w:r>
    </w:p>
    <w:p>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2019年中央农村综合改革转移支付资金保财农改[2019]4号”项目自评综述：根据年初设定的绩效目标，“2019年中央农村综合改革转移支付资金保财农改[2019]4号”项目绩效自评得分为100分（绩效自评表附后）。全年预算数为</w:t>
      </w:r>
      <w:r>
        <w:rPr>
          <w:rFonts w:hint="eastAsia" w:ascii="仿宋_GB2312" w:hAnsi="仿宋_GB2312" w:eastAsia="仿宋_GB2312" w:cs="仿宋_GB2312"/>
          <w:sz w:val="32"/>
          <w:szCs w:val="32"/>
          <w:lang w:val="en-US" w:eastAsia="zh-CN"/>
        </w:rPr>
        <w:t>30.00</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30.00</w:t>
      </w:r>
      <w:r>
        <w:rPr>
          <w:rFonts w:hint="eastAsia" w:ascii="仿宋_GB2312" w:hAnsi="仿宋_GB2312" w:eastAsia="仿宋_GB2312" w:cs="仿宋_GB2312"/>
          <w:sz w:val="32"/>
          <w:szCs w:val="32"/>
        </w:rPr>
        <w:t>万元，完成预算的100%。项目绩效目标完成情况：一是保障了</w:t>
      </w:r>
      <w:r>
        <w:rPr>
          <w:rFonts w:hint="eastAsia" w:ascii="仿宋_GB2312" w:hAnsi="仿宋_GB2312" w:eastAsia="仿宋_GB2312" w:cs="仿宋_GB2312"/>
          <w:sz w:val="32"/>
          <w:szCs w:val="32"/>
          <w:lang w:eastAsia="zh-CN"/>
        </w:rPr>
        <w:t>村级项目正常开展。</w:t>
      </w:r>
      <w:r>
        <w:rPr>
          <w:rFonts w:hint="eastAsia" w:ascii="仿宋_GB2312" w:hAnsi="仿宋_GB2312" w:eastAsia="仿宋_GB2312" w:cs="仿宋_GB2312"/>
          <w:sz w:val="32"/>
          <w:szCs w:val="32"/>
        </w:rPr>
        <w:t>发现的主要问题及原因：无。下一步改进措施：无。</w:t>
      </w:r>
    </w:p>
    <w:p>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）“2019年</w:t>
      </w:r>
      <w:r>
        <w:rPr>
          <w:rFonts w:hint="eastAsia" w:ascii="仿宋_GB2312" w:hAnsi="仿宋_GB2312" w:eastAsia="仿宋_GB2312" w:cs="仿宋_GB2312"/>
          <w:sz w:val="32"/>
          <w:szCs w:val="32"/>
          <w:lang w:val="en-US" w:eastAsia="zh-CN"/>
        </w:rPr>
        <w:t>省级</w:t>
      </w:r>
      <w:r>
        <w:rPr>
          <w:rFonts w:hint="eastAsia" w:ascii="仿宋_GB2312" w:hAnsi="仿宋_GB2312" w:eastAsia="仿宋_GB2312" w:cs="仿宋_GB2312"/>
          <w:sz w:val="32"/>
          <w:szCs w:val="32"/>
        </w:rPr>
        <w:t>农村综合改革转移支付资金保财农改[2019]</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号”项目自评综述：根据年初设定的绩效目标，“2019年</w:t>
      </w:r>
      <w:r>
        <w:rPr>
          <w:rFonts w:hint="eastAsia" w:ascii="仿宋_GB2312" w:hAnsi="仿宋_GB2312" w:eastAsia="仿宋_GB2312" w:cs="仿宋_GB2312"/>
          <w:sz w:val="32"/>
          <w:szCs w:val="32"/>
          <w:lang w:val="en-US" w:eastAsia="zh-CN"/>
        </w:rPr>
        <w:t>省级</w:t>
      </w:r>
      <w:r>
        <w:rPr>
          <w:rFonts w:hint="eastAsia" w:ascii="仿宋_GB2312" w:hAnsi="仿宋_GB2312" w:eastAsia="仿宋_GB2312" w:cs="仿宋_GB2312"/>
          <w:sz w:val="32"/>
          <w:szCs w:val="32"/>
        </w:rPr>
        <w:t>农村综合改革转移支付资金保财农改[2019]</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号”项目绩效自评得分为100分（绩效自评表附后）。全年预算数为</w:t>
      </w:r>
      <w:r>
        <w:rPr>
          <w:rFonts w:hint="eastAsia" w:ascii="仿宋_GB2312" w:hAnsi="仿宋_GB2312" w:eastAsia="仿宋_GB2312" w:cs="仿宋_GB2312"/>
          <w:sz w:val="32"/>
          <w:szCs w:val="32"/>
          <w:lang w:val="en-US" w:eastAsia="zh-CN"/>
        </w:rPr>
        <w:t>15.00</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15.00</w:t>
      </w:r>
      <w:r>
        <w:rPr>
          <w:rFonts w:hint="eastAsia" w:ascii="仿宋_GB2312" w:hAnsi="仿宋_GB2312" w:eastAsia="仿宋_GB2312" w:cs="仿宋_GB2312"/>
          <w:sz w:val="32"/>
          <w:szCs w:val="32"/>
        </w:rPr>
        <w:t>万元，完成预算的100%。项目绩效目标完成情况：一是保障了</w:t>
      </w:r>
      <w:r>
        <w:rPr>
          <w:rFonts w:hint="eastAsia" w:ascii="仿宋_GB2312" w:hAnsi="仿宋_GB2312" w:eastAsia="仿宋_GB2312" w:cs="仿宋_GB2312"/>
          <w:sz w:val="32"/>
          <w:szCs w:val="32"/>
          <w:lang w:eastAsia="zh-CN"/>
        </w:rPr>
        <w:t>村级项目正常开展。</w:t>
      </w:r>
      <w:r>
        <w:rPr>
          <w:rFonts w:hint="eastAsia" w:ascii="仿宋_GB2312" w:hAnsi="仿宋_GB2312" w:eastAsia="仿宋_GB2312" w:cs="仿宋_GB2312"/>
          <w:sz w:val="32"/>
          <w:szCs w:val="32"/>
        </w:rPr>
        <w:t>发现的主要问题及原因：无。下一步改进措施：无。</w:t>
      </w:r>
    </w:p>
    <w:p>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2019年扶持壮大村级集体经济市级财政补助资金保财农改[2019]5号”项目自评综述：根据年初设定的绩效目标，“2019年扶持壮大村级集体经济市级财政补助资金保财农改[2019]5号”项目绩效自评得分为100分（绩效自评表附后）。全年预算数为</w:t>
      </w:r>
      <w:r>
        <w:rPr>
          <w:rFonts w:hint="eastAsia" w:ascii="仿宋_GB2312" w:hAnsi="仿宋_GB2312" w:eastAsia="仿宋_GB2312" w:cs="仿宋_GB2312"/>
          <w:sz w:val="32"/>
          <w:szCs w:val="32"/>
          <w:lang w:val="en-US" w:eastAsia="zh-CN"/>
        </w:rPr>
        <w:t>5.00</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5.00</w:t>
      </w:r>
      <w:r>
        <w:rPr>
          <w:rFonts w:hint="eastAsia" w:ascii="仿宋_GB2312" w:hAnsi="仿宋_GB2312" w:eastAsia="仿宋_GB2312" w:cs="仿宋_GB2312"/>
          <w:sz w:val="32"/>
          <w:szCs w:val="32"/>
        </w:rPr>
        <w:t>万元，完成预算的100%。项目绩效目标完成情况：一是保障了</w:t>
      </w:r>
      <w:r>
        <w:rPr>
          <w:rFonts w:hint="eastAsia" w:ascii="仿宋_GB2312" w:hAnsi="仿宋_GB2312" w:eastAsia="仿宋_GB2312" w:cs="仿宋_GB2312"/>
          <w:sz w:val="32"/>
          <w:szCs w:val="32"/>
          <w:lang w:eastAsia="zh-CN"/>
        </w:rPr>
        <w:t>村级项目正常开展。</w:t>
      </w:r>
      <w:r>
        <w:rPr>
          <w:rFonts w:hint="eastAsia" w:ascii="仿宋_GB2312" w:hAnsi="仿宋_GB2312" w:eastAsia="仿宋_GB2312" w:cs="仿宋_GB2312"/>
          <w:sz w:val="32"/>
          <w:szCs w:val="32"/>
        </w:rPr>
        <w:t>发现的主要问题及原因：无。下一步改进措施：无。</w:t>
      </w:r>
    </w:p>
    <w:p>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）“2017年农村综合改革资金一事一议”项目自评综述：根据年初设定的绩效目标，“2017年农村综合改革资金一事一议”项目绩效自评得分为100分（绩效自评表附后）。全年预算数为</w:t>
      </w:r>
      <w:r>
        <w:rPr>
          <w:rFonts w:hint="eastAsia" w:ascii="仿宋_GB2312" w:hAnsi="仿宋_GB2312" w:eastAsia="仿宋_GB2312" w:cs="仿宋_GB2312"/>
          <w:sz w:val="32"/>
          <w:szCs w:val="32"/>
          <w:lang w:val="en-US" w:eastAsia="zh-CN"/>
        </w:rPr>
        <w:t>7.61</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7.61</w:t>
      </w:r>
      <w:r>
        <w:rPr>
          <w:rFonts w:hint="eastAsia" w:ascii="仿宋_GB2312" w:hAnsi="仿宋_GB2312" w:eastAsia="仿宋_GB2312" w:cs="仿宋_GB2312"/>
          <w:sz w:val="32"/>
          <w:szCs w:val="32"/>
        </w:rPr>
        <w:t>万元，完成预算的100%。项目绩效目标完成情况：一是</w:t>
      </w:r>
      <w:r>
        <w:rPr>
          <w:rFonts w:hint="eastAsia" w:ascii="仿宋_GB2312" w:hAnsi="仿宋_GB2312" w:eastAsia="仿宋_GB2312" w:cs="仿宋_GB2312"/>
          <w:sz w:val="32"/>
          <w:szCs w:val="32"/>
          <w:lang w:eastAsia="zh-CN"/>
        </w:rPr>
        <w:t>完善农村基础设施</w:t>
      </w:r>
      <w:r>
        <w:rPr>
          <w:rFonts w:hint="eastAsia" w:ascii="仿宋_GB2312" w:hAnsi="仿宋_GB2312" w:eastAsia="仿宋_GB2312" w:cs="仿宋_GB2312"/>
          <w:sz w:val="32"/>
          <w:szCs w:val="32"/>
        </w:rPr>
        <w:t>；二是</w:t>
      </w:r>
      <w:r>
        <w:rPr>
          <w:rFonts w:hint="eastAsia" w:ascii="仿宋_GB2312" w:hAnsi="仿宋_GB2312" w:eastAsia="仿宋_GB2312" w:cs="仿宋_GB2312"/>
          <w:sz w:val="32"/>
          <w:szCs w:val="32"/>
          <w:lang w:eastAsia="zh-CN"/>
        </w:rPr>
        <w:t>方便村民生活</w:t>
      </w:r>
      <w:r>
        <w:rPr>
          <w:rFonts w:hint="eastAsia" w:ascii="仿宋_GB2312" w:hAnsi="仿宋_GB2312" w:eastAsia="仿宋_GB2312" w:cs="仿宋_GB2312"/>
          <w:sz w:val="32"/>
          <w:szCs w:val="32"/>
        </w:rPr>
        <w:t>。发现的主要问题及原因：无。下一步改进措施：无。</w:t>
      </w:r>
    </w:p>
    <w:p>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rPr>
        <w:t>）“村干部基础职务补贴”项目自评综述：根据年初设定的绩效目标，“村干部基础职务补贴”项目绩效自评得分为100分（绩效自评表附后）。全年预算数为</w:t>
      </w:r>
      <w:r>
        <w:rPr>
          <w:rFonts w:hint="eastAsia" w:ascii="仿宋_GB2312" w:hAnsi="仿宋_GB2312" w:eastAsia="仿宋_GB2312" w:cs="仿宋_GB2312"/>
          <w:sz w:val="32"/>
          <w:szCs w:val="32"/>
          <w:lang w:val="en-US" w:eastAsia="zh-CN"/>
        </w:rPr>
        <w:t>59.93</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59.93</w:t>
      </w:r>
      <w:r>
        <w:rPr>
          <w:rFonts w:hint="eastAsia" w:ascii="仿宋_GB2312" w:hAnsi="仿宋_GB2312" w:eastAsia="仿宋_GB2312" w:cs="仿宋_GB2312"/>
          <w:sz w:val="32"/>
          <w:szCs w:val="32"/>
        </w:rPr>
        <w:t>万元，完成预算的100%。项目绩效目标完成情况：一是保障了村干部的日常生活，使村干部老有所养，老有所依；二是促使村干部积极主动的开展村内各项工作，发挥积极带头作用。发现的主要问题及原因：无。下一步改进措施：无。</w:t>
      </w:r>
    </w:p>
    <w:p>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）“基层组织运转经费和党建提升经费”项目自评综述：根据年初设定的绩效目标，“基层组织运转经费和党建提升经费”项目绩效自评得分为100分（绩效自评表附后）。全年预算数为</w:t>
      </w:r>
      <w:r>
        <w:rPr>
          <w:rFonts w:hint="eastAsia" w:ascii="仿宋_GB2312" w:hAnsi="仿宋_GB2312" w:eastAsia="仿宋_GB2312" w:cs="仿宋_GB2312"/>
          <w:sz w:val="32"/>
          <w:szCs w:val="32"/>
          <w:lang w:val="en-US" w:eastAsia="zh-CN"/>
        </w:rPr>
        <w:t>15.74</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15.74</w:t>
      </w:r>
      <w:r>
        <w:rPr>
          <w:rFonts w:hint="eastAsia" w:ascii="仿宋_GB2312" w:hAnsi="仿宋_GB2312" w:eastAsia="仿宋_GB2312" w:cs="仿宋_GB2312"/>
          <w:sz w:val="32"/>
          <w:szCs w:val="32"/>
        </w:rPr>
        <w:t>万元，完成预算的100%。项目绩效目标完成情况：一是保障了</w:t>
      </w:r>
      <w:r>
        <w:rPr>
          <w:rFonts w:hint="eastAsia" w:ascii="仿宋_GB2312" w:hAnsi="仿宋_GB2312" w:eastAsia="仿宋_GB2312" w:cs="仿宋_GB2312"/>
          <w:sz w:val="32"/>
          <w:szCs w:val="32"/>
          <w:lang w:val="en-US" w:eastAsia="zh-CN"/>
        </w:rPr>
        <w:t>镇</w:t>
      </w:r>
      <w:r>
        <w:rPr>
          <w:rFonts w:hint="eastAsia" w:ascii="仿宋_GB2312" w:hAnsi="仿宋_GB2312" w:eastAsia="仿宋_GB2312" w:cs="仿宋_GB2312"/>
          <w:sz w:val="32"/>
          <w:szCs w:val="32"/>
        </w:rPr>
        <w:t>级组织正常运转和党建提升；二是保障了</w:t>
      </w:r>
      <w:r>
        <w:rPr>
          <w:rFonts w:hint="eastAsia" w:ascii="仿宋_GB2312" w:hAnsi="仿宋_GB2312" w:eastAsia="仿宋_GB2312" w:cs="仿宋_GB2312"/>
          <w:sz w:val="32"/>
          <w:szCs w:val="32"/>
          <w:lang w:val="en-US" w:eastAsia="zh-CN"/>
        </w:rPr>
        <w:t>镇</w:t>
      </w:r>
      <w:r>
        <w:rPr>
          <w:rFonts w:hint="eastAsia" w:ascii="仿宋_GB2312" w:hAnsi="仿宋_GB2312" w:eastAsia="仿宋_GB2312" w:cs="仿宋_GB2312"/>
          <w:sz w:val="32"/>
          <w:szCs w:val="32"/>
        </w:rPr>
        <w:t>级工作顺利开展和正常运行。发现的主要问题及原因：无。下一步改进措施：无。</w:t>
      </w:r>
    </w:p>
    <w:p>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 “村干部保险”项目自评综述：根据年初设定的绩效目标， “村干部保险”项目绩效自评得分为100分（绩效自评表附后）。全年预算数为</w:t>
      </w:r>
      <w:r>
        <w:rPr>
          <w:rFonts w:hint="eastAsia" w:ascii="仿宋_GB2312" w:hAnsi="仿宋_GB2312" w:eastAsia="仿宋_GB2312" w:cs="仿宋_GB2312"/>
          <w:sz w:val="32"/>
          <w:szCs w:val="32"/>
          <w:lang w:val="en-US" w:eastAsia="zh-CN"/>
        </w:rPr>
        <w:t>2.28</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2.28</w:t>
      </w:r>
      <w:r>
        <w:rPr>
          <w:rFonts w:hint="eastAsia" w:ascii="仿宋_GB2312" w:hAnsi="仿宋_GB2312" w:eastAsia="仿宋_GB2312" w:cs="仿宋_GB2312"/>
          <w:sz w:val="32"/>
          <w:szCs w:val="32"/>
        </w:rPr>
        <w:t>万元，完成预算的100%。项目绩效目标完成情况：一是保障了村干部的日常生活，使村干部老有所养，老有所依；二是促使村干部积极主动的开展村内各项工作，发挥积极带头作用。发现的主要问题及原因：无。下一步改进措施：无。</w:t>
      </w:r>
    </w:p>
    <w:p>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 “2020年7-9月份区财政局农村“两委”干部补贴资金”项目自评综述：根据年初设定的绩效目标， “2020年7-9月份区财政局农村“两委”干部补贴资金”项目绩效自评得分为100分（绩效自评表附后）。全年预算数为</w:t>
      </w:r>
      <w:r>
        <w:rPr>
          <w:rFonts w:hint="eastAsia" w:ascii="仿宋_GB2312" w:hAnsi="仿宋_GB2312" w:eastAsia="仿宋_GB2312" w:cs="仿宋_GB2312"/>
          <w:sz w:val="32"/>
          <w:szCs w:val="32"/>
          <w:lang w:val="en-US" w:eastAsia="zh-CN"/>
        </w:rPr>
        <w:t>19.01</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19.01</w:t>
      </w:r>
      <w:r>
        <w:rPr>
          <w:rFonts w:hint="eastAsia" w:ascii="仿宋_GB2312" w:hAnsi="仿宋_GB2312" w:eastAsia="仿宋_GB2312" w:cs="仿宋_GB2312"/>
          <w:sz w:val="32"/>
          <w:szCs w:val="32"/>
        </w:rPr>
        <w:t>万元，完成预算的100%。项目绩效目标完成情况：一是保障了村干部的日常生活，使村干部老有所养，老有所依；二是促使村干部积极主动的开展村内各项工作，发挥积极带头作用。发现的主要问题及原因：无。下一步改进措施：无。</w:t>
      </w:r>
    </w:p>
    <w:p>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 “为服务群众专项、村级办公、党组织活动经费”项目自评综述：根据年初设定的绩效目标， “为服务群众专项、村级办公、党组织活动经费”项目绩效自评得分为100分（绩效自评表附后）。全年预算数为</w:t>
      </w:r>
      <w:r>
        <w:rPr>
          <w:rFonts w:hint="eastAsia" w:ascii="仿宋_GB2312" w:hAnsi="仿宋_GB2312" w:eastAsia="仿宋_GB2312" w:cs="仿宋_GB2312"/>
          <w:sz w:val="32"/>
          <w:szCs w:val="32"/>
          <w:lang w:val="en-US" w:eastAsia="zh-CN"/>
        </w:rPr>
        <w:t>22.74</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22.74</w:t>
      </w:r>
      <w:r>
        <w:rPr>
          <w:rFonts w:hint="eastAsia" w:ascii="仿宋_GB2312" w:hAnsi="仿宋_GB2312" w:eastAsia="仿宋_GB2312" w:cs="仿宋_GB2312"/>
          <w:sz w:val="32"/>
          <w:szCs w:val="32"/>
        </w:rPr>
        <w:t>万元，完成预算的100%。项目绩效目标完成情况：一是保障了村级组织正常运转和党建提升；二是保障了村级工作顺利开展和正常运行。发现的主要问题及原因：无。下一步改进措施：无。</w:t>
      </w:r>
    </w:p>
    <w:p>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 “正常离任村干部生活补贴”项目自评综述：根据年初设定的绩效目标， “正常离任村干部生活补贴”项目绩效自评得分为100分（绩效自评表附后）。全年预算数为</w:t>
      </w:r>
      <w:r>
        <w:rPr>
          <w:rFonts w:hint="eastAsia" w:ascii="仿宋_GB2312" w:hAnsi="仿宋_GB2312" w:eastAsia="仿宋_GB2312" w:cs="仿宋_GB2312"/>
          <w:sz w:val="32"/>
          <w:szCs w:val="32"/>
          <w:lang w:val="en-US" w:eastAsia="zh-CN"/>
        </w:rPr>
        <w:t>1.39</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1.39</w:t>
      </w:r>
      <w:r>
        <w:rPr>
          <w:rFonts w:hint="eastAsia" w:ascii="仿宋_GB2312" w:hAnsi="仿宋_GB2312" w:eastAsia="仿宋_GB2312" w:cs="仿宋_GB2312"/>
          <w:sz w:val="32"/>
          <w:szCs w:val="32"/>
        </w:rPr>
        <w:t>万元，完成预算的100%。项目绩效目标完成情况：一是保障了正常离任村干部的日常生活；二是体现了党组织对离任村干部的关怀。发现的主要问题及原因：无。下一步改进措施：无。</w:t>
      </w:r>
    </w:p>
    <w:p>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 “2019年下半年离任村书记离任生活补贴”项目自评综述：根据年初设定的绩效目标， “2019年下半年离任村书记离任生活补贴”项目绩效自评得分为100分（绩效自评表附后）。全年预算数为</w:t>
      </w:r>
      <w:r>
        <w:rPr>
          <w:rFonts w:hint="eastAsia" w:ascii="仿宋_GB2312" w:hAnsi="仿宋_GB2312" w:eastAsia="仿宋_GB2312" w:cs="仿宋_GB2312"/>
          <w:sz w:val="32"/>
          <w:szCs w:val="32"/>
          <w:lang w:val="en-US" w:eastAsia="zh-CN"/>
        </w:rPr>
        <w:t>1.58</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1.58</w:t>
      </w:r>
      <w:r>
        <w:rPr>
          <w:rFonts w:hint="eastAsia" w:ascii="仿宋_GB2312" w:hAnsi="仿宋_GB2312" w:eastAsia="仿宋_GB2312" w:cs="仿宋_GB2312"/>
          <w:sz w:val="32"/>
          <w:szCs w:val="32"/>
        </w:rPr>
        <w:t>万元，完成预算的100%。项目绩效目标完成情况：一是保障了正常离任村干部的日常生活；二是体现了党组织对离任村干部的关怀。发现的主要问题及原因：无。下一步改进措施：无。</w:t>
      </w:r>
    </w:p>
    <w:p>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 “农业生产支持补贴”项目自评综述：根据年初设定的绩效目标， “农业生产支持补贴”项目绩效自评得分为100分（绩效自评表附后）。全年预算数为</w:t>
      </w:r>
      <w:r>
        <w:rPr>
          <w:rFonts w:hint="eastAsia" w:ascii="仿宋_GB2312" w:hAnsi="仿宋_GB2312" w:eastAsia="仿宋_GB2312" w:cs="仿宋_GB2312"/>
          <w:sz w:val="32"/>
          <w:szCs w:val="32"/>
          <w:lang w:val="en-US" w:eastAsia="zh-CN"/>
        </w:rPr>
        <w:t>228.92</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228.92</w:t>
      </w:r>
      <w:r>
        <w:rPr>
          <w:rFonts w:hint="eastAsia" w:ascii="仿宋_GB2312" w:hAnsi="仿宋_GB2312" w:eastAsia="仿宋_GB2312" w:cs="仿宋_GB2312"/>
          <w:sz w:val="32"/>
          <w:szCs w:val="32"/>
        </w:rPr>
        <w:t>万元，完成预算的100%。项目绩效目标完成情况：</w:t>
      </w:r>
      <w:r>
        <w:rPr>
          <w:rFonts w:hint="eastAsia" w:ascii="仿宋_GB2312" w:hAnsi="仿宋_GB2312" w:eastAsia="仿宋_GB2312" w:cs="仿宋_GB2312"/>
          <w:sz w:val="32"/>
          <w:szCs w:val="32"/>
          <w:lang w:val="en-US" w:eastAsia="zh-CN"/>
        </w:rPr>
        <w:t>完成了各村耕地地力补贴的发放。</w:t>
      </w:r>
      <w:r>
        <w:rPr>
          <w:rFonts w:hint="eastAsia" w:ascii="仿宋_GB2312" w:hAnsi="仿宋_GB2312" w:eastAsia="仿宋_GB2312" w:cs="仿宋_GB2312"/>
          <w:sz w:val="32"/>
          <w:szCs w:val="32"/>
        </w:rPr>
        <w:t>发现的主要问题及原因：无。下一步改进措施：无。</w:t>
      </w:r>
    </w:p>
    <w:p>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 “(综）河北京车110KV电力外源线路接入工程占地资金”项目自评综述：根据年初设定的绩效目标，“(综）河北京车110KV电力外源线路接入工程占地资金”项目绩效自评得分为100分（绩效自评表附后）。全年预算数为</w:t>
      </w:r>
      <w:r>
        <w:rPr>
          <w:rFonts w:hint="eastAsia" w:ascii="仿宋_GB2312" w:hAnsi="仿宋_GB2312" w:eastAsia="仿宋_GB2312" w:cs="仿宋_GB2312"/>
          <w:sz w:val="32"/>
          <w:szCs w:val="32"/>
          <w:lang w:val="en-US" w:eastAsia="zh-CN"/>
        </w:rPr>
        <w:t>29.50</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29.50</w:t>
      </w:r>
      <w:r>
        <w:rPr>
          <w:rFonts w:hint="eastAsia" w:ascii="仿宋_GB2312" w:hAnsi="仿宋_GB2312" w:eastAsia="仿宋_GB2312" w:cs="仿宋_GB2312"/>
          <w:sz w:val="32"/>
          <w:szCs w:val="32"/>
        </w:rPr>
        <w:t>万元，完成预算的100%。项目绩效目标完成情况：保障了群众合法权益</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发现的主要问题及原因：无。下一步改进措施：无。</w:t>
      </w:r>
    </w:p>
    <w:p>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 “(综）京车110Kv线路安全围挡占地及采伐”项目自评综述：根据年初设定的绩效目标，“(综）京车110Kv线路安全围挡占地及采伐”项目绩效自评得分为100分（绩效自评表附后）。全年预算数为</w:t>
      </w:r>
      <w:r>
        <w:rPr>
          <w:rFonts w:hint="eastAsia" w:ascii="仿宋_GB2312" w:hAnsi="仿宋_GB2312" w:eastAsia="仿宋_GB2312" w:cs="仿宋_GB2312"/>
          <w:sz w:val="32"/>
          <w:szCs w:val="32"/>
          <w:lang w:val="en-US" w:eastAsia="zh-CN"/>
        </w:rPr>
        <w:t>24.26</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24.26</w:t>
      </w:r>
      <w:r>
        <w:rPr>
          <w:rFonts w:hint="eastAsia" w:ascii="仿宋_GB2312" w:hAnsi="仿宋_GB2312" w:eastAsia="仿宋_GB2312" w:cs="仿宋_GB2312"/>
          <w:sz w:val="32"/>
          <w:szCs w:val="32"/>
        </w:rPr>
        <w:t>万元，完成预算的100%。项目绩效目标完成情况：一是保障了群众合法权益</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发现的主要问题及原因：无。下一步改进措施：无。</w:t>
      </w:r>
    </w:p>
    <w:p>
      <w:pPr>
        <w:adjustRightInd w:val="0"/>
        <w:snapToGrid w:val="0"/>
        <w:spacing w:line="580" w:lineRule="exact"/>
        <w:ind w:left="1050"/>
        <w:rPr>
          <w:rFonts w:ascii="仿宋_GB2312" w:hAnsi="仿宋_GB2312" w:eastAsia="仿宋_GB2312" w:cs="仿宋_GB2312"/>
          <w:sz w:val="32"/>
          <w:szCs w:val="32"/>
        </w:rPr>
      </w:pPr>
      <w:r>
        <w:rPr>
          <w:rFonts w:hint="eastAsia" w:ascii="仿宋_GB2312" w:hAnsi="仿宋_GB2312" w:eastAsia="仿宋_GB2312" w:cs="仿宋_GB2312"/>
          <w:sz w:val="32"/>
          <w:szCs w:val="32"/>
        </w:rPr>
        <w:t>具体统计表如下：</w:t>
      </w:r>
    </w:p>
    <w:tbl>
      <w:tblPr>
        <w:tblStyle w:val="5"/>
        <w:tblW w:w="9060" w:type="dxa"/>
        <w:tblInd w:w="93" w:type="dxa"/>
        <w:tblLayout w:type="fixed"/>
        <w:tblCellMar>
          <w:top w:w="0" w:type="dxa"/>
          <w:left w:w="108" w:type="dxa"/>
          <w:bottom w:w="0" w:type="dxa"/>
          <w:right w:w="108" w:type="dxa"/>
        </w:tblCellMar>
      </w:tblPr>
      <w:tblGrid>
        <w:gridCol w:w="781"/>
        <w:gridCol w:w="4272"/>
        <w:gridCol w:w="1225"/>
        <w:gridCol w:w="904"/>
        <w:gridCol w:w="1011"/>
        <w:gridCol w:w="867"/>
      </w:tblGrid>
      <w:tr>
        <w:tblPrEx>
          <w:tblCellMar>
            <w:top w:w="0" w:type="dxa"/>
            <w:left w:w="108" w:type="dxa"/>
            <w:bottom w:w="0" w:type="dxa"/>
            <w:right w:w="108" w:type="dxa"/>
          </w:tblCellMar>
        </w:tblPrEx>
        <w:trPr>
          <w:trHeight w:val="645" w:hRule="atLeast"/>
        </w:trPr>
        <w:tc>
          <w:tcPr>
            <w:tcW w:w="781" w:type="dxa"/>
            <w:vMerge w:val="restart"/>
            <w:tcBorders>
              <w:top w:val="single" w:color="auto" w:sz="4" w:space="0"/>
              <w:left w:val="single" w:color="auto" w:sz="4" w:space="0"/>
              <w:right w:val="single" w:color="auto" w:sz="4" w:space="0"/>
            </w:tcBorders>
            <w:vAlign w:val="center"/>
          </w:tcPr>
          <w:p>
            <w:pPr>
              <w:widowControl/>
              <w:jc w:val="center"/>
              <w:rPr>
                <w:rFonts w:ascii="宋体" w:hAnsi="宋体" w:eastAsia="宋体" w:cs="宋体"/>
                <w:color w:val="000000"/>
                <w:kern w:val="0"/>
                <w:sz w:val="22"/>
              </w:rPr>
            </w:pPr>
            <w:r>
              <w:rPr>
                <w:rFonts w:hint="eastAsia" w:ascii="宋体" w:hAnsi="宋体" w:cs="宋体"/>
                <w:color w:val="000000"/>
                <w:kern w:val="0"/>
                <w:sz w:val="22"/>
              </w:rPr>
              <w:t>序号</w:t>
            </w:r>
          </w:p>
        </w:tc>
        <w:tc>
          <w:tcPr>
            <w:tcW w:w="4272"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color w:val="000000"/>
                <w:kern w:val="0"/>
                <w:sz w:val="22"/>
              </w:rPr>
            </w:pPr>
            <w:r>
              <w:rPr>
                <w:rFonts w:hint="eastAsia" w:ascii="宋体" w:hAnsi="宋体" w:cs="宋体"/>
                <w:color w:val="000000"/>
                <w:kern w:val="0"/>
                <w:sz w:val="22"/>
              </w:rPr>
              <w:t>项目名称</w:t>
            </w:r>
          </w:p>
        </w:tc>
        <w:tc>
          <w:tcPr>
            <w:tcW w:w="1225"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color w:val="000000"/>
                <w:kern w:val="0"/>
                <w:sz w:val="22"/>
              </w:rPr>
            </w:pPr>
            <w:r>
              <w:rPr>
                <w:rFonts w:hint="eastAsia" w:ascii="宋体" w:hAnsi="宋体" w:cs="宋体"/>
                <w:color w:val="000000"/>
                <w:kern w:val="0"/>
                <w:sz w:val="22"/>
              </w:rPr>
              <w:t>资金数额（万元）</w:t>
            </w:r>
          </w:p>
        </w:tc>
        <w:tc>
          <w:tcPr>
            <w:tcW w:w="2782" w:type="dxa"/>
            <w:gridSpan w:val="3"/>
            <w:tcBorders>
              <w:top w:val="single" w:color="auto" w:sz="4" w:space="0"/>
              <w:left w:val="nil"/>
              <w:bottom w:val="single" w:color="auto" w:sz="4" w:space="0"/>
              <w:right w:val="single" w:color="auto" w:sz="4" w:space="0"/>
            </w:tcBorders>
            <w:vAlign w:val="center"/>
          </w:tcPr>
          <w:p>
            <w:pPr>
              <w:widowControl/>
              <w:jc w:val="center"/>
              <w:rPr>
                <w:rFonts w:ascii="宋体" w:cs="宋体"/>
                <w:color w:val="000000"/>
                <w:kern w:val="0"/>
                <w:sz w:val="22"/>
              </w:rPr>
            </w:pPr>
            <w:r>
              <w:rPr>
                <w:rFonts w:hint="eastAsia" w:ascii="宋体" w:hAnsi="宋体" w:cs="宋体"/>
                <w:color w:val="000000"/>
                <w:kern w:val="0"/>
                <w:sz w:val="22"/>
              </w:rPr>
              <w:t>年底绩效目标实现情况</w:t>
            </w:r>
          </w:p>
        </w:tc>
      </w:tr>
      <w:tr>
        <w:tblPrEx>
          <w:tblCellMar>
            <w:top w:w="0" w:type="dxa"/>
            <w:left w:w="108" w:type="dxa"/>
            <w:bottom w:w="0" w:type="dxa"/>
            <w:right w:w="108" w:type="dxa"/>
          </w:tblCellMar>
        </w:tblPrEx>
        <w:trPr>
          <w:trHeight w:val="645" w:hRule="atLeast"/>
        </w:trPr>
        <w:tc>
          <w:tcPr>
            <w:tcW w:w="781" w:type="dxa"/>
            <w:vMerge w:val="continue"/>
            <w:tcBorders>
              <w:left w:val="single" w:color="auto" w:sz="4" w:space="0"/>
              <w:bottom w:val="single" w:color="auto" w:sz="4" w:space="0"/>
              <w:right w:val="single" w:color="auto" w:sz="4" w:space="0"/>
            </w:tcBorders>
            <w:vAlign w:val="center"/>
          </w:tcPr>
          <w:p>
            <w:pPr>
              <w:widowControl/>
              <w:jc w:val="left"/>
              <w:rPr>
                <w:rFonts w:ascii="宋体" w:cs="宋体"/>
                <w:color w:val="000000"/>
                <w:kern w:val="0"/>
                <w:sz w:val="22"/>
              </w:rPr>
            </w:pPr>
          </w:p>
        </w:tc>
        <w:tc>
          <w:tcPr>
            <w:tcW w:w="427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cs="宋体"/>
                <w:color w:val="000000"/>
                <w:kern w:val="0"/>
                <w:sz w:val="22"/>
              </w:rPr>
            </w:pPr>
          </w:p>
        </w:tc>
        <w:tc>
          <w:tcPr>
            <w:tcW w:w="122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cs="宋体"/>
                <w:color w:val="000000"/>
                <w:kern w:val="0"/>
                <w:sz w:val="22"/>
              </w:rPr>
            </w:pPr>
          </w:p>
        </w:tc>
        <w:tc>
          <w:tcPr>
            <w:tcW w:w="904" w:type="dxa"/>
            <w:tcBorders>
              <w:top w:val="nil"/>
              <w:left w:val="nil"/>
              <w:bottom w:val="single" w:color="auto" w:sz="4" w:space="0"/>
              <w:right w:val="single" w:color="auto" w:sz="4" w:space="0"/>
            </w:tcBorders>
            <w:vAlign w:val="center"/>
          </w:tcPr>
          <w:p>
            <w:pPr>
              <w:widowControl/>
              <w:jc w:val="center"/>
              <w:rPr>
                <w:rFonts w:ascii="宋体" w:cs="宋体"/>
                <w:color w:val="000000"/>
                <w:kern w:val="0"/>
                <w:sz w:val="22"/>
              </w:rPr>
            </w:pPr>
            <w:r>
              <w:rPr>
                <w:rFonts w:hint="eastAsia" w:ascii="宋体" w:hAnsi="宋体" w:cs="宋体"/>
                <w:color w:val="000000"/>
                <w:kern w:val="0"/>
                <w:sz w:val="22"/>
              </w:rPr>
              <w:t>能实现</w:t>
            </w:r>
          </w:p>
        </w:tc>
        <w:tc>
          <w:tcPr>
            <w:tcW w:w="1011" w:type="dxa"/>
            <w:tcBorders>
              <w:top w:val="nil"/>
              <w:left w:val="nil"/>
              <w:bottom w:val="single" w:color="auto" w:sz="4" w:space="0"/>
              <w:right w:val="single" w:color="auto" w:sz="4" w:space="0"/>
            </w:tcBorders>
            <w:vAlign w:val="center"/>
          </w:tcPr>
          <w:p>
            <w:pPr>
              <w:widowControl/>
              <w:jc w:val="center"/>
              <w:rPr>
                <w:rFonts w:ascii="宋体" w:cs="宋体"/>
                <w:color w:val="000000"/>
                <w:kern w:val="0"/>
                <w:sz w:val="22"/>
              </w:rPr>
            </w:pPr>
            <w:r>
              <w:rPr>
                <w:rFonts w:hint="eastAsia" w:ascii="宋体" w:hAnsi="宋体" w:cs="宋体"/>
                <w:color w:val="000000"/>
                <w:kern w:val="0"/>
                <w:sz w:val="22"/>
              </w:rPr>
              <w:t>不能完全实现</w:t>
            </w:r>
          </w:p>
        </w:tc>
        <w:tc>
          <w:tcPr>
            <w:tcW w:w="867" w:type="dxa"/>
            <w:tcBorders>
              <w:top w:val="nil"/>
              <w:left w:val="nil"/>
              <w:bottom w:val="single" w:color="auto" w:sz="4" w:space="0"/>
              <w:right w:val="single" w:color="auto" w:sz="4" w:space="0"/>
            </w:tcBorders>
            <w:vAlign w:val="center"/>
          </w:tcPr>
          <w:p>
            <w:pPr>
              <w:widowControl/>
              <w:jc w:val="center"/>
              <w:rPr>
                <w:rFonts w:ascii="宋体" w:cs="宋体"/>
                <w:color w:val="000000"/>
                <w:kern w:val="0"/>
                <w:sz w:val="22"/>
              </w:rPr>
            </w:pPr>
            <w:r>
              <w:rPr>
                <w:rFonts w:hint="eastAsia" w:ascii="宋体" w:hAnsi="宋体" w:cs="宋体"/>
                <w:color w:val="000000"/>
                <w:kern w:val="0"/>
                <w:sz w:val="22"/>
              </w:rPr>
              <w:t>差距较大</w:t>
            </w:r>
          </w:p>
        </w:tc>
      </w:tr>
      <w:tr>
        <w:tblPrEx>
          <w:tblCellMar>
            <w:top w:w="0" w:type="dxa"/>
            <w:left w:w="108" w:type="dxa"/>
            <w:bottom w:w="0" w:type="dxa"/>
            <w:right w:w="108" w:type="dxa"/>
          </w:tblCellMar>
        </w:tblPrEx>
        <w:trPr>
          <w:trHeight w:val="495" w:hRule="atLeast"/>
        </w:trPr>
        <w:tc>
          <w:tcPr>
            <w:tcW w:w="781" w:type="dxa"/>
            <w:tcBorders>
              <w:top w:val="nil"/>
              <w:left w:val="single" w:color="auto" w:sz="4" w:space="0"/>
              <w:bottom w:val="single" w:color="auto" w:sz="4" w:space="0"/>
              <w:right w:val="single" w:color="auto" w:sz="4" w:space="0"/>
            </w:tcBorders>
            <w:vAlign w:val="center"/>
          </w:tcPr>
          <w:p>
            <w:pPr>
              <w:widowControl/>
              <w:jc w:val="center"/>
              <w:rPr>
                <w:rFonts w:ascii="宋体" w:eastAsia="宋体" w:cs="宋体"/>
                <w:color w:val="000000"/>
                <w:kern w:val="0"/>
                <w:sz w:val="22"/>
              </w:rPr>
            </w:pPr>
            <w:r>
              <w:rPr>
                <w:rFonts w:hint="eastAsia" w:ascii="宋体" w:cs="宋体"/>
                <w:color w:val="000000"/>
                <w:kern w:val="0"/>
                <w:sz w:val="22"/>
              </w:rPr>
              <w:t>1</w:t>
            </w:r>
          </w:p>
        </w:tc>
        <w:tc>
          <w:tcPr>
            <w:tcW w:w="4272" w:type="dxa"/>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Arial"/>
                <w:color w:val="000000"/>
                <w:kern w:val="0"/>
                <w:sz w:val="22"/>
              </w:rPr>
            </w:pPr>
            <w:r>
              <w:rPr>
                <w:rFonts w:hint="eastAsia" w:cs="Arial"/>
                <w:color w:val="000000"/>
                <w:sz w:val="22"/>
                <w:lang w:val="en-US" w:eastAsia="zh-CN"/>
              </w:rPr>
              <w:t>下达2019市级乡村振兴资金</w:t>
            </w:r>
          </w:p>
        </w:tc>
        <w:tc>
          <w:tcPr>
            <w:tcW w:w="1225" w:type="dxa"/>
            <w:tcBorders>
              <w:top w:val="nil"/>
              <w:left w:val="nil"/>
              <w:bottom w:val="single" w:color="auto" w:sz="4" w:space="0"/>
              <w:right w:val="single" w:color="auto" w:sz="4" w:space="0"/>
            </w:tcBorders>
            <w:vAlign w:val="bottom"/>
          </w:tcPr>
          <w:p>
            <w:pPr>
              <w:widowControl/>
              <w:jc w:val="right"/>
              <w:rPr>
                <w:rFonts w:ascii="Arial" w:hAnsi="Arial" w:eastAsia="宋体" w:cs="Arial"/>
                <w:color w:val="000000"/>
                <w:kern w:val="0"/>
                <w:sz w:val="20"/>
                <w:szCs w:val="20"/>
              </w:rPr>
            </w:pPr>
            <w:r>
              <w:rPr>
                <w:rFonts w:hint="eastAsia" w:ascii="Arial" w:hAnsi="Arial" w:cs="Arial"/>
                <w:color w:val="000000"/>
                <w:sz w:val="20"/>
                <w:szCs w:val="20"/>
                <w:lang w:val="en-US" w:eastAsia="zh-CN"/>
              </w:rPr>
              <w:t>21.70</w:t>
            </w:r>
            <w:r>
              <w:rPr>
                <w:rFonts w:ascii="Arial" w:hAnsi="Arial" w:cs="Arial"/>
                <w:color w:val="000000"/>
                <w:sz w:val="20"/>
                <w:szCs w:val="20"/>
              </w:rPr>
              <w:t xml:space="preserve"> </w:t>
            </w:r>
          </w:p>
        </w:tc>
        <w:tc>
          <w:tcPr>
            <w:tcW w:w="904" w:type="dxa"/>
            <w:tcBorders>
              <w:top w:val="nil"/>
              <w:left w:val="nil"/>
              <w:bottom w:val="single" w:color="auto" w:sz="4" w:space="0"/>
              <w:right w:val="single" w:color="auto" w:sz="4" w:space="0"/>
            </w:tcBorders>
            <w:vAlign w:val="center"/>
          </w:tcPr>
          <w:p>
            <w:pPr>
              <w:widowControl/>
              <w:jc w:val="center"/>
              <w:rPr>
                <w:rFonts w:ascii="宋体" w:eastAsia="宋体" w:cs="宋体"/>
                <w:color w:val="000000"/>
                <w:kern w:val="0"/>
                <w:sz w:val="22"/>
              </w:rPr>
            </w:pPr>
            <w:r>
              <w:rPr>
                <w:rFonts w:hint="eastAsia" w:ascii="宋体" w:hAnsi="宋体" w:cs="宋体"/>
                <w:color w:val="000000"/>
                <w:kern w:val="0"/>
                <w:sz w:val="22"/>
              </w:rPr>
              <w:t>√</w:t>
            </w:r>
          </w:p>
        </w:tc>
        <w:tc>
          <w:tcPr>
            <w:tcW w:w="1011" w:type="dxa"/>
            <w:tcBorders>
              <w:top w:val="nil"/>
              <w:left w:val="nil"/>
              <w:bottom w:val="single" w:color="auto" w:sz="4" w:space="0"/>
              <w:right w:val="single" w:color="auto" w:sz="4" w:space="0"/>
            </w:tcBorders>
            <w:vAlign w:val="center"/>
          </w:tcPr>
          <w:p>
            <w:pPr>
              <w:widowControl/>
              <w:jc w:val="left"/>
              <w:rPr>
                <w:rFonts w:ascii="宋体" w:cs="宋体"/>
                <w:color w:val="000000"/>
                <w:kern w:val="0"/>
                <w:sz w:val="22"/>
              </w:rPr>
            </w:pPr>
          </w:p>
        </w:tc>
        <w:tc>
          <w:tcPr>
            <w:tcW w:w="867" w:type="dxa"/>
            <w:tcBorders>
              <w:top w:val="nil"/>
              <w:left w:val="nil"/>
              <w:bottom w:val="single" w:color="auto" w:sz="4" w:space="0"/>
              <w:right w:val="single" w:color="auto" w:sz="4" w:space="0"/>
            </w:tcBorders>
            <w:vAlign w:val="center"/>
          </w:tcPr>
          <w:p>
            <w:pPr>
              <w:widowControl/>
              <w:jc w:val="left"/>
              <w:rPr>
                <w:rFonts w:ascii="宋体" w:cs="宋体"/>
                <w:color w:val="000000"/>
                <w:kern w:val="0"/>
                <w:sz w:val="22"/>
              </w:rPr>
            </w:pPr>
          </w:p>
        </w:tc>
      </w:tr>
      <w:tr>
        <w:tblPrEx>
          <w:tblCellMar>
            <w:top w:w="0" w:type="dxa"/>
            <w:left w:w="108" w:type="dxa"/>
            <w:bottom w:w="0" w:type="dxa"/>
            <w:right w:w="108" w:type="dxa"/>
          </w:tblCellMar>
        </w:tblPrEx>
        <w:trPr>
          <w:trHeight w:val="495" w:hRule="atLeast"/>
        </w:trPr>
        <w:tc>
          <w:tcPr>
            <w:tcW w:w="781" w:type="dxa"/>
            <w:tcBorders>
              <w:top w:val="nil"/>
              <w:left w:val="single" w:color="auto" w:sz="4" w:space="0"/>
              <w:bottom w:val="single" w:color="auto" w:sz="4" w:space="0"/>
              <w:right w:val="single" w:color="auto" w:sz="4" w:space="0"/>
            </w:tcBorders>
            <w:vAlign w:val="center"/>
          </w:tcPr>
          <w:p>
            <w:pPr>
              <w:widowControl/>
              <w:jc w:val="center"/>
              <w:rPr>
                <w:rFonts w:ascii="宋体" w:eastAsia="宋体" w:cs="宋体"/>
                <w:color w:val="000000"/>
                <w:kern w:val="0"/>
                <w:sz w:val="22"/>
              </w:rPr>
            </w:pPr>
            <w:r>
              <w:rPr>
                <w:rFonts w:hint="eastAsia" w:ascii="宋体" w:cs="宋体"/>
                <w:color w:val="000000"/>
                <w:kern w:val="0"/>
                <w:sz w:val="22"/>
              </w:rPr>
              <w:t>2</w:t>
            </w:r>
          </w:p>
        </w:tc>
        <w:tc>
          <w:tcPr>
            <w:tcW w:w="4272" w:type="dxa"/>
            <w:tcBorders>
              <w:top w:val="nil"/>
              <w:left w:val="single" w:color="auto" w:sz="4" w:space="0"/>
              <w:bottom w:val="single" w:color="auto" w:sz="4" w:space="0"/>
              <w:right w:val="single" w:color="auto" w:sz="4" w:space="0"/>
            </w:tcBorders>
            <w:vAlign w:val="center"/>
          </w:tcPr>
          <w:p>
            <w:pPr>
              <w:widowControl/>
              <w:jc w:val="left"/>
              <w:rPr>
                <w:rFonts w:hint="eastAsia" w:cs="Arial"/>
                <w:color w:val="000000"/>
                <w:sz w:val="22"/>
                <w:lang w:val="en-US" w:eastAsia="zh-CN"/>
              </w:rPr>
            </w:pPr>
            <w:r>
              <w:rPr>
                <w:rFonts w:hint="eastAsia" w:cs="Arial"/>
                <w:color w:val="000000"/>
                <w:sz w:val="22"/>
                <w:lang w:val="en-US" w:eastAsia="zh-CN"/>
              </w:rPr>
              <w:t>保阜(保沧）高速保定西出入口土地流转费用</w:t>
            </w:r>
          </w:p>
        </w:tc>
        <w:tc>
          <w:tcPr>
            <w:tcW w:w="1225" w:type="dxa"/>
            <w:tcBorders>
              <w:top w:val="nil"/>
              <w:left w:val="nil"/>
              <w:bottom w:val="single" w:color="auto" w:sz="4" w:space="0"/>
              <w:right w:val="single" w:color="auto" w:sz="4" w:space="0"/>
            </w:tcBorders>
            <w:vAlign w:val="bottom"/>
          </w:tcPr>
          <w:p>
            <w:pPr>
              <w:jc w:val="right"/>
              <w:rPr>
                <w:rFonts w:ascii="Arial" w:hAnsi="Arial" w:cs="Arial"/>
                <w:color w:val="000000"/>
                <w:sz w:val="20"/>
                <w:szCs w:val="20"/>
              </w:rPr>
            </w:pPr>
            <w:r>
              <w:rPr>
                <w:rFonts w:hint="eastAsia" w:ascii="Arial" w:hAnsi="Arial" w:cs="Arial"/>
                <w:color w:val="000000"/>
                <w:sz w:val="20"/>
                <w:szCs w:val="20"/>
                <w:lang w:val="en-US" w:eastAsia="zh-CN"/>
              </w:rPr>
              <w:t>8.00</w:t>
            </w:r>
            <w:r>
              <w:rPr>
                <w:rFonts w:ascii="Arial" w:hAnsi="Arial" w:cs="Arial"/>
                <w:color w:val="000000"/>
                <w:sz w:val="20"/>
                <w:szCs w:val="20"/>
              </w:rPr>
              <w:t xml:space="preserve"> </w:t>
            </w:r>
          </w:p>
        </w:tc>
        <w:tc>
          <w:tcPr>
            <w:tcW w:w="904" w:type="dxa"/>
            <w:tcBorders>
              <w:top w:val="nil"/>
              <w:left w:val="nil"/>
              <w:bottom w:val="single" w:color="auto" w:sz="4" w:space="0"/>
              <w:right w:val="single" w:color="auto" w:sz="4" w:space="0"/>
            </w:tcBorders>
            <w:vAlign w:val="center"/>
          </w:tcPr>
          <w:p>
            <w:pPr>
              <w:widowControl/>
              <w:jc w:val="center"/>
              <w:rPr>
                <w:rFonts w:ascii="宋体" w:eastAsia="宋体" w:cs="宋体"/>
                <w:color w:val="000000"/>
                <w:kern w:val="0"/>
                <w:sz w:val="22"/>
              </w:rPr>
            </w:pPr>
            <w:r>
              <w:rPr>
                <w:rFonts w:hint="eastAsia" w:ascii="宋体" w:hAnsi="宋体" w:cs="宋体"/>
                <w:color w:val="000000"/>
                <w:kern w:val="0"/>
                <w:sz w:val="22"/>
              </w:rPr>
              <w:t>√</w:t>
            </w:r>
          </w:p>
        </w:tc>
        <w:tc>
          <w:tcPr>
            <w:tcW w:w="1011" w:type="dxa"/>
            <w:tcBorders>
              <w:top w:val="nil"/>
              <w:left w:val="nil"/>
              <w:bottom w:val="single" w:color="auto" w:sz="4" w:space="0"/>
              <w:right w:val="single" w:color="auto" w:sz="4" w:space="0"/>
            </w:tcBorders>
            <w:vAlign w:val="center"/>
          </w:tcPr>
          <w:p>
            <w:pPr>
              <w:widowControl/>
              <w:jc w:val="left"/>
              <w:rPr>
                <w:rFonts w:ascii="宋体" w:cs="宋体"/>
                <w:color w:val="000000"/>
                <w:kern w:val="0"/>
                <w:sz w:val="22"/>
              </w:rPr>
            </w:pPr>
          </w:p>
        </w:tc>
        <w:tc>
          <w:tcPr>
            <w:tcW w:w="867" w:type="dxa"/>
            <w:tcBorders>
              <w:top w:val="nil"/>
              <w:left w:val="nil"/>
              <w:bottom w:val="single" w:color="auto" w:sz="4" w:space="0"/>
              <w:right w:val="single" w:color="auto" w:sz="4" w:space="0"/>
            </w:tcBorders>
            <w:vAlign w:val="center"/>
          </w:tcPr>
          <w:p>
            <w:pPr>
              <w:widowControl/>
              <w:jc w:val="left"/>
              <w:rPr>
                <w:rFonts w:ascii="宋体" w:cs="宋体"/>
                <w:color w:val="000000"/>
                <w:kern w:val="0"/>
                <w:sz w:val="22"/>
              </w:rPr>
            </w:pPr>
          </w:p>
        </w:tc>
      </w:tr>
      <w:tr>
        <w:tblPrEx>
          <w:tblCellMar>
            <w:top w:w="0" w:type="dxa"/>
            <w:left w:w="108" w:type="dxa"/>
            <w:bottom w:w="0" w:type="dxa"/>
            <w:right w:w="108" w:type="dxa"/>
          </w:tblCellMar>
        </w:tblPrEx>
        <w:trPr>
          <w:trHeight w:val="414" w:hRule="atLeast"/>
        </w:trPr>
        <w:tc>
          <w:tcPr>
            <w:tcW w:w="781" w:type="dxa"/>
            <w:tcBorders>
              <w:top w:val="nil"/>
              <w:left w:val="single" w:color="auto" w:sz="4" w:space="0"/>
              <w:bottom w:val="single" w:color="auto" w:sz="4" w:space="0"/>
              <w:right w:val="single" w:color="auto" w:sz="4" w:space="0"/>
            </w:tcBorders>
            <w:vAlign w:val="center"/>
          </w:tcPr>
          <w:p>
            <w:pPr>
              <w:widowControl/>
              <w:jc w:val="center"/>
              <w:rPr>
                <w:rFonts w:ascii="宋体" w:cs="宋体"/>
                <w:color w:val="000000"/>
                <w:kern w:val="0"/>
                <w:sz w:val="22"/>
              </w:rPr>
            </w:pPr>
            <w:r>
              <w:rPr>
                <w:rFonts w:hint="eastAsia" w:ascii="宋体" w:cs="宋体"/>
                <w:color w:val="000000"/>
                <w:kern w:val="0"/>
                <w:sz w:val="22"/>
              </w:rPr>
              <w:t>3</w:t>
            </w:r>
          </w:p>
        </w:tc>
        <w:tc>
          <w:tcPr>
            <w:tcW w:w="4272" w:type="dxa"/>
            <w:tcBorders>
              <w:top w:val="nil"/>
              <w:left w:val="single" w:color="auto" w:sz="4" w:space="0"/>
              <w:bottom w:val="single" w:color="auto" w:sz="4" w:space="0"/>
              <w:right w:val="single" w:color="auto" w:sz="4" w:space="0"/>
            </w:tcBorders>
            <w:vAlign w:val="center"/>
          </w:tcPr>
          <w:p>
            <w:pPr>
              <w:widowControl/>
              <w:jc w:val="left"/>
              <w:rPr>
                <w:rFonts w:hint="eastAsia" w:cs="Arial"/>
                <w:color w:val="000000"/>
                <w:sz w:val="22"/>
                <w:lang w:val="en-US" w:eastAsia="zh-CN"/>
              </w:rPr>
            </w:pPr>
            <w:r>
              <w:rPr>
                <w:rFonts w:hint="eastAsia" w:cs="Arial"/>
                <w:color w:val="000000"/>
                <w:sz w:val="22"/>
                <w:lang w:val="en-US" w:eastAsia="zh-CN"/>
              </w:rPr>
              <w:t>农村文化建设资金</w:t>
            </w:r>
          </w:p>
        </w:tc>
        <w:tc>
          <w:tcPr>
            <w:tcW w:w="1225" w:type="dxa"/>
            <w:tcBorders>
              <w:top w:val="nil"/>
              <w:left w:val="nil"/>
              <w:bottom w:val="single" w:color="auto" w:sz="4" w:space="0"/>
              <w:right w:val="single" w:color="auto" w:sz="4" w:space="0"/>
            </w:tcBorders>
            <w:vAlign w:val="bottom"/>
          </w:tcPr>
          <w:p>
            <w:pPr>
              <w:jc w:val="right"/>
              <w:rPr>
                <w:rFonts w:hint="default" w:ascii="Arial" w:hAnsi="Arial" w:cs="Arial" w:eastAsiaTheme="minorEastAsia"/>
                <w:color w:val="000000"/>
                <w:sz w:val="20"/>
                <w:szCs w:val="20"/>
                <w:lang w:val="en-US" w:eastAsia="zh-CN"/>
              </w:rPr>
            </w:pPr>
            <w:r>
              <w:rPr>
                <w:rFonts w:hint="eastAsia" w:ascii="Arial" w:hAnsi="Arial" w:cs="Arial"/>
                <w:color w:val="000000"/>
                <w:sz w:val="20"/>
                <w:szCs w:val="20"/>
                <w:lang w:val="en-US" w:eastAsia="zh-CN"/>
              </w:rPr>
              <w:t>14.60</w:t>
            </w:r>
          </w:p>
        </w:tc>
        <w:tc>
          <w:tcPr>
            <w:tcW w:w="904" w:type="dxa"/>
            <w:tcBorders>
              <w:top w:val="nil"/>
              <w:left w:val="nil"/>
              <w:bottom w:val="single" w:color="auto" w:sz="4" w:space="0"/>
              <w:right w:val="single" w:color="auto" w:sz="4" w:space="0"/>
            </w:tcBorders>
            <w:vAlign w:val="center"/>
          </w:tcPr>
          <w:p>
            <w:pPr>
              <w:widowControl/>
              <w:jc w:val="center"/>
              <w:rPr>
                <w:rFonts w:ascii="宋体" w:cs="宋体"/>
                <w:color w:val="000000"/>
                <w:kern w:val="0"/>
                <w:sz w:val="22"/>
              </w:rPr>
            </w:pPr>
            <w:r>
              <w:rPr>
                <w:rFonts w:hint="eastAsia" w:ascii="宋体" w:hAnsi="宋体" w:cs="宋体"/>
                <w:color w:val="000000"/>
                <w:kern w:val="0"/>
                <w:sz w:val="22"/>
              </w:rPr>
              <w:t>√</w:t>
            </w:r>
          </w:p>
        </w:tc>
        <w:tc>
          <w:tcPr>
            <w:tcW w:w="1011" w:type="dxa"/>
            <w:tcBorders>
              <w:top w:val="nil"/>
              <w:left w:val="nil"/>
              <w:bottom w:val="single" w:color="auto" w:sz="4" w:space="0"/>
              <w:right w:val="single" w:color="auto" w:sz="4" w:space="0"/>
            </w:tcBorders>
            <w:vAlign w:val="center"/>
          </w:tcPr>
          <w:p>
            <w:pPr>
              <w:widowControl/>
              <w:jc w:val="left"/>
              <w:rPr>
                <w:rFonts w:ascii="宋体" w:cs="宋体"/>
                <w:color w:val="FF0000"/>
                <w:kern w:val="0"/>
                <w:sz w:val="22"/>
              </w:rPr>
            </w:pPr>
            <w:r>
              <w:rPr>
                <w:rFonts w:hint="eastAsia" w:ascii="宋体" w:hAnsi="宋体" w:cs="宋体"/>
                <w:color w:val="FF0000"/>
                <w:kern w:val="0"/>
                <w:sz w:val="22"/>
              </w:rPr>
              <w:t>　</w:t>
            </w:r>
          </w:p>
        </w:tc>
        <w:tc>
          <w:tcPr>
            <w:tcW w:w="867" w:type="dxa"/>
            <w:tcBorders>
              <w:top w:val="nil"/>
              <w:left w:val="nil"/>
              <w:bottom w:val="single" w:color="auto" w:sz="4" w:space="0"/>
              <w:right w:val="single" w:color="auto" w:sz="4" w:space="0"/>
            </w:tcBorders>
            <w:vAlign w:val="center"/>
          </w:tcPr>
          <w:p>
            <w:pPr>
              <w:widowControl/>
              <w:jc w:val="left"/>
              <w:rPr>
                <w:rFonts w:ascii="宋体" w:cs="宋体"/>
                <w:color w:val="FF0000"/>
                <w:kern w:val="0"/>
                <w:sz w:val="22"/>
              </w:rPr>
            </w:pPr>
            <w:r>
              <w:rPr>
                <w:rFonts w:hint="eastAsia" w:ascii="宋体" w:hAnsi="宋体" w:cs="宋体"/>
                <w:color w:val="FF0000"/>
                <w:kern w:val="0"/>
                <w:sz w:val="22"/>
              </w:rPr>
              <w:t>　</w:t>
            </w:r>
          </w:p>
        </w:tc>
      </w:tr>
      <w:tr>
        <w:tblPrEx>
          <w:tblCellMar>
            <w:top w:w="0" w:type="dxa"/>
            <w:left w:w="108" w:type="dxa"/>
            <w:bottom w:w="0" w:type="dxa"/>
            <w:right w:w="108" w:type="dxa"/>
          </w:tblCellMar>
        </w:tblPrEx>
        <w:trPr>
          <w:trHeight w:val="495" w:hRule="atLeast"/>
        </w:trPr>
        <w:tc>
          <w:tcPr>
            <w:tcW w:w="78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color w:val="000000"/>
                <w:kern w:val="0"/>
                <w:sz w:val="22"/>
              </w:rPr>
            </w:pPr>
            <w:r>
              <w:rPr>
                <w:rFonts w:hint="eastAsia" w:ascii="宋体" w:cs="宋体"/>
                <w:color w:val="000000"/>
                <w:kern w:val="0"/>
                <w:sz w:val="22"/>
              </w:rPr>
              <w:t>4</w:t>
            </w:r>
          </w:p>
        </w:tc>
        <w:tc>
          <w:tcPr>
            <w:tcW w:w="4272"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cs="Arial"/>
                <w:color w:val="000000"/>
                <w:sz w:val="22"/>
                <w:lang w:val="en-US" w:eastAsia="zh-CN"/>
              </w:rPr>
            </w:pPr>
            <w:r>
              <w:rPr>
                <w:rFonts w:hint="eastAsia" w:cs="Arial"/>
                <w:color w:val="000000"/>
                <w:sz w:val="22"/>
                <w:lang w:val="en-US" w:eastAsia="zh-CN"/>
              </w:rPr>
              <w:t>于家庄镇防控经费</w:t>
            </w:r>
          </w:p>
        </w:tc>
        <w:tc>
          <w:tcPr>
            <w:tcW w:w="1225" w:type="dxa"/>
            <w:tcBorders>
              <w:top w:val="single" w:color="auto" w:sz="4" w:space="0"/>
              <w:left w:val="single" w:color="auto" w:sz="4" w:space="0"/>
              <w:bottom w:val="single" w:color="auto" w:sz="4" w:space="0"/>
              <w:right w:val="single" w:color="auto" w:sz="4" w:space="0"/>
            </w:tcBorders>
            <w:vAlign w:val="bottom"/>
          </w:tcPr>
          <w:p>
            <w:pPr>
              <w:jc w:val="right"/>
              <w:rPr>
                <w:rFonts w:ascii="Arial" w:hAnsi="Arial" w:cs="Arial"/>
                <w:color w:val="000000"/>
                <w:sz w:val="20"/>
                <w:szCs w:val="20"/>
              </w:rPr>
            </w:pPr>
            <w:r>
              <w:rPr>
                <w:rFonts w:hint="eastAsia" w:ascii="Arial" w:hAnsi="Arial" w:cs="Arial"/>
                <w:color w:val="000000"/>
                <w:sz w:val="20"/>
                <w:szCs w:val="20"/>
                <w:lang w:val="en-US" w:eastAsia="zh-CN"/>
              </w:rPr>
              <w:t>12.00</w:t>
            </w:r>
            <w:r>
              <w:rPr>
                <w:rFonts w:ascii="Arial" w:hAnsi="Arial" w:cs="Arial"/>
                <w:color w:val="000000"/>
                <w:sz w:val="20"/>
                <w:szCs w:val="20"/>
              </w:rPr>
              <w:t xml:space="preserve"> </w:t>
            </w:r>
          </w:p>
        </w:tc>
        <w:tc>
          <w:tcPr>
            <w:tcW w:w="90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w:t>
            </w:r>
          </w:p>
        </w:tc>
        <w:tc>
          <w:tcPr>
            <w:tcW w:w="1011"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867"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r>
      <w:tr>
        <w:tblPrEx>
          <w:tblCellMar>
            <w:top w:w="0" w:type="dxa"/>
            <w:left w:w="108" w:type="dxa"/>
            <w:bottom w:w="0" w:type="dxa"/>
            <w:right w:w="108" w:type="dxa"/>
          </w:tblCellMar>
        </w:tblPrEx>
        <w:trPr>
          <w:trHeight w:val="495" w:hRule="atLeast"/>
        </w:trPr>
        <w:tc>
          <w:tcPr>
            <w:tcW w:w="78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color w:val="000000"/>
                <w:kern w:val="0"/>
                <w:sz w:val="22"/>
              </w:rPr>
            </w:pPr>
            <w:r>
              <w:rPr>
                <w:rFonts w:hint="eastAsia" w:ascii="宋体" w:cs="宋体"/>
                <w:color w:val="000000"/>
                <w:kern w:val="0"/>
                <w:sz w:val="22"/>
              </w:rPr>
              <w:t>5</w:t>
            </w:r>
          </w:p>
        </w:tc>
        <w:tc>
          <w:tcPr>
            <w:tcW w:w="4272"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cs="Arial"/>
                <w:color w:val="000000"/>
                <w:sz w:val="22"/>
                <w:lang w:val="en-US" w:eastAsia="zh-CN"/>
              </w:rPr>
            </w:pPr>
            <w:r>
              <w:rPr>
                <w:rFonts w:hint="eastAsia" w:cs="Arial"/>
                <w:color w:val="000000"/>
                <w:sz w:val="22"/>
                <w:lang w:val="en-US" w:eastAsia="zh-CN"/>
              </w:rPr>
              <w:t>2019年中央农村综合改革转移支付资金保财农改[2019]4号</w:t>
            </w:r>
          </w:p>
        </w:tc>
        <w:tc>
          <w:tcPr>
            <w:tcW w:w="1225" w:type="dxa"/>
            <w:tcBorders>
              <w:top w:val="single" w:color="auto" w:sz="4" w:space="0"/>
              <w:left w:val="single" w:color="auto" w:sz="4" w:space="0"/>
              <w:bottom w:val="single" w:color="auto" w:sz="4" w:space="0"/>
              <w:right w:val="single" w:color="auto" w:sz="4" w:space="0"/>
            </w:tcBorders>
            <w:vAlign w:val="bottom"/>
          </w:tcPr>
          <w:p>
            <w:pPr>
              <w:jc w:val="right"/>
              <w:rPr>
                <w:rFonts w:ascii="Arial" w:hAnsi="Arial" w:cs="Arial"/>
                <w:color w:val="000000"/>
                <w:sz w:val="20"/>
                <w:szCs w:val="20"/>
              </w:rPr>
            </w:pPr>
            <w:r>
              <w:rPr>
                <w:rFonts w:hint="eastAsia" w:ascii="Arial" w:hAnsi="Arial" w:cs="Arial"/>
                <w:color w:val="000000"/>
                <w:sz w:val="20"/>
                <w:szCs w:val="20"/>
                <w:lang w:val="en-US" w:eastAsia="zh-CN"/>
              </w:rPr>
              <w:t>0.54</w:t>
            </w:r>
            <w:r>
              <w:rPr>
                <w:rFonts w:ascii="Arial" w:hAnsi="Arial" w:cs="Arial"/>
                <w:color w:val="000000"/>
                <w:sz w:val="20"/>
                <w:szCs w:val="20"/>
              </w:rPr>
              <w:t xml:space="preserve"> </w:t>
            </w:r>
          </w:p>
        </w:tc>
        <w:tc>
          <w:tcPr>
            <w:tcW w:w="90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w:t>
            </w:r>
          </w:p>
        </w:tc>
        <w:tc>
          <w:tcPr>
            <w:tcW w:w="1011"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867"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r>
      <w:tr>
        <w:tblPrEx>
          <w:tblCellMar>
            <w:top w:w="0" w:type="dxa"/>
            <w:left w:w="108" w:type="dxa"/>
            <w:bottom w:w="0" w:type="dxa"/>
            <w:right w:w="108" w:type="dxa"/>
          </w:tblCellMar>
        </w:tblPrEx>
        <w:trPr>
          <w:trHeight w:val="495" w:hRule="atLeast"/>
        </w:trPr>
        <w:tc>
          <w:tcPr>
            <w:tcW w:w="78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6</w:t>
            </w:r>
          </w:p>
        </w:tc>
        <w:tc>
          <w:tcPr>
            <w:tcW w:w="4272"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cs="Arial"/>
                <w:color w:val="000000"/>
                <w:sz w:val="22"/>
                <w:lang w:val="en-US" w:eastAsia="zh-CN"/>
              </w:rPr>
            </w:pPr>
            <w:r>
              <w:rPr>
                <w:rFonts w:hint="eastAsia" w:cs="Arial"/>
                <w:color w:val="000000"/>
                <w:sz w:val="22"/>
                <w:lang w:val="en-US" w:eastAsia="zh-CN"/>
              </w:rPr>
              <w:t>2019年省级农村综合改革转移支付资金保财农改[2019]1号</w:t>
            </w:r>
          </w:p>
        </w:tc>
        <w:tc>
          <w:tcPr>
            <w:tcW w:w="1225" w:type="dxa"/>
            <w:tcBorders>
              <w:top w:val="single" w:color="auto" w:sz="4" w:space="0"/>
              <w:left w:val="single" w:color="auto" w:sz="4" w:space="0"/>
              <w:bottom w:val="single" w:color="auto" w:sz="4" w:space="0"/>
              <w:right w:val="single" w:color="auto" w:sz="4" w:space="0"/>
            </w:tcBorders>
            <w:vAlign w:val="bottom"/>
          </w:tcPr>
          <w:p>
            <w:pPr>
              <w:jc w:val="right"/>
              <w:rPr>
                <w:rFonts w:ascii="Arial" w:hAnsi="Arial" w:cs="Arial"/>
                <w:color w:val="000000"/>
                <w:sz w:val="20"/>
                <w:szCs w:val="20"/>
              </w:rPr>
            </w:pPr>
            <w:r>
              <w:rPr>
                <w:rFonts w:hint="eastAsia" w:ascii="Arial" w:hAnsi="Arial" w:cs="Arial"/>
                <w:color w:val="000000"/>
                <w:sz w:val="20"/>
                <w:szCs w:val="20"/>
                <w:lang w:val="en-US" w:eastAsia="zh-CN"/>
              </w:rPr>
              <w:t>8.00</w:t>
            </w:r>
            <w:r>
              <w:rPr>
                <w:rFonts w:ascii="Arial" w:hAnsi="Arial" w:cs="Arial"/>
                <w:color w:val="000000"/>
                <w:sz w:val="20"/>
                <w:szCs w:val="20"/>
              </w:rPr>
              <w:t xml:space="preserve"> </w:t>
            </w:r>
          </w:p>
        </w:tc>
        <w:tc>
          <w:tcPr>
            <w:tcW w:w="90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kern w:val="0"/>
                <w:sz w:val="22"/>
              </w:rPr>
              <w:t xml:space="preserve"> √</w:t>
            </w:r>
          </w:p>
        </w:tc>
        <w:tc>
          <w:tcPr>
            <w:tcW w:w="1011"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22"/>
              </w:rPr>
            </w:pPr>
            <w:r>
              <w:rPr>
                <w:rFonts w:hint="eastAsia" w:ascii="宋体" w:hAnsi="宋体" w:cs="宋体"/>
                <w:color w:val="000000"/>
                <w:kern w:val="0"/>
                <w:sz w:val="22"/>
              </w:rPr>
              <w:t xml:space="preserve">    </w:t>
            </w:r>
          </w:p>
        </w:tc>
        <w:tc>
          <w:tcPr>
            <w:tcW w:w="867"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FF0000"/>
                <w:kern w:val="0"/>
                <w:sz w:val="22"/>
              </w:rPr>
            </w:pPr>
          </w:p>
        </w:tc>
      </w:tr>
      <w:tr>
        <w:tblPrEx>
          <w:tblCellMar>
            <w:top w:w="0" w:type="dxa"/>
            <w:left w:w="108" w:type="dxa"/>
            <w:bottom w:w="0" w:type="dxa"/>
            <w:right w:w="108" w:type="dxa"/>
          </w:tblCellMar>
        </w:tblPrEx>
        <w:trPr>
          <w:trHeight w:val="495" w:hRule="atLeast"/>
        </w:trPr>
        <w:tc>
          <w:tcPr>
            <w:tcW w:w="78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7</w:t>
            </w:r>
          </w:p>
        </w:tc>
        <w:tc>
          <w:tcPr>
            <w:tcW w:w="4272"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cs="Arial"/>
                <w:color w:val="000000"/>
                <w:sz w:val="22"/>
                <w:lang w:val="en-US" w:eastAsia="zh-CN"/>
              </w:rPr>
            </w:pPr>
            <w:r>
              <w:rPr>
                <w:rFonts w:hint="eastAsia" w:cs="Arial"/>
                <w:color w:val="000000"/>
                <w:sz w:val="22"/>
                <w:lang w:val="en-US" w:eastAsia="zh-CN"/>
              </w:rPr>
              <w:t>2019年扶持壮大村级集体经济市级财政补助资金保财农改[2019]5号</w:t>
            </w:r>
          </w:p>
        </w:tc>
        <w:tc>
          <w:tcPr>
            <w:tcW w:w="1225" w:type="dxa"/>
            <w:tcBorders>
              <w:top w:val="single" w:color="auto" w:sz="4" w:space="0"/>
              <w:left w:val="single" w:color="auto" w:sz="4" w:space="0"/>
              <w:bottom w:val="single" w:color="auto" w:sz="4" w:space="0"/>
              <w:right w:val="single" w:color="auto" w:sz="4" w:space="0"/>
            </w:tcBorders>
            <w:vAlign w:val="bottom"/>
          </w:tcPr>
          <w:p>
            <w:pPr>
              <w:jc w:val="right"/>
              <w:rPr>
                <w:rFonts w:ascii="Arial" w:hAnsi="Arial" w:cs="Arial"/>
                <w:color w:val="000000"/>
                <w:sz w:val="20"/>
                <w:szCs w:val="20"/>
              </w:rPr>
            </w:pPr>
            <w:r>
              <w:rPr>
                <w:rFonts w:hint="eastAsia" w:ascii="Arial" w:hAnsi="Arial" w:cs="Arial"/>
                <w:color w:val="000000"/>
                <w:sz w:val="20"/>
                <w:szCs w:val="20"/>
                <w:lang w:val="en-US" w:eastAsia="zh-CN"/>
              </w:rPr>
              <w:t>10.00</w:t>
            </w:r>
            <w:r>
              <w:rPr>
                <w:rFonts w:ascii="Arial" w:hAnsi="Arial" w:cs="Arial"/>
                <w:color w:val="000000"/>
                <w:sz w:val="20"/>
                <w:szCs w:val="20"/>
              </w:rPr>
              <w:t xml:space="preserve"> </w:t>
            </w:r>
          </w:p>
        </w:tc>
        <w:tc>
          <w:tcPr>
            <w:tcW w:w="90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w:t>
            </w:r>
          </w:p>
        </w:tc>
        <w:tc>
          <w:tcPr>
            <w:tcW w:w="1011"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867"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r>
      <w:tr>
        <w:tblPrEx>
          <w:tblCellMar>
            <w:top w:w="0" w:type="dxa"/>
            <w:left w:w="108" w:type="dxa"/>
            <w:bottom w:w="0" w:type="dxa"/>
            <w:right w:w="108" w:type="dxa"/>
          </w:tblCellMar>
        </w:tblPrEx>
        <w:trPr>
          <w:trHeight w:val="495" w:hRule="atLeast"/>
        </w:trPr>
        <w:tc>
          <w:tcPr>
            <w:tcW w:w="78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2"/>
              </w:rPr>
            </w:pPr>
            <w:r>
              <w:rPr>
                <w:rFonts w:hint="eastAsia" w:ascii="宋体" w:hAnsi="宋体" w:cs="宋体"/>
                <w:kern w:val="0"/>
                <w:sz w:val="22"/>
              </w:rPr>
              <w:t>8</w:t>
            </w:r>
          </w:p>
        </w:tc>
        <w:tc>
          <w:tcPr>
            <w:tcW w:w="4272"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cs="Arial"/>
                <w:color w:val="000000"/>
                <w:sz w:val="22"/>
                <w:lang w:val="en-US" w:eastAsia="zh-CN"/>
              </w:rPr>
            </w:pPr>
            <w:r>
              <w:rPr>
                <w:rFonts w:hint="eastAsia" w:cs="Arial"/>
                <w:color w:val="000000"/>
                <w:sz w:val="22"/>
                <w:lang w:val="en-US" w:eastAsia="zh-CN"/>
              </w:rPr>
              <w:t>2017年农村综合改革资金一事一议</w:t>
            </w:r>
          </w:p>
        </w:tc>
        <w:tc>
          <w:tcPr>
            <w:tcW w:w="1225" w:type="dxa"/>
            <w:tcBorders>
              <w:top w:val="single" w:color="auto" w:sz="4" w:space="0"/>
              <w:left w:val="single" w:color="auto" w:sz="4" w:space="0"/>
              <w:bottom w:val="single" w:color="auto" w:sz="4" w:space="0"/>
              <w:right w:val="single" w:color="auto" w:sz="4" w:space="0"/>
            </w:tcBorders>
            <w:vAlign w:val="bottom"/>
          </w:tcPr>
          <w:p>
            <w:pPr>
              <w:jc w:val="right"/>
              <w:rPr>
                <w:rFonts w:hint="default" w:ascii="Arial" w:hAnsi="Arial" w:cs="Arial" w:eastAsiaTheme="minorEastAsia"/>
                <w:color w:val="000000"/>
                <w:sz w:val="20"/>
                <w:szCs w:val="20"/>
                <w:lang w:val="en-US" w:eastAsia="zh-CN"/>
              </w:rPr>
            </w:pPr>
            <w:r>
              <w:rPr>
                <w:rFonts w:hint="eastAsia" w:ascii="Arial" w:hAnsi="Arial" w:cs="Arial"/>
                <w:color w:val="000000"/>
                <w:sz w:val="20"/>
                <w:szCs w:val="20"/>
                <w:lang w:val="en-US" w:eastAsia="zh-CN"/>
              </w:rPr>
              <w:t>10.00</w:t>
            </w:r>
          </w:p>
        </w:tc>
        <w:tc>
          <w:tcPr>
            <w:tcW w:w="90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2"/>
              </w:rPr>
            </w:pPr>
            <w:r>
              <w:rPr>
                <w:rFonts w:hint="eastAsia" w:ascii="宋体" w:hAnsi="宋体" w:cs="宋体"/>
                <w:kern w:val="0"/>
                <w:sz w:val="22"/>
              </w:rPr>
              <w:t xml:space="preserve"> √</w:t>
            </w:r>
          </w:p>
        </w:tc>
        <w:tc>
          <w:tcPr>
            <w:tcW w:w="1011"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2"/>
              </w:rPr>
            </w:pPr>
            <w:r>
              <w:rPr>
                <w:rFonts w:hint="eastAsia" w:ascii="宋体" w:hAnsi="宋体" w:cs="宋体"/>
                <w:kern w:val="0"/>
                <w:sz w:val="22"/>
              </w:rPr>
              <w:t xml:space="preserve">    </w:t>
            </w:r>
          </w:p>
        </w:tc>
        <w:tc>
          <w:tcPr>
            <w:tcW w:w="867"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2"/>
              </w:rPr>
            </w:pPr>
            <w:r>
              <w:rPr>
                <w:rFonts w:hint="eastAsia" w:ascii="宋体" w:hAnsi="宋体" w:cs="宋体"/>
                <w:kern w:val="0"/>
                <w:sz w:val="22"/>
              </w:rPr>
              <w:t xml:space="preserve">    </w:t>
            </w:r>
          </w:p>
        </w:tc>
      </w:tr>
      <w:tr>
        <w:tblPrEx>
          <w:tblCellMar>
            <w:top w:w="0" w:type="dxa"/>
            <w:left w:w="108" w:type="dxa"/>
            <w:bottom w:w="0" w:type="dxa"/>
            <w:right w:w="108" w:type="dxa"/>
          </w:tblCellMar>
        </w:tblPrEx>
        <w:trPr>
          <w:trHeight w:val="495" w:hRule="atLeast"/>
        </w:trPr>
        <w:tc>
          <w:tcPr>
            <w:tcW w:w="78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2"/>
              </w:rPr>
            </w:pPr>
            <w:r>
              <w:rPr>
                <w:rFonts w:hint="eastAsia" w:ascii="宋体" w:hAnsi="宋体" w:cs="宋体"/>
                <w:kern w:val="0"/>
                <w:sz w:val="22"/>
              </w:rPr>
              <w:t>9</w:t>
            </w:r>
          </w:p>
        </w:tc>
        <w:tc>
          <w:tcPr>
            <w:tcW w:w="4272"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cs="Arial"/>
                <w:color w:val="000000"/>
                <w:sz w:val="22"/>
                <w:lang w:val="en-US" w:eastAsia="zh-CN"/>
              </w:rPr>
            </w:pPr>
            <w:r>
              <w:rPr>
                <w:rFonts w:hint="eastAsia" w:cs="Arial"/>
                <w:color w:val="000000"/>
                <w:sz w:val="22"/>
                <w:lang w:val="en-US" w:eastAsia="zh-CN"/>
              </w:rPr>
              <w:t>村干部基础职务补贴</w:t>
            </w:r>
          </w:p>
        </w:tc>
        <w:tc>
          <w:tcPr>
            <w:tcW w:w="1225" w:type="dxa"/>
            <w:tcBorders>
              <w:top w:val="single" w:color="auto" w:sz="4" w:space="0"/>
              <w:left w:val="single" w:color="auto" w:sz="4" w:space="0"/>
              <w:bottom w:val="single" w:color="auto" w:sz="4" w:space="0"/>
              <w:right w:val="single" w:color="auto" w:sz="4" w:space="0"/>
            </w:tcBorders>
            <w:vAlign w:val="bottom"/>
          </w:tcPr>
          <w:p>
            <w:pPr>
              <w:jc w:val="right"/>
              <w:rPr>
                <w:rFonts w:hint="default" w:ascii="Arial" w:hAnsi="Arial" w:cs="Arial" w:eastAsiaTheme="minorEastAsia"/>
                <w:color w:val="000000"/>
                <w:sz w:val="20"/>
                <w:szCs w:val="20"/>
                <w:lang w:val="en-US" w:eastAsia="zh-CN"/>
              </w:rPr>
            </w:pPr>
            <w:r>
              <w:rPr>
                <w:rFonts w:hint="eastAsia" w:ascii="Arial" w:hAnsi="Arial" w:cs="Arial"/>
                <w:color w:val="000000"/>
                <w:sz w:val="20"/>
                <w:szCs w:val="20"/>
                <w:lang w:val="en-US" w:eastAsia="zh-CN"/>
              </w:rPr>
              <w:t>6.00</w:t>
            </w:r>
          </w:p>
        </w:tc>
        <w:tc>
          <w:tcPr>
            <w:tcW w:w="90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2"/>
              </w:rPr>
            </w:pPr>
            <w:r>
              <w:rPr>
                <w:rFonts w:hint="eastAsia" w:ascii="宋体" w:hAnsi="宋体" w:cs="宋体"/>
                <w:kern w:val="0"/>
                <w:sz w:val="22"/>
              </w:rPr>
              <w:t xml:space="preserve"> √</w:t>
            </w:r>
          </w:p>
        </w:tc>
        <w:tc>
          <w:tcPr>
            <w:tcW w:w="1011"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2"/>
              </w:rPr>
            </w:pPr>
          </w:p>
        </w:tc>
        <w:tc>
          <w:tcPr>
            <w:tcW w:w="867" w:type="dxa"/>
            <w:tcBorders>
              <w:top w:val="single" w:color="auto" w:sz="4" w:space="0"/>
              <w:left w:val="single" w:color="auto" w:sz="4" w:space="0"/>
              <w:bottom w:val="single" w:color="auto" w:sz="4" w:space="0"/>
              <w:right w:val="single" w:color="auto" w:sz="4" w:space="0"/>
            </w:tcBorders>
            <w:vAlign w:val="center"/>
          </w:tcPr>
          <w:p>
            <w:pPr>
              <w:widowControl/>
              <w:ind w:firstLine="440" w:firstLineChars="200"/>
              <w:jc w:val="left"/>
              <w:rPr>
                <w:rFonts w:ascii="宋体" w:hAnsi="宋体" w:cs="宋体"/>
                <w:kern w:val="0"/>
                <w:sz w:val="22"/>
              </w:rPr>
            </w:pPr>
          </w:p>
        </w:tc>
      </w:tr>
      <w:tr>
        <w:tblPrEx>
          <w:tblCellMar>
            <w:top w:w="0" w:type="dxa"/>
            <w:left w:w="108" w:type="dxa"/>
            <w:bottom w:w="0" w:type="dxa"/>
            <w:right w:w="108" w:type="dxa"/>
          </w:tblCellMar>
        </w:tblPrEx>
        <w:trPr>
          <w:trHeight w:val="495" w:hRule="atLeast"/>
        </w:trPr>
        <w:tc>
          <w:tcPr>
            <w:tcW w:w="78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10</w:t>
            </w:r>
          </w:p>
        </w:tc>
        <w:tc>
          <w:tcPr>
            <w:tcW w:w="4272"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cs="Arial"/>
                <w:color w:val="000000"/>
                <w:sz w:val="22"/>
                <w:lang w:val="en-US" w:eastAsia="zh-CN"/>
              </w:rPr>
            </w:pPr>
            <w:r>
              <w:rPr>
                <w:rFonts w:hint="eastAsia" w:cs="Arial"/>
                <w:color w:val="000000"/>
                <w:sz w:val="22"/>
                <w:lang w:val="en-US" w:eastAsia="zh-CN"/>
              </w:rPr>
              <w:t>基层组织运转经费和党建提升经费</w:t>
            </w:r>
          </w:p>
        </w:tc>
        <w:tc>
          <w:tcPr>
            <w:tcW w:w="1225" w:type="dxa"/>
            <w:tcBorders>
              <w:top w:val="single" w:color="auto" w:sz="4" w:space="0"/>
              <w:left w:val="single" w:color="auto" w:sz="4" w:space="0"/>
              <w:bottom w:val="single" w:color="auto" w:sz="4" w:space="0"/>
              <w:right w:val="single" w:color="auto" w:sz="4" w:space="0"/>
            </w:tcBorders>
            <w:vAlign w:val="bottom"/>
          </w:tcPr>
          <w:p>
            <w:pPr>
              <w:jc w:val="right"/>
              <w:rPr>
                <w:rFonts w:ascii="Arial" w:hAnsi="Arial" w:cs="Arial"/>
                <w:color w:val="000000"/>
                <w:sz w:val="20"/>
                <w:szCs w:val="20"/>
              </w:rPr>
            </w:pPr>
            <w:r>
              <w:rPr>
                <w:rFonts w:hint="eastAsia" w:ascii="Arial" w:hAnsi="Arial" w:cs="Arial"/>
                <w:color w:val="000000"/>
                <w:sz w:val="20"/>
                <w:szCs w:val="20"/>
                <w:lang w:val="en-US" w:eastAsia="zh-CN"/>
              </w:rPr>
              <w:t>10.70</w:t>
            </w:r>
            <w:r>
              <w:rPr>
                <w:rFonts w:ascii="Arial" w:hAnsi="Arial" w:cs="Arial"/>
                <w:color w:val="000000"/>
                <w:sz w:val="20"/>
                <w:szCs w:val="20"/>
              </w:rPr>
              <w:t xml:space="preserve"> </w:t>
            </w:r>
          </w:p>
        </w:tc>
        <w:tc>
          <w:tcPr>
            <w:tcW w:w="90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w:t>
            </w:r>
          </w:p>
        </w:tc>
        <w:tc>
          <w:tcPr>
            <w:tcW w:w="1011"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867"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r>
      <w:tr>
        <w:tblPrEx>
          <w:tblCellMar>
            <w:top w:w="0" w:type="dxa"/>
            <w:left w:w="108" w:type="dxa"/>
            <w:bottom w:w="0" w:type="dxa"/>
            <w:right w:w="108" w:type="dxa"/>
          </w:tblCellMar>
        </w:tblPrEx>
        <w:trPr>
          <w:trHeight w:val="495" w:hRule="atLeast"/>
        </w:trPr>
        <w:tc>
          <w:tcPr>
            <w:tcW w:w="78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11</w:t>
            </w:r>
          </w:p>
        </w:tc>
        <w:tc>
          <w:tcPr>
            <w:tcW w:w="4272"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cs="Arial"/>
                <w:color w:val="000000"/>
                <w:sz w:val="22"/>
                <w:lang w:val="en-US" w:eastAsia="zh-CN"/>
              </w:rPr>
            </w:pPr>
            <w:r>
              <w:rPr>
                <w:rFonts w:hint="eastAsia" w:cs="Arial"/>
                <w:color w:val="000000"/>
                <w:sz w:val="22"/>
                <w:lang w:val="en-US" w:eastAsia="zh-CN"/>
              </w:rPr>
              <w:t>村干部保险</w:t>
            </w:r>
          </w:p>
        </w:tc>
        <w:tc>
          <w:tcPr>
            <w:tcW w:w="1225" w:type="dxa"/>
            <w:tcBorders>
              <w:top w:val="single" w:color="auto" w:sz="4" w:space="0"/>
              <w:left w:val="single" w:color="auto" w:sz="4" w:space="0"/>
              <w:bottom w:val="single" w:color="auto" w:sz="4" w:space="0"/>
              <w:right w:val="single" w:color="auto" w:sz="4" w:space="0"/>
            </w:tcBorders>
            <w:vAlign w:val="bottom"/>
          </w:tcPr>
          <w:p>
            <w:pPr>
              <w:jc w:val="right"/>
              <w:rPr>
                <w:rFonts w:ascii="Arial" w:hAnsi="Arial" w:cs="Arial"/>
                <w:color w:val="000000"/>
                <w:sz w:val="20"/>
                <w:szCs w:val="20"/>
              </w:rPr>
            </w:pPr>
            <w:r>
              <w:rPr>
                <w:rFonts w:hint="eastAsia" w:ascii="Arial" w:hAnsi="Arial" w:cs="Arial"/>
                <w:color w:val="000000"/>
                <w:sz w:val="20"/>
                <w:szCs w:val="20"/>
                <w:lang w:val="en-US" w:eastAsia="zh-CN"/>
              </w:rPr>
              <w:t>20.00</w:t>
            </w:r>
            <w:r>
              <w:rPr>
                <w:rFonts w:ascii="Arial" w:hAnsi="Arial" w:cs="Arial"/>
                <w:color w:val="000000"/>
                <w:sz w:val="20"/>
                <w:szCs w:val="20"/>
              </w:rPr>
              <w:t xml:space="preserve"> </w:t>
            </w:r>
          </w:p>
        </w:tc>
        <w:tc>
          <w:tcPr>
            <w:tcW w:w="90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w:t>
            </w:r>
          </w:p>
        </w:tc>
        <w:tc>
          <w:tcPr>
            <w:tcW w:w="1011"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867"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r>
      <w:tr>
        <w:tblPrEx>
          <w:tblCellMar>
            <w:top w:w="0" w:type="dxa"/>
            <w:left w:w="108" w:type="dxa"/>
            <w:bottom w:w="0" w:type="dxa"/>
            <w:right w:w="108" w:type="dxa"/>
          </w:tblCellMar>
        </w:tblPrEx>
        <w:trPr>
          <w:trHeight w:val="495" w:hRule="atLeast"/>
        </w:trPr>
        <w:tc>
          <w:tcPr>
            <w:tcW w:w="78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12</w:t>
            </w:r>
          </w:p>
        </w:tc>
        <w:tc>
          <w:tcPr>
            <w:tcW w:w="4272"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cs="Arial"/>
                <w:color w:val="000000"/>
                <w:sz w:val="22"/>
                <w:lang w:val="en-US" w:eastAsia="zh-CN"/>
              </w:rPr>
            </w:pPr>
            <w:r>
              <w:rPr>
                <w:rFonts w:hint="eastAsia" w:cs="Arial"/>
                <w:color w:val="000000"/>
                <w:sz w:val="22"/>
                <w:lang w:val="en-US" w:eastAsia="zh-CN"/>
              </w:rPr>
              <w:t>2020年7-9月份区财政局农村“两委”干部补贴资金</w:t>
            </w:r>
          </w:p>
        </w:tc>
        <w:tc>
          <w:tcPr>
            <w:tcW w:w="1225" w:type="dxa"/>
            <w:tcBorders>
              <w:top w:val="single" w:color="auto" w:sz="4" w:space="0"/>
              <w:left w:val="single" w:color="auto" w:sz="4" w:space="0"/>
              <w:bottom w:val="single" w:color="auto" w:sz="4" w:space="0"/>
              <w:right w:val="single" w:color="auto" w:sz="4" w:space="0"/>
            </w:tcBorders>
            <w:vAlign w:val="bottom"/>
          </w:tcPr>
          <w:p>
            <w:pPr>
              <w:jc w:val="right"/>
              <w:rPr>
                <w:rFonts w:ascii="Arial" w:hAnsi="Arial" w:cs="Arial"/>
                <w:color w:val="000000"/>
                <w:sz w:val="20"/>
                <w:szCs w:val="20"/>
              </w:rPr>
            </w:pPr>
            <w:r>
              <w:rPr>
                <w:rFonts w:hint="eastAsia" w:ascii="Arial" w:hAnsi="Arial" w:cs="Arial"/>
                <w:color w:val="000000"/>
                <w:sz w:val="20"/>
                <w:szCs w:val="20"/>
                <w:lang w:val="en-US" w:eastAsia="zh-CN"/>
              </w:rPr>
              <w:t>21.54</w:t>
            </w:r>
            <w:r>
              <w:rPr>
                <w:rFonts w:ascii="Arial" w:hAnsi="Arial" w:cs="Arial"/>
                <w:color w:val="000000"/>
                <w:sz w:val="20"/>
                <w:szCs w:val="20"/>
              </w:rPr>
              <w:t xml:space="preserve"> </w:t>
            </w:r>
          </w:p>
        </w:tc>
        <w:tc>
          <w:tcPr>
            <w:tcW w:w="90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w:t>
            </w:r>
          </w:p>
        </w:tc>
        <w:tc>
          <w:tcPr>
            <w:tcW w:w="1011"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867"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r>
      <w:tr>
        <w:tblPrEx>
          <w:tblCellMar>
            <w:top w:w="0" w:type="dxa"/>
            <w:left w:w="108" w:type="dxa"/>
            <w:bottom w:w="0" w:type="dxa"/>
            <w:right w:w="108" w:type="dxa"/>
          </w:tblCellMar>
        </w:tblPrEx>
        <w:trPr>
          <w:trHeight w:val="495" w:hRule="atLeast"/>
        </w:trPr>
        <w:tc>
          <w:tcPr>
            <w:tcW w:w="781"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宋体" w:hAnsi="宋体" w:cs="宋体" w:eastAsiaTheme="minorEastAsia"/>
                <w:color w:val="000000"/>
                <w:kern w:val="0"/>
                <w:sz w:val="22"/>
                <w:lang w:val="en-US" w:eastAsia="zh-CN"/>
              </w:rPr>
            </w:pPr>
            <w:r>
              <w:rPr>
                <w:rFonts w:hint="eastAsia" w:ascii="宋体" w:hAnsi="宋体" w:cs="宋体"/>
                <w:color w:val="000000"/>
                <w:kern w:val="0"/>
                <w:sz w:val="22"/>
                <w:lang w:val="en-US" w:eastAsia="zh-CN"/>
              </w:rPr>
              <w:t>13</w:t>
            </w:r>
          </w:p>
        </w:tc>
        <w:tc>
          <w:tcPr>
            <w:tcW w:w="4272"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cs="Arial"/>
                <w:color w:val="000000"/>
                <w:sz w:val="22"/>
                <w:lang w:val="en-US" w:eastAsia="zh-CN"/>
              </w:rPr>
            </w:pPr>
            <w:r>
              <w:rPr>
                <w:rFonts w:hint="eastAsia" w:cs="Arial"/>
                <w:color w:val="000000"/>
                <w:sz w:val="22"/>
                <w:lang w:val="en-US" w:eastAsia="zh-CN"/>
              </w:rPr>
              <w:t>为服务群众专项、村级办公、党组织活动经费</w:t>
            </w:r>
          </w:p>
        </w:tc>
        <w:tc>
          <w:tcPr>
            <w:tcW w:w="1225" w:type="dxa"/>
            <w:tcBorders>
              <w:top w:val="single" w:color="auto" w:sz="4" w:space="0"/>
              <w:left w:val="single" w:color="auto" w:sz="4" w:space="0"/>
              <w:bottom w:val="single" w:color="auto" w:sz="4" w:space="0"/>
              <w:right w:val="single" w:color="auto" w:sz="4" w:space="0"/>
            </w:tcBorders>
            <w:vAlign w:val="bottom"/>
          </w:tcPr>
          <w:p>
            <w:pPr>
              <w:jc w:val="right"/>
              <w:rPr>
                <w:rFonts w:hint="default" w:ascii="Arial" w:hAnsi="Arial" w:cs="Arial" w:eastAsiaTheme="minorEastAsia"/>
                <w:color w:val="000000"/>
                <w:sz w:val="20"/>
                <w:szCs w:val="20"/>
                <w:lang w:val="en-US" w:eastAsia="zh-CN"/>
              </w:rPr>
            </w:pPr>
            <w:r>
              <w:rPr>
                <w:rFonts w:hint="eastAsia" w:ascii="Arial" w:hAnsi="Arial" w:cs="Arial"/>
                <w:color w:val="000000"/>
                <w:sz w:val="20"/>
                <w:szCs w:val="20"/>
                <w:lang w:val="en-US" w:eastAsia="zh-CN"/>
              </w:rPr>
              <w:t>81.59</w:t>
            </w:r>
          </w:p>
        </w:tc>
        <w:tc>
          <w:tcPr>
            <w:tcW w:w="90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s="宋体"/>
                <w:kern w:val="0"/>
                <w:sz w:val="22"/>
              </w:rPr>
            </w:pPr>
            <w:r>
              <w:rPr>
                <w:rFonts w:hint="eastAsia" w:ascii="宋体" w:hAnsi="宋体" w:cs="宋体"/>
                <w:kern w:val="0"/>
                <w:sz w:val="22"/>
              </w:rPr>
              <w:t>√</w:t>
            </w:r>
          </w:p>
        </w:tc>
        <w:tc>
          <w:tcPr>
            <w:tcW w:w="1011"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s="宋体"/>
                <w:kern w:val="0"/>
                <w:sz w:val="22"/>
              </w:rPr>
            </w:pPr>
          </w:p>
        </w:tc>
        <w:tc>
          <w:tcPr>
            <w:tcW w:w="867"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r>
      <w:tr>
        <w:tblPrEx>
          <w:tblCellMar>
            <w:top w:w="0" w:type="dxa"/>
            <w:left w:w="108" w:type="dxa"/>
            <w:bottom w:w="0" w:type="dxa"/>
            <w:right w:w="108" w:type="dxa"/>
          </w:tblCellMar>
        </w:tblPrEx>
        <w:trPr>
          <w:trHeight w:val="495" w:hRule="atLeast"/>
        </w:trPr>
        <w:tc>
          <w:tcPr>
            <w:tcW w:w="781"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宋体" w:hAnsi="宋体" w:cs="宋体" w:eastAsiaTheme="minorEastAsia"/>
                <w:color w:val="000000"/>
                <w:kern w:val="0"/>
                <w:sz w:val="22"/>
                <w:lang w:val="en-US" w:eastAsia="zh-CN"/>
              </w:rPr>
            </w:pPr>
            <w:r>
              <w:rPr>
                <w:rFonts w:hint="eastAsia" w:ascii="宋体" w:hAnsi="宋体" w:cs="宋体"/>
                <w:color w:val="000000"/>
                <w:kern w:val="0"/>
                <w:sz w:val="22"/>
                <w:lang w:val="en-US" w:eastAsia="zh-CN"/>
              </w:rPr>
              <w:t>14</w:t>
            </w:r>
          </w:p>
        </w:tc>
        <w:tc>
          <w:tcPr>
            <w:tcW w:w="4272"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cs="Arial"/>
                <w:color w:val="000000"/>
                <w:sz w:val="22"/>
                <w:lang w:val="en-US" w:eastAsia="zh-CN"/>
              </w:rPr>
            </w:pPr>
            <w:r>
              <w:rPr>
                <w:rFonts w:hint="eastAsia" w:cs="Arial"/>
                <w:color w:val="000000"/>
                <w:sz w:val="22"/>
                <w:lang w:val="en-US" w:eastAsia="zh-CN"/>
              </w:rPr>
              <w:t>正常离任村干部生活补贴</w:t>
            </w:r>
          </w:p>
        </w:tc>
        <w:tc>
          <w:tcPr>
            <w:tcW w:w="1225" w:type="dxa"/>
            <w:tcBorders>
              <w:top w:val="single" w:color="auto" w:sz="4" w:space="0"/>
              <w:left w:val="single" w:color="auto" w:sz="4" w:space="0"/>
              <w:bottom w:val="single" w:color="auto" w:sz="4" w:space="0"/>
              <w:right w:val="single" w:color="auto" w:sz="4" w:space="0"/>
            </w:tcBorders>
            <w:vAlign w:val="bottom"/>
          </w:tcPr>
          <w:p>
            <w:pPr>
              <w:jc w:val="right"/>
              <w:rPr>
                <w:rFonts w:hint="default" w:ascii="Arial" w:hAnsi="Arial" w:cs="Arial" w:eastAsiaTheme="minorEastAsia"/>
                <w:color w:val="000000"/>
                <w:sz w:val="20"/>
                <w:szCs w:val="20"/>
                <w:lang w:val="en-US" w:eastAsia="zh-CN"/>
              </w:rPr>
            </w:pPr>
            <w:r>
              <w:rPr>
                <w:rFonts w:hint="eastAsia" w:ascii="Arial" w:hAnsi="Arial" w:cs="Arial"/>
                <w:color w:val="000000"/>
                <w:sz w:val="20"/>
                <w:szCs w:val="20"/>
                <w:lang w:val="en-US" w:eastAsia="zh-CN"/>
              </w:rPr>
              <w:t>12.36</w:t>
            </w:r>
          </w:p>
        </w:tc>
        <w:tc>
          <w:tcPr>
            <w:tcW w:w="90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s="宋体"/>
                <w:kern w:val="0"/>
                <w:sz w:val="22"/>
              </w:rPr>
            </w:pPr>
            <w:r>
              <w:rPr>
                <w:rFonts w:hint="eastAsia" w:ascii="宋体" w:hAnsi="宋体" w:cs="宋体"/>
                <w:kern w:val="0"/>
                <w:sz w:val="22"/>
              </w:rPr>
              <w:t>√</w:t>
            </w:r>
          </w:p>
        </w:tc>
        <w:tc>
          <w:tcPr>
            <w:tcW w:w="1011"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s="宋体"/>
                <w:kern w:val="0"/>
                <w:sz w:val="22"/>
              </w:rPr>
            </w:pPr>
          </w:p>
        </w:tc>
        <w:tc>
          <w:tcPr>
            <w:tcW w:w="867"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r>
      <w:tr>
        <w:tblPrEx>
          <w:tblCellMar>
            <w:top w:w="0" w:type="dxa"/>
            <w:left w:w="108" w:type="dxa"/>
            <w:bottom w:w="0" w:type="dxa"/>
            <w:right w:w="108" w:type="dxa"/>
          </w:tblCellMar>
        </w:tblPrEx>
        <w:trPr>
          <w:trHeight w:val="495" w:hRule="atLeast"/>
        </w:trPr>
        <w:tc>
          <w:tcPr>
            <w:tcW w:w="781"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宋体" w:hAnsi="宋体" w:cs="宋体" w:eastAsiaTheme="minorEastAsia"/>
                <w:color w:val="000000"/>
                <w:kern w:val="0"/>
                <w:sz w:val="22"/>
                <w:lang w:val="en-US" w:eastAsia="zh-CN"/>
              </w:rPr>
            </w:pPr>
            <w:r>
              <w:rPr>
                <w:rFonts w:hint="eastAsia" w:ascii="宋体" w:hAnsi="宋体" w:cs="宋体"/>
                <w:color w:val="000000"/>
                <w:kern w:val="0"/>
                <w:sz w:val="22"/>
                <w:lang w:val="en-US" w:eastAsia="zh-CN"/>
              </w:rPr>
              <w:t>15</w:t>
            </w:r>
          </w:p>
        </w:tc>
        <w:tc>
          <w:tcPr>
            <w:tcW w:w="4272"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cs="Arial"/>
                <w:color w:val="000000"/>
                <w:sz w:val="22"/>
                <w:lang w:val="en-US" w:eastAsia="zh-CN"/>
              </w:rPr>
            </w:pPr>
            <w:r>
              <w:rPr>
                <w:rFonts w:hint="eastAsia" w:cs="Arial"/>
                <w:color w:val="000000"/>
                <w:sz w:val="22"/>
                <w:lang w:val="en-US" w:eastAsia="zh-CN"/>
              </w:rPr>
              <w:t>2019年下半年离任村书记离任生活补贴</w:t>
            </w:r>
          </w:p>
        </w:tc>
        <w:tc>
          <w:tcPr>
            <w:tcW w:w="1225" w:type="dxa"/>
            <w:tcBorders>
              <w:top w:val="single" w:color="auto" w:sz="4" w:space="0"/>
              <w:left w:val="single" w:color="auto" w:sz="4" w:space="0"/>
              <w:bottom w:val="single" w:color="auto" w:sz="4" w:space="0"/>
              <w:right w:val="single" w:color="auto" w:sz="4" w:space="0"/>
            </w:tcBorders>
            <w:vAlign w:val="bottom"/>
          </w:tcPr>
          <w:p>
            <w:pPr>
              <w:jc w:val="right"/>
              <w:rPr>
                <w:rFonts w:hint="default" w:ascii="Arial" w:hAnsi="Arial" w:cs="Arial" w:eastAsiaTheme="minorEastAsia"/>
                <w:color w:val="000000"/>
                <w:sz w:val="20"/>
                <w:szCs w:val="20"/>
                <w:lang w:val="en-US" w:eastAsia="zh-CN"/>
              </w:rPr>
            </w:pPr>
            <w:r>
              <w:rPr>
                <w:rFonts w:hint="eastAsia" w:ascii="Arial" w:hAnsi="Arial" w:cs="Arial"/>
                <w:color w:val="000000"/>
                <w:sz w:val="20"/>
                <w:szCs w:val="20"/>
                <w:lang w:val="en-US" w:eastAsia="zh-CN"/>
              </w:rPr>
              <w:t>4.19</w:t>
            </w:r>
          </w:p>
        </w:tc>
        <w:tc>
          <w:tcPr>
            <w:tcW w:w="90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s="宋体"/>
                <w:kern w:val="0"/>
                <w:sz w:val="22"/>
              </w:rPr>
            </w:pPr>
            <w:r>
              <w:rPr>
                <w:rFonts w:hint="eastAsia" w:ascii="宋体" w:hAnsi="宋体" w:cs="宋体"/>
                <w:kern w:val="0"/>
                <w:sz w:val="22"/>
              </w:rPr>
              <w:t>√</w:t>
            </w:r>
          </w:p>
        </w:tc>
        <w:tc>
          <w:tcPr>
            <w:tcW w:w="1011"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s="宋体"/>
                <w:kern w:val="0"/>
                <w:sz w:val="22"/>
              </w:rPr>
            </w:pPr>
          </w:p>
        </w:tc>
        <w:tc>
          <w:tcPr>
            <w:tcW w:w="867"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r>
      <w:tr>
        <w:tblPrEx>
          <w:tblCellMar>
            <w:top w:w="0" w:type="dxa"/>
            <w:left w:w="108" w:type="dxa"/>
            <w:bottom w:w="0" w:type="dxa"/>
            <w:right w:w="108" w:type="dxa"/>
          </w:tblCellMar>
        </w:tblPrEx>
        <w:trPr>
          <w:trHeight w:val="674" w:hRule="atLeast"/>
        </w:trPr>
        <w:tc>
          <w:tcPr>
            <w:tcW w:w="781"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宋体" w:hAnsi="宋体" w:cs="宋体" w:eastAsiaTheme="minorEastAsia"/>
                <w:color w:val="000000"/>
                <w:kern w:val="0"/>
                <w:sz w:val="22"/>
                <w:lang w:val="en-US" w:eastAsia="zh-CN"/>
              </w:rPr>
            </w:pPr>
            <w:r>
              <w:rPr>
                <w:rFonts w:hint="eastAsia" w:ascii="宋体" w:hAnsi="宋体" w:cs="宋体"/>
                <w:color w:val="000000"/>
                <w:kern w:val="0"/>
                <w:sz w:val="22"/>
                <w:lang w:val="en-US" w:eastAsia="zh-CN"/>
              </w:rPr>
              <w:t>16</w:t>
            </w:r>
          </w:p>
        </w:tc>
        <w:tc>
          <w:tcPr>
            <w:tcW w:w="4272"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cs="Arial"/>
                <w:color w:val="000000"/>
                <w:sz w:val="22"/>
                <w:lang w:val="en-US" w:eastAsia="zh-CN"/>
              </w:rPr>
            </w:pPr>
            <w:r>
              <w:rPr>
                <w:rFonts w:hint="eastAsia" w:cs="Arial"/>
                <w:color w:val="000000"/>
                <w:sz w:val="22"/>
                <w:lang w:val="en-US" w:eastAsia="zh-CN"/>
              </w:rPr>
              <w:t>农业生产支持补贴</w:t>
            </w:r>
          </w:p>
        </w:tc>
        <w:tc>
          <w:tcPr>
            <w:tcW w:w="1225" w:type="dxa"/>
            <w:tcBorders>
              <w:top w:val="single" w:color="auto" w:sz="4" w:space="0"/>
              <w:left w:val="single" w:color="auto" w:sz="4" w:space="0"/>
              <w:bottom w:val="single" w:color="auto" w:sz="4" w:space="0"/>
              <w:right w:val="single" w:color="auto" w:sz="4" w:space="0"/>
            </w:tcBorders>
            <w:vAlign w:val="bottom"/>
          </w:tcPr>
          <w:p>
            <w:pPr>
              <w:widowControl/>
              <w:jc w:val="right"/>
              <w:rPr>
                <w:rFonts w:hint="eastAsia" w:cs="Arial"/>
                <w:color w:val="000000"/>
                <w:sz w:val="22"/>
                <w:lang w:val="en-US" w:eastAsia="zh-CN"/>
              </w:rPr>
            </w:pPr>
            <w:r>
              <w:rPr>
                <w:rFonts w:hint="eastAsia" w:cs="Arial"/>
                <w:color w:val="000000"/>
                <w:sz w:val="22"/>
                <w:lang w:val="en-US" w:eastAsia="zh-CN"/>
              </w:rPr>
              <w:t>228.92</w:t>
            </w:r>
          </w:p>
        </w:tc>
        <w:tc>
          <w:tcPr>
            <w:tcW w:w="904"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cs="Arial"/>
                <w:color w:val="000000"/>
                <w:sz w:val="22"/>
                <w:lang w:val="en-US" w:eastAsia="zh-CN"/>
              </w:rPr>
            </w:pPr>
            <w:r>
              <w:rPr>
                <w:rFonts w:hint="eastAsia" w:ascii="宋体" w:hAnsi="宋体" w:cs="宋体"/>
                <w:kern w:val="0"/>
                <w:sz w:val="22"/>
              </w:rPr>
              <w:t>√</w:t>
            </w:r>
          </w:p>
        </w:tc>
        <w:tc>
          <w:tcPr>
            <w:tcW w:w="101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kern w:val="0"/>
                <w:sz w:val="22"/>
              </w:rPr>
              <w:t xml:space="preserve"> </w:t>
            </w:r>
          </w:p>
        </w:tc>
        <w:tc>
          <w:tcPr>
            <w:tcW w:w="867"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r>
      <w:tr>
        <w:tblPrEx>
          <w:tblCellMar>
            <w:top w:w="0" w:type="dxa"/>
            <w:left w:w="108" w:type="dxa"/>
            <w:bottom w:w="0" w:type="dxa"/>
            <w:right w:w="108" w:type="dxa"/>
          </w:tblCellMar>
        </w:tblPrEx>
        <w:trPr>
          <w:trHeight w:val="495" w:hRule="atLeast"/>
        </w:trPr>
        <w:tc>
          <w:tcPr>
            <w:tcW w:w="781"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s="宋体" w:eastAsiaTheme="minorEastAsia"/>
                <w:color w:val="000000"/>
                <w:kern w:val="0"/>
                <w:sz w:val="22"/>
                <w:szCs w:val="24"/>
                <w:lang w:val="en-US" w:eastAsia="zh-CN" w:bidi="ar-SA"/>
              </w:rPr>
            </w:pPr>
            <w:r>
              <w:rPr>
                <w:rFonts w:hint="eastAsia" w:ascii="宋体" w:hAnsi="宋体" w:cs="宋体"/>
                <w:color w:val="000000"/>
                <w:kern w:val="0"/>
                <w:sz w:val="22"/>
              </w:rPr>
              <w:t>1</w:t>
            </w:r>
            <w:r>
              <w:rPr>
                <w:rFonts w:hint="eastAsia" w:ascii="宋体" w:hAnsi="宋体" w:cs="宋体"/>
                <w:color w:val="000000"/>
                <w:kern w:val="0"/>
                <w:sz w:val="22"/>
                <w:lang w:val="en-US" w:eastAsia="zh-CN"/>
              </w:rPr>
              <w:t>7</w:t>
            </w:r>
          </w:p>
        </w:tc>
        <w:tc>
          <w:tcPr>
            <w:tcW w:w="4272"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cs="Arial" w:asciiTheme="minorHAnsi" w:hAnsiTheme="minorHAnsi" w:eastAsiaTheme="minorEastAsia"/>
                <w:color w:val="000000"/>
                <w:kern w:val="2"/>
                <w:sz w:val="22"/>
                <w:szCs w:val="24"/>
                <w:lang w:val="en-US" w:eastAsia="zh-CN" w:bidi="ar-SA"/>
              </w:rPr>
            </w:pPr>
            <w:r>
              <w:rPr>
                <w:rFonts w:hint="eastAsia" w:cs="Arial"/>
                <w:color w:val="000000"/>
                <w:sz w:val="22"/>
                <w:lang w:val="en-US" w:eastAsia="zh-CN"/>
              </w:rPr>
              <w:t>(综）河北京车110KV电力外源线路接入工程占地资金</w:t>
            </w:r>
          </w:p>
        </w:tc>
        <w:tc>
          <w:tcPr>
            <w:tcW w:w="1225" w:type="dxa"/>
            <w:tcBorders>
              <w:top w:val="single" w:color="auto" w:sz="4" w:space="0"/>
              <w:left w:val="single" w:color="auto" w:sz="4" w:space="0"/>
              <w:bottom w:val="single" w:color="auto" w:sz="4" w:space="0"/>
              <w:right w:val="single" w:color="auto" w:sz="4" w:space="0"/>
            </w:tcBorders>
            <w:vAlign w:val="bottom"/>
          </w:tcPr>
          <w:p>
            <w:pPr>
              <w:jc w:val="right"/>
              <w:rPr>
                <w:rFonts w:hint="default" w:ascii="Arial" w:hAnsi="Arial" w:cs="Arial" w:eastAsiaTheme="minorEastAsia"/>
                <w:color w:val="000000"/>
                <w:kern w:val="2"/>
                <w:sz w:val="20"/>
                <w:szCs w:val="20"/>
                <w:lang w:val="en-US" w:eastAsia="zh-CN" w:bidi="ar-SA"/>
              </w:rPr>
            </w:pPr>
            <w:r>
              <w:rPr>
                <w:rFonts w:hint="eastAsia" w:ascii="Arial" w:hAnsi="Arial" w:cs="Arial"/>
                <w:color w:val="000000"/>
                <w:sz w:val="20"/>
                <w:szCs w:val="20"/>
                <w:lang w:val="en-US" w:eastAsia="zh-CN"/>
              </w:rPr>
              <w:t>25.83</w:t>
            </w:r>
            <w:r>
              <w:rPr>
                <w:rFonts w:ascii="Arial" w:hAnsi="Arial" w:cs="Arial"/>
                <w:color w:val="000000"/>
                <w:sz w:val="20"/>
                <w:szCs w:val="20"/>
              </w:rPr>
              <w:t xml:space="preserve"> </w:t>
            </w:r>
          </w:p>
        </w:tc>
        <w:tc>
          <w:tcPr>
            <w:tcW w:w="90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eastAsiaTheme="minorEastAsia"/>
                <w:color w:val="000000"/>
                <w:kern w:val="0"/>
                <w:sz w:val="22"/>
                <w:szCs w:val="24"/>
                <w:lang w:val="en-US" w:eastAsia="zh-CN" w:bidi="ar-SA"/>
              </w:rPr>
            </w:pPr>
            <w:r>
              <w:rPr>
                <w:rFonts w:hint="eastAsia" w:ascii="宋体" w:hAnsi="宋体" w:cs="宋体"/>
                <w:kern w:val="0"/>
                <w:sz w:val="22"/>
              </w:rPr>
              <w:t>√</w:t>
            </w:r>
          </w:p>
        </w:tc>
        <w:tc>
          <w:tcPr>
            <w:tcW w:w="1011"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2"/>
              </w:rPr>
            </w:pPr>
            <w:r>
              <w:rPr>
                <w:rFonts w:hint="eastAsia" w:ascii="宋体" w:hAnsi="宋体" w:cs="宋体"/>
                <w:kern w:val="0"/>
                <w:sz w:val="22"/>
              </w:rPr>
              <w:t xml:space="preserve">    </w:t>
            </w:r>
          </w:p>
        </w:tc>
        <w:tc>
          <w:tcPr>
            <w:tcW w:w="867"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FF0000"/>
                <w:kern w:val="0"/>
                <w:sz w:val="22"/>
              </w:rPr>
            </w:pPr>
          </w:p>
        </w:tc>
      </w:tr>
      <w:tr>
        <w:tblPrEx>
          <w:tblCellMar>
            <w:top w:w="0" w:type="dxa"/>
            <w:left w:w="108" w:type="dxa"/>
            <w:bottom w:w="0" w:type="dxa"/>
            <w:right w:w="108" w:type="dxa"/>
          </w:tblCellMar>
        </w:tblPrEx>
        <w:trPr>
          <w:trHeight w:val="495" w:hRule="atLeast"/>
        </w:trPr>
        <w:tc>
          <w:tcPr>
            <w:tcW w:w="781"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s="宋体" w:eastAsiaTheme="minorEastAsia"/>
                <w:kern w:val="0"/>
                <w:sz w:val="22"/>
                <w:szCs w:val="24"/>
                <w:lang w:val="en-US" w:eastAsia="zh-CN" w:bidi="ar-SA"/>
              </w:rPr>
            </w:pPr>
            <w:r>
              <w:rPr>
                <w:rFonts w:hint="eastAsia" w:ascii="宋体" w:hAnsi="宋体" w:cs="宋体"/>
                <w:kern w:val="0"/>
                <w:sz w:val="22"/>
              </w:rPr>
              <w:t>1</w:t>
            </w:r>
            <w:r>
              <w:rPr>
                <w:rFonts w:hint="eastAsia" w:ascii="宋体" w:hAnsi="宋体" w:cs="宋体"/>
                <w:kern w:val="0"/>
                <w:sz w:val="22"/>
                <w:lang w:val="en-US" w:eastAsia="zh-CN"/>
              </w:rPr>
              <w:t>8</w:t>
            </w:r>
          </w:p>
        </w:tc>
        <w:tc>
          <w:tcPr>
            <w:tcW w:w="4272"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cs="Arial" w:asciiTheme="minorHAnsi" w:hAnsiTheme="minorHAnsi" w:eastAsiaTheme="minorEastAsia"/>
                <w:color w:val="000000"/>
                <w:kern w:val="2"/>
                <w:sz w:val="22"/>
                <w:szCs w:val="24"/>
                <w:lang w:val="en-US" w:eastAsia="zh-CN" w:bidi="ar-SA"/>
              </w:rPr>
            </w:pPr>
            <w:r>
              <w:rPr>
                <w:rFonts w:hint="eastAsia" w:cs="Arial"/>
                <w:color w:val="000000"/>
                <w:sz w:val="22"/>
                <w:lang w:val="en-US" w:eastAsia="zh-CN"/>
              </w:rPr>
              <w:t>(综）京车110Kv线路安全围挡占地及采伐</w:t>
            </w:r>
          </w:p>
        </w:tc>
        <w:tc>
          <w:tcPr>
            <w:tcW w:w="1225" w:type="dxa"/>
            <w:tcBorders>
              <w:top w:val="single" w:color="auto" w:sz="4" w:space="0"/>
              <w:left w:val="single" w:color="auto" w:sz="4" w:space="0"/>
              <w:bottom w:val="single" w:color="auto" w:sz="4" w:space="0"/>
              <w:right w:val="single" w:color="auto" w:sz="4" w:space="0"/>
            </w:tcBorders>
            <w:vAlign w:val="bottom"/>
          </w:tcPr>
          <w:p>
            <w:pPr>
              <w:jc w:val="right"/>
              <w:rPr>
                <w:rFonts w:hint="eastAsia" w:ascii="Arial" w:hAnsi="Arial" w:cs="Arial" w:eastAsiaTheme="minorEastAsia"/>
                <w:color w:val="000000"/>
                <w:kern w:val="2"/>
                <w:sz w:val="20"/>
                <w:szCs w:val="20"/>
                <w:lang w:val="en-US" w:eastAsia="zh-CN" w:bidi="ar-SA"/>
              </w:rPr>
            </w:pPr>
            <w:r>
              <w:rPr>
                <w:rFonts w:hint="eastAsia" w:ascii="Arial" w:hAnsi="Arial" w:cs="Arial"/>
                <w:color w:val="000000"/>
                <w:sz w:val="20"/>
                <w:szCs w:val="20"/>
                <w:lang w:val="en-US" w:eastAsia="zh-CN"/>
              </w:rPr>
              <w:t>22.36</w:t>
            </w:r>
          </w:p>
        </w:tc>
        <w:tc>
          <w:tcPr>
            <w:tcW w:w="90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s="宋体" w:eastAsiaTheme="minorEastAsia"/>
                <w:kern w:val="0"/>
                <w:sz w:val="22"/>
                <w:szCs w:val="24"/>
                <w:lang w:val="en-US" w:eastAsia="zh-CN" w:bidi="ar-SA"/>
              </w:rPr>
            </w:pPr>
            <w:r>
              <w:rPr>
                <w:rFonts w:hint="eastAsia" w:ascii="宋体" w:hAnsi="宋体" w:cs="宋体"/>
                <w:kern w:val="0"/>
                <w:sz w:val="22"/>
              </w:rPr>
              <w:t xml:space="preserve"> √</w:t>
            </w:r>
          </w:p>
        </w:tc>
        <w:tc>
          <w:tcPr>
            <w:tcW w:w="1011"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cs="宋体"/>
                <w:kern w:val="0"/>
                <w:sz w:val="22"/>
              </w:rPr>
            </w:pPr>
          </w:p>
        </w:tc>
        <w:tc>
          <w:tcPr>
            <w:tcW w:w="867"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FF0000"/>
                <w:kern w:val="0"/>
                <w:sz w:val="22"/>
              </w:rPr>
            </w:pPr>
          </w:p>
        </w:tc>
      </w:tr>
    </w:tbl>
    <w:p>
      <w:pPr>
        <w:numPr>
          <w:ilvl w:val="0"/>
          <w:numId w:val="0"/>
        </w:numPr>
        <w:adjustRightInd w:val="0"/>
        <w:snapToGrid w:val="0"/>
        <w:spacing w:line="600" w:lineRule="exact"/>
        <w:ind w:leftChars="200"/>
        <w:rPr>
          <w:rFonts w:hint="eastAsia" w:ascii="仿宋_GB2312" w:hAnsi="仿宋_GB2312" w:eastAsia="仿宋_GB2312" w:cs="仿宋_GB2312"/>
          <w:b/>
          <w:bCs/>
          <w:sz w:val="32"/>
          <w:szCs w:val="32"/>
        </w:rPr>
      </w:pP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三</w:t>
      </w: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rPr>
        <w:t>财政评价项目绩效评价结果</w:t>
      </w:r>
    </w:p>
    <w:p>
      <w:pPr>
        <w:adjustRightInd w:val="0"/>
        <w:snapToGrid w:val="0"/>
        <w:spacing w:line="60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无</w:t>
      </w:r>
    </w:p>
    <w:p>
      <w:pPr>
        <w:keepNext/>
        <w:keepLines/>
        <w:snapToGrid w:val="0"/>
        <w:spacing w:line="600" w:lineRule="exact"/>
        <w:ind w:firstLine="640" w:firstLineChars="200"/>
        <w:outlineLvl w:val="1"/>
        <w:rPr>
          <w:rFonts w:ascii="黑体" w:hAnsi="黑体" w:eastAsia="黑体" w:cs="黑体"/>
          <w:b/>
          <w:bCs/>
          <w:sz w:val="32"/>
          <w:szCs w:val="32"/>
        </w:rPr>
      </w:pPr>
      <w:r>
        <w:rPr>
          <w:rFonts w:hint="eastAsia" w:ascii="黑体" w:hAnsi="黑体" w:eastAsia="黑体" w:cs="黑体"/>
          <w:sz w:val="32"/>
          <w:szCs w:val="32"/>
        </w:rPr>
        <w:t>七、机关运行经费情况</w:t>
      </w:r>
    </w:p>
    <w:p>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本部门2020年度机关运行经费支出</w:t>
      </w:r>
      <w:r>
        <w:rPr>
          <w:rFonts w:hint="eastAsia" w:ascii="仿宋_GB2312" w:hAnsi="仿宋_GB2312" w:eastAsia="仿宋_GB2312" w:cs="仿宋_GB2312"/>
          <w:sz w:val="32"/>
          <w:szCs w:val="32"/>
          <w:lang w:val="en-US" w:eastAsia="zh-CN"/>
        </w:rPr>
        <w:t>104.77</w:t>
      </w:r>
      <w:r>
        <w:rPr>
          <w:rFonts w:hint="eastAsia" w:ascii="仿宋_GB2312" w:hAnsi="仿宋_GB2312" w:eastAsia="仿宋_GB2312" w:cs="仿宋_GB2312"/>
          <w:sz w:val="32"/>
          <w:szCs w:val="32"/>
        </w:rPr>
        <w:t>万元，比2019年度</w:t>
      </w:r>
      <w:r>
        <w:rPr>
          <w:rFonts w:hint="eastAsia" w:ascii="仿宋_GB2312" w:hAnsi="仿宋_GB2312" w:eastAsia="仿宋_GB2312" w:cs="仿宋_GB2312"/>
          <w:sz w:val="32"/>
          <w:szCs w:val="32"/>
          <w:lang w:val="en-US" w:eastAsia="zh-CN"/>
        </w:rPr>
        <w:t>增加13.46</w:t>
      </w:r>
      <w:r>
        <w:rPr>
          <w:rFonts w:hint="eastAsia" w:ascii="仿宋_GB2312" w:hAnsi="仿宋_GB2312" w:eastAsia="仿宋_GB2312" w:cs="仿宋_GB2312"/>
          <w:sz w:val="32"/>
          <w:szCs w:val="32"/>
        </w:rPr>
        <w:t>万元，</w:t>
      </w:r>
      <w:r>
        <w:rPr>
          <w:rFonts w:hint="eastAsia" w:ascii="仿宋_GB2312" w:hAnsi="仿宋_GB2312" w:eastAsia="仿宋_GB2312" w:cs="仿宋_GB2312"/>
          <w:sz w:val="32"/>
          <w:szCs w:val="32"/>
          <w:lang w:val="en-US" w:eastAsia="zh-CN"/>
        </w:rPr>
        <w:t>增长14.74</w:t>
      </w:r>
      <w:r>
        <w:rPr>
          <w:rFonts w:hint="eastAsia" w:ascii="仿宋_GB2312" w:hAnsi="仿宋_GB2312" w:eastAsia="仿宋_GB2312" w:cs="仿宋_GB2312"/>
          <w:sz w:val="32"/>
          <w:szCs w:val="32"/>
        </w:rPr>
        <w:t>%。主要原因是</w:t>
      </w:r>
      <w:r>
        <w:rPr>
          <w:rFonts w:hint="eastAsia" w:ascii="仿宋_GB2312" w:hAnsi="仿宋_GB2312" w:eastAsia="仿宋_GB2312" w:cs="仿宋_GB2312"/>
          <w:sz w:val="32"/>
          <w:szCs w:val="32"/>
          <w:lang w:val="en-US" w:eastAsia="zh-CN"/>
        </w:rPr>
        <w:t>人员增加造成机关运行经费随之增加</w:t>
      </w:r>
      <w:r>
        <w:rPr>
          <w:rFonts w:hint="eastAsia" w:ascii="仿宋_GB2312" w:hAnsi="仿宋_GB2312" w:eastAsia="仿宋_GB2312" w:cs="仿宋_GB2312"/>
          <w:sz w:val="32"/>
          <w:szCs w:val="32"/>
        </w:rPr>
        <w:t>。</w:t>
      </w:r>
    </w:p>
    <w:p>
      <w:pPr>
        <w:keepNext/>
        <w:keepLines/>
        <w:snapToGrid w:val="0"/>
        <w:spacing w:line="600" w:lineRule="exact"/>
        <w:ind w:firstLine="640" w:firstLineChars="200"/>
        <w:outlineLvl w:val="2"/>
        <w:rPr>
          <w:rFonts w:ascii="仿宋_GB2312" w:hAnsi="仿宋_GB2312" w:eastAsia="仿宋_GB2312" w:cs="仿宋_GB2312"/>
          <w:sz w:val="32"/>
          <w:szCs w:val="32"/>
        </w:rPr>
      </w:pPr>
      <w:r>
        <w:rPr>
          <w:rFonts w:hint="eastAsia" w:ascii="黑体" w:hAnsi="黑体" w:eastAsia="黑体" w:cs="黑体"/>
          <w:sz w:val="32"/>
          <w:szCs w:val="32"/>
        </w:rPr>
        <w:t>八、政府采购情况</w:t>
      </w:r>
    </w:p>
    <w:p>
      <w:pPr>
        <w:snapToGrid w:val="0"/>
        <w:spacing w:line="600" w:lineRule="exact"/>
        <w:ind w:firstLine="640" w:firstLineChars="200"/>
        <w:jc w:val="left"/>
        <w:rPr>
          <w:rFonts w:ascii="仿宋_GB2312" w:hAnsi="仿宋_GB2312" w:eastAsia="仿宋_GB2312" w:cs="仿宋_GB2312"/>
          <w:sz w:val="32"/>
          <w:szCs w:val="32"/>
          <w:highlight w:val="yellow"/>
        </w:rPr>
      </w:pPr>
      <w:r>
        <w:rPr>
          <w:rFonts w:hint="eastAsia" w:ascii="仿宋_GB2312" w:hAnsi="仿宋_GB2312" w:eastAsia="仿宋_GB2312" w:cs="仿宋_GB2312"/>
          <w:sz w:val="32"/>
          <w:szCs w:val="32"/>
        </w:rPr>
        <w:t>本部门2020年度政府采购支出总额</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万元，从采购类型来看，</w:t>
      </w:r>
      <w:r>
        <w:rPr>
          <w:rFonts w:hint="eastAsia" w:ascii="仿宋_GB2312" w:hAnsi="仿宋_GB2312" w:eastAsia="仿宋_GB2312" w:cs="仿宋_GB2312"/>
          <w:color w:val="000000"/>
          <w:kern w:val="0"/>
          <w:sz w:val="32"/>
          <w:szCs w:val="32"/>
          <w:lang w:bidi="ar"/>
        </w:rPr>
        <w:t>政府采购货物支出</w:t>
      </w:r>
      <w:r>
        <w:rPr>
          <w:rFonts w:hint="eastAsia" w:ascii="仿宋_GB2312" w:hAnsi="仿宋_GB2312" w:eastAsia="仿宋_GB2312" w:cs="仿宋_GB2312"/>
          <w:color w:val="000000"/>
          <w:kern w:val="0"/>
          <w:sz w:val="32"/>
          <w:szCs w:val="32"/>
          <w:lang w:val="en-US" w:eastAsia="zh-CN" w:bidi="ar"/>
        </w:rPr>
        <w:t>0</w:t>
      </w:r>
      <w:r>
        <w:rPr>
          <w:rFonts w:hint="eastAsia" w:ascii="仿宋_GB2312" w:hAnsi="仿宋_GB2312" w:eastAsia="仿宋_GB2312" w:cs="仿宋_GB2312"/>
          <w:color w:val="000000"/>
          <w:kern w:val="0"/>
          <w:sz w:val="32"/>
          <w:szCs w:val="32"/>
          <w:lang w:bidi="ar"/>
        </w:rPr>
        <w:t>万元、政府采购工程支出</w:t>
      </w:r>
      <w:r>
        <w:rPr>
          <w:rFonts w:hint="eastAsia" w:ascii="仿宋_GB2312" w:hAnsi="仿宋_GB2312" w:eastAsia="仿宋_GB2312" w:cs="仿宋_GB2312"/>
          <w:color w:val="000000"/>
          <w:kern w:val="0"/>
          <w:sz w:val="32"/>
          <w:szCs w:val="32"/>
          <w:lang w:val="en-US" w:eastAsia="zh-CN" w:bidi="ar"/>
        </w:rPr>
        <w:t>0</w:t>
      </w:r>
      <w:r>
        <w:rPr>
          <w:rFonts w:hint="eastAsia" w:ascii="仿宋_GB2312" w:hAnsi="仿宋_GB2312" w:eastAsia="仿宋_GB2312" w:cs="仿宋_GB2312"/>
          <w:color w:val="000000"/>
          <w:kern w:val="0"/>
          <w:sz w:val="32"/>
          <w:szCs w:val="32"/>
          <w:lang w:bidi="ar"/>
        </w:rPr>
        <w:t>万元、政府采购服务支出</w:t>
      </w:r>
      <w:r>
        <w:rPr>
          <w:rFonts w:hint="eastAsia" w:ascii="仿宋_GB2312" w:hAnsi="仿宋_GB2312" w:eastAsia="仿宋_GB2312" w:cs="仿宋_GB2312"/>
          <w:color w:val="000000"/>
          <w:kern w:val="0"/>
          <w:sz w:val="32"/>
          <w:szCs w:val="32"/>
          <w:lang w:val="en-US" w:eastAsia="zh-CN" w:bidi="ar"/>
        </w:rPr>
        <w:t>0</w:t>
      </w:r>
      <w:r>
        <w:rPr>
          <w:rFonts w:hint="eastAsia" w:ascii="仿宋_GB2312" w:hAnsi="仿宋_GB2312" w:eastAsia="仿宋_GB2312" w:cs="仿宋_GB2312"/>
          <w:color w:val="000000"/>
          <w:kern w:val="0"/>
          <w:sz w:val="32"/>
          <w:szCs w:val="32"/>
          <w:lang w:bidi="ar"/>
        </w:rPr>
        <w:t>万元。授予中小企业合同金</w:t>
      </w:r>
      <w:r>
        <w:rPr>
          <w:rFonts w:hint="eastAsia" w:ascii="仿宋_GB2312" w:hAnsi="仿宋_GB2312" w:eastAsia="仿宋_GB2312" w:cs="仿宋_GB2312"/>
          <w:color w:val="000000"/>
          <w:kern w:val="0"/>
          <w:sz w:val="32"/>
          <w:szCs w:val="32"/>
          <w:lang w:val="en-US" w:eastAsia="zh-CN" w:bidi="ar"/>
        </w:rPr>
        <w:t>0</w:t>
      </w:r>
      <w:r>
        <w:rPr>
          <w:rFonts w:hint="eastAsia" w:ascii="仿宋_GB2312" w:hAnsi="仿宋_GB2312" w:eastAsia="仿宋_GB2312" w:cs="仿宋_GB2312"/>
          <w:color w:val="000000"/>
          <w:kern w:val="0"/>
          <w:sz w:val="32"/>
          <w:szCs w:val="32"/>
          <w:lang w:bidi="ar"/>
        </w:rPr>
        <w:t>万元，占政府采购支出总额的</w:t>
      </w:r>
      <w:r>
        <w:rPr>
          <w:rFonts w:hint="eastAsia" w:ascii="仿宋_GB2312" w:hAnsi="仿宋_GB2312" w:eastAsia="仿宋_GB2312" w:cs="仿宋_GB2312"/>
          <w:color w:val="000000"/>
          <w:kern w:val="0"/>
          <w:sz w:val="32"/>
          <w:szCs w:val="32"/>
          <w:lang w:val="en-US" w:eastAsia="zh-CN" w:bidi="ar"/>
        </w:rPr>
        <w:t>0</w:t>
      </w:r>
      <w:r>
        <w:rPr>
          <w:rFonts w:hint="eastAsia" w:ascii="仿宋_GB2312" w:hAnsi="仿宋_GB2312" w:eastAsia="仿宋_GB2312" w:cs="仿宋_GB2312"/>
          <w:color w:val="000000"/>
          <w:kern w:val="0"/>
          <w:sz w:val="32"/>
          <w:szCs w:val="32"/>
          <w:lang w:bidi="ar"/>
        </w:rPr>
        <w:t>%，其中授予小微企业合同金额</w:t>
      </w:r>
      <w:r>
        <w:rPr>
          <w:rFonts w:hint="eastAsia" w:ascii="仿宋_GB2312" w:hAnsi="仿宋_GB2312" w:eastAsia="仿宋_GB2312" w:cs="仿宋_GB2312"/>
          <w:color w:val="000000"/>
          <w:kern w:val="0"/>
          <w:sz w:val="32"/>
          <w:szCs w:val="32"/>
          <w:lang w:val="en-US" w:eastAsia="zh-CN" w:bidi="ar"/>
        </w:rPr>
        <w:t>0</w:t>
      </w:r>
      <w:r>
        <w:rPr>
          <w:rFonts w:hint="eastAsia" w:ascii="仿宋_GB2312" w:hAnsi="仿宋_GB2312" w:eastAsia="仿宋_GB2312" w:cs="仿宋_GB2312"/>
          <w:color w:val="000000"/>
          <w:kern w:val="0"/>
          <w:sz w:val="32"/>
          <w:szCs w:val="32"/>
          <w:lang w:bidi="ar"/>
        </w:rPr>
        <w:t>万元，占政府采购支出总额的</w:t>
      </w:r>
      <w:r>
        <w:rPr>
          <w:rFonts w:hint="eastAsia" w:ascii="仿宋_GB2312" w:hAnsi="仿宋_GB2312" w:eastAsia="仿宋_GB2312" w:cs="仿宋_GB2312"/>
          <w:color w:val="000000"/>
          <w:kern w:val="0"/>
          <w:sz w:val="32"/>
          <w:szCs w:val="32"/>
          <w:lang w:val="en-US" w:eastAsia="zh-CN" w:bidi="ar"/>
        </w:rPr>
        <w:t>0</w:t>
      </w:r>
      <w:r>
        <w:rPr>
          <w:rFonts w:hint="eastAsia" w:ascii="仿宋_GB2312" w:hAnsi="仿宋_GB2312" w:eastAsia="仿宋_GB2312" w:cs="仿宋_GB2312"/>
          <w:color w:val="000000"/>
          <w:kern w:val="0"/>
          <w:sz w:val="32"/>
          <w:szCs w:val="32"/>
          <w:lang w:bidi="ar"/>
        </w:rPr>
        <w:t>%。</w:t>
      </w:r>
    </w:p>
    <w:p>
      <w:pPr>
        <w:keepNext/>
        <w:keepLines/>
        <w:snapToGrid w:val="0"/>
        <w:spacing w:line="600" w:lineRule="exact"/>
        <w:ind w:firstLine="640" w:firstLineChars="200"/>
        <w:outlineLvl w:val="2"/>
        <w:rPr>
          <w:rFonts w:ascii="黑体" w:hAnsi="黑体" w:eastAsia="黑体" w:cs="黑体"/>
          <w:sz w:val="32"/>
          <w:szCs w:val="32"/>
        </w:rPr>
      </w:pPr>
      <w:r>
        <w:rPr>
          <w:rFonts w:hint="eastAsia" w:ascii="黑体" w:hAnsi="黑体" w:eastAsia="黑体" w:cs="黑体"/>
          <w:sz w:val="32"/>
          <w:szCs w:val="32"/>
        </w:rPr>
        <w:t>九、国有资产占用情况</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截至2020年12月31日，本部门共有车辆</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辆，比上年增加</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辆，主要是</w:t>
      </w:r>
      <w:r>
        <w:rPr>
          <w:rFonts w:hint="eastAsia" w:ascii="仿宋_GB2312" w:hAnsi="仿宋_GB2312" w:eastAsia="仿宋_GB2312" w:cs="仿宋_GB2312"/>
          <w:sz w:val="32"/>
          <w:szCs w:val="32"/>
          <w:lang w:val="en-US" w:eastAsia="zh-CN"/>
        </w:rPr>
        <w:t>未发生公务用车购置经费支出</w:t>
      </w:r>
      <w:r>
        <w:rPr>
          <w:rFonts w:hint="eastAsia" w:ascii="仿宋_GB2312" w:hAnsi="仿宋_GB2312" w:eastAsia="仿宋_GB2312" w:cs="仿宋_GB2312"/>
          <w:sz w:val="32"/>
          <w:szCs w:val="32"/>
        </w:rPr>
        <w:t>。其中，副部（省）级及以上领导用车</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辆，主要领导干部用车</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辆，机要通信用车</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辆，应急保障用车</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辆，执法执勤用车</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辆，特种专业技术用车</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辆，离退休干部用车</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辆，其他用车</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辆，其他用车主要是</w:t>
      </w:r>
      <w:r>
        <w:rPr>
          <w:rFonts w:hint="eastAsia" w:ascii="仿宋_GB2312" w:hAnsi="仿宋_GB2312" w:eastAsia="仿宋_GB2312" w:cs="仿宋_GB2312"/>
          <w:sz w:val="32"/>
          <w:szCs w:val="32"/>
          <w:lang w:val="en-US" w:eastAsia="zh-CN"/>
        </w:rPr>
        <w:t>日常公用车</w:t>
      </w:r>
      <w:r>
        <w:rPr>
          <w:rFonts w:hint="eastAsia" w:ascii="仿宋_GB2312" w:hAnsi="仿宋_GB2312" w:eastAsia="仿宋_GB2312" w:cs="仿宋_GB2312"/>
          <w:sz w:val="32"/>
          <w:szCs w:val="32"/>
        </w:rPr>
        <w:t>；</w:t>
      </w:r>
    </w:p>
    <w:p>
      <w:pPr>
        <w:adjustRightInd w:val="0"/>
        <w:snapToGrid w:val="0"/>
        <w:spacing w:line="600" w:lineRule="exact"/>
        <w:ind w:firstLine="640" w:firstLineChars="200"/>
        <w:rPr>
          <w:rFonts w:ascii="仿宋_GB2312" w:hAnsi="仿宋_GB2312" w:eastAsia="仿宋_GB2312" w:cs="仿宋_GB2312"/>
          <w:b/>
          <w:bCs/>
          <w:sz w:val="32"/>
          <w:szCs w:val="32"/>
        </w:rPr>
      </w:pPr>
      <w:r>
        <w:rPr>
          <w:rFonts w:hint="eastAsia" w:ascii="仿宋_GB2312" w:hAnsi="仿宋_GB2312" w:eastAsia="仿宋_GB2312" w:cs="仿宋_GB2312"/>
          <w:sz w:val="32"/>
          <w:szCs w:val="32"/>
        </w:rPr>
        <w:t>单位价值50万元以上通用设备</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台（套），比上年增加</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套，单位价值100万元以上专用设备</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台（套）比上年增加</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套，主要是</w:t>
      </w:r>
      <w:r>
        <w:rPr>
          <w:rFonts w:hint="eastAsia" w:ascii="仿宋_GB2312" w:hAnsi="仿宋_GB2312" w:eastAsia="仿宋_GB2312" w:cs="仿宋_GB2312"/>
          <w:sz w:val="32"/>
          <w:szCs w:val="32"/>
          <w:lang w:val="en-US" w:eastAsia="zh-CN"/>
        </w:rPr>
        <w:t>未发生单位价值100万元以上专用设备支出</w:t>
      </w:r>
      <w:r>
        <w:rPr>
          <w:rFonts w:hint="eastAsia" w:ascii="仿宋_GB2312" w:hAnsi="仿宋_GB2312" w:eastAsia="仿宋_GB2312" w:cs="仿宋_GB2312"/>
          <w:sz w:val="32"/>
          <w:szCs w:val="32"/>
        </w:rPr>
        <w:t>。</w:t>
      </w:r>
    </w:p>
    <w:p>
      <w:pPr>
        <w:keepNext/>
        <w:keepLines/>
        <w:snapToGrid w:val="0"/>
        <w:spacing w:line="600" w:lineRule="exact"/>
        <w:ind w:firstLine="640" w:firstLineChars="200"/>
        <w:outlineLvl w:val="2"/>
        <w:rPr>
          <w:rFonts w:ascii="黑体" w:hAnsi="黑体" w:eastAsia="黑体" w:cs="黑体"/>
          <w:sz w:val="32"/>
          <w:szCs w:val="32"/>
        </w:rPr>
      </w:pPr>
      <w:r>
        <w:rPr>
          <w:rFonts w:hint="eastAsia" w:ascii="黑体" w:hAnsi="黑体" w:eastAsia="黑体" w:cs="黑体"/>
          <w:sz w:val="32"/>
          <w:szCs w:val="32"/>
        </w:rPr>
        <w:t>十、其他需要说明的情况</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 本部门2020年度未发生</w:t>
      </w:r>
      <w:r>
        <w:rPr>
          <w:rFonts w:hint="eastAsia" w:ascii="仿宋_GB2312" w:hAnsi="仿宋_GB2312" w:eastAsia="仿宋_GB2312" w:cs="仿宋_GB2312"/>
          <w:sz w:val="32"/>
          <w:szCs w:val="32"/>
          <w:highlight w:val="none"/>
        </w:rPr>
        <w:t>国有资金经营预算</w:t>
      </w:r>
      <w:r>
        <w:rPr>
          <w:rFonts w:hint="eastAsia" w:ascii="仿宋_GB2312" w:hAnsi="仿宋_GB2312" w:eastAsia="仿宋_GB2312" w:cs="仿宋_GB2312"/>
          <w:sz w:val="32"/>
          <w:szCs w:val="32"/>
        </w:rPr>
        <w:t>收支及结转结余情况，故国有资本经营预算财政拨款支出决算表以空表列示。</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 由于决算公开表格中金额数值应当保留两位小数，公开数据为四舍五入计算结果，个别数据合计项与分项之和存在小数点后差额，特此说明。</w:t>
      </w: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hint="eastAsia"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r>
        <w:rPr>
          <w:sz w:val="72"/>
        </w:rPr>
        <mc:AlternateContent>
          <mc:Choice Requires="wps">
            <w:drawing>
              <wp:anchor distT="0" distB="0" distL="114300" distR="114300" simplePos="0" relativeHeight="251661312" behindDoc="0" locked="0" layoutInCell="1" allowOverlap="1">
                <wp:simplePos x="0" y="0"/>
                <wp:positionH relativeFrom="column">
                  <wp:posOffset>-1022350</wp:posOffset>
                </wp:positionH>
                <wp:positionV relativeFrom="paragraph">
                  <wp:posOffset>201930</wp:posOffset>
                </wp:positionV>
                <wp:extent cx="7793355" cy="3341370"/>
                <wp:effectExtent l="4445" t="4445" r="5080" b="6985"/>
                <wp:wrapNone/>
                <wp:docPr id="188" name="文本框 188"/>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chemeClr val="bg1">
                              <a:lumMod val="50000"/>
                            </a:schemeClr>
                          </a:fgClr>
                          <a:bgClr>
                            <a:schemeClr val="bg1"/>
                          </a:bgClr>
                        </a:pattFill>
                        <a:ln w="6350">
                          <a:solidFill>
                            <a:schemeClr val="bg1">
                              <a:lumMod val="50000"/>
                            </a:schemeClr>
                          </a:solidFill>
                        </a:ln>
                      </wps:spPr>
                      <wps:style>
                        <a:lnRef idx="0">
                          <a:schemeClr val="accent1"/>
                        </a:lnRef>
                        <a:fillRef idx="0">
                          <a:schemeClr val="accent1"/>
                        </a:fillRef>
                        <a:effectRef idx="0">
                          <a:schemeClr val="accent1"/>
                        </a:effectRef>
                        <a:fontRef idx="minor">
                          <a:schemeClr val="dk1"/>
                        </a:fontRef>
                      </wps:style>
                      <wps:txbx>
                        <w:txbxContent>
                          <w:p>
                            <w:pPr>
                              <w:widowControl/>
                              <w:jc w:val="center"/>
                              <w:rPr>
                                <w14:textOutline w14:w="9525" w14:cap="flat" w14:cmpd="sng" w14:algn="ctr">
                                  <w14:solidFill>
                                    <w14:schemeClr w14:val="tx1">
                                      <w14:lumMod w14:val="50000"/>
                                      <w14:lumOff w14:val="50000"/>
                                    </w14:schemeClr>
                                  </w14:solidFill>
                                  <w14:prstDash w14:val="solid"/>
                                  <w14:round/>
                                </w14:textOutline>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第三部分 相关名词解释</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80.5pt;margin-top:15.9pt;height:263.1pt;width:613.65pt;z-index:251661312;v-text-anchor:middle;mso-width-relative:page;mso-height-relative:page;" fillcolor="#44964D [1612]" filled="t" stroked="t" coordsize="21600,21600" o:gfxdata="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Dbvt8C2gAA&#10;AAwBAAAPAAAAAAAAAAEAIAAAACIAAABkcnMvZG93bnJldi54bWxQSwECFAAUAAAACACHTuJAQWqr&#10;T44CAABMBQAADgAAAAAAAAABACAAAAApAQAAZHJzL2Uyb0RvYy54bWxQSwUGAAAAAAYABgBZAQAA&#10;KQYAAAAA&#10;">
                <v:fill type="pattern" on="t" color2="#CCE8CF [3212]" o:title="5%" focussize="0,0" r:id="rId12"/>
                <v:stroke weight="0.5pt" color="#44964D [1612]" joinstyle="round"/>
                <v:imagedata o:title=""/>
                <o:lock v:ext="edit" aspectratio="f"/>
                <v:textbox>
                  <w:txbxContent>
                    <w:p>
                      <w:pPr>
                        <w:widowControl/>
                        <w:jc w:val="center"/>
                        <w:rPr>
                          <w14:textOutline w14:w="9525" w14:cap="flat" w14:cmpd="sng" w14:algn="ctr">
                            <w14:solidFill>
                              <w14:schemeClr w14:val="tx1">
                                <w14:lumMod w14:val="50000"/>
                                <w14:lumOff w14:val="50000"/>
                              </w14:schemeClr>
                            </w14:solidFill>
                            <w14:prstDash w14:val="solid"/>
                            <w14:round/>
                          </w14:textOutline>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第三部分 相关名词解释</w:t>
                      </w:r>
                    </w:p>
                  </w:txbxContent>
                </v:textbox>
              </v:shape>
            </w:pict>
          </mc:Fallback>
        </mc:AlternateContent>
      </w: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highlight w:val="yellow"/>
        </w:rPr>
      </w:pPr>
      <w:r>
        <w:rPr>
          <w:rFonts w:hint="eastAsia" w:ascii="仿宋_GB2312" w:hAnsi="宋体" w:eastAsia="仿宋_GB2312" w:cs="Arial Black"/>
          <w:sz w:val="32"/>
          <w:szCs w:val="32"/>
          <w:highlight w:val="yellow"/>
        </w:rPr>
        <w:br w:type="page"/>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（一）财政拨款收入：</w:t>
      </w:r>
      <w:r>
        <w:rPr>
          <w:rFonts w:hint="eastAsia" w:ascii="仿宋_GB2312" w:hAnsi="宋体" w:eastAsia="仿宋_GB2312" w:cs="Times New Roman"/>
          <w:color w:val="000000"/>
          <w:kern w:val="0"/>
          <w:sz w:val="32"/>
          <w:szCs w:val="32"/>
        </w:rPr>
        <w:t>本年度从本级财政部门取得的财政拨款，包括一般公共预算财政拨款和政府性基金预算财政拨款。</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（二）事业收入：</w:t>
      </w:r>
      <w:r>
        <w:rPr>
          <w:rFonts w:hint="eastAsia" w:ascii="仿宋_GB2312" w:hAnsi="宋体" w:eastAsia="仿宋_GB2312" w:cs="Times New Roman"/>
          <w:color w:val="000000"/>
          <w:kern w:val="0"/>
          <w:sz w:val="32"/>
          <w:szCs w:val="32"/>
        </w:rPr>
        <w:t>指事业单位开展专业业务活动及辅助活动所取得的收入。</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（三）其他收入：</w:t>
      </w:r>
      <w:r>
        <w:rPr>
          <w:rFonts w:hint="eastAsia" w:ascii="仿宋_GB2312" w:hAnsi="宋体" w:eastAsia="仿宋_GB2312" w:cs="Times New Roman"/>
          <w:color w:val="000000"/>
          <w:kern w:val="0"/>
          <w:sz w:val="32"/>
          <w:szCs w:val="32"/>
        </w:rPr>
        <w:t>指除上述“财政拨款收入”“事业收入”“经营收入”等以外的收入。</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（四）年初结转和结余：</w:t>
      </w:r>
      <w:r>
        <w:rPr>
          <w:rFonts w:hint="eastAsia" w:ascii="仿宋_GB2312" w:hAnsi="宋体" w:eastAsia="仿宋_GB2312" w:cs="Times New Roman"/>
          <w:color w:val="000000"/>
          <w:kern w:val="0"/>
          <w:sz w:val="32"/>
          <w:szCs w:val="32"/>
        </w:rPr>
        <w:t>指以前年度尚未完成、结转到本年仍按原规定用途继续使用的资金，或项目已完成等产生的结余资金。</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（五）结余分配：</w:t>
      </w:r>
      <w:r>
        <w:rPr>
          <w:rFonts w:hint="eastAsia" w:ascii="仿宋_GB2312" w:hAnsi="宋体" w:eastAsia="仿宋_GB2312" w:cs="Times New Roman"/>
          <w:color w:val="000000"/>
          <w:kern w:val="0"/>
          <w:sz w:val="32"/>
          <w:szCs w:val="32"/>
        </w:rPr>
        <w:t>指事业单位按照事业单位会计制度的规定从非财政补助结余中分配的事业基金和职工福利基金等。</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（六）年末结转和结余：</w:t>
      </w:r>
      <w:r>
        <w:rPr>
          <w:rFonts w:hint="eastAsia" w:ascii="仿宋_GB2312" w:hAnsi="宋体" w:eastAsia="仿宋_GB2312" w:cs="Times New Roman"/>
          <w:color w:val="000000"/>
          <w:kern w:val="0"/>
          <w:sz w:val="32"/>
          <w:szCs w:val="32"/>
        </w:rPr>
        <w:t>指单位按有关规定结转到下年或以后年度继续使用的资金，或项目已完成等产生的结余资金。</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（七）基本支出：</w:t>
      </w:r>
      <w:r>
        <w:rPr>
          <w:rFonts w:hint="eastAsia" w:ascii="仿宋_GB2312" w:hAnsi="宋体" w:eastAsia="仿宋_GB2312" w:cs="Times New Roman"/>
          <w:color w:val="000000"/>
          <w:kern w:val="0"/>
          <w:sz w:val="32"/>
          <w:szCs w:val="32"/>
        </w:rPr>
        <w:t>填列单位为保障机构正常运转、完成日常工作任务而发生的各项支出。</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（八）项目支出：</w:t>
      </w:r>
      <w:r>
        <w:rPr>
          <w:rFonts w:hint="eastAsia" w:ascii="仿宋_GB2312" w:hAnsi="宋体" w:eastAsia="仿宋_GB2312" w:cs="Times New Roman"/>
          <w:color w:val="000000"/>
          <w:kern w:val="0"/>
          <w:sz w:val="32"/>
          <w:szCs w:val="32"/>
        </w:rPr>
        <w:t>填列单位为完成特定的行政工作任务或事业发展目标，在基本支出之外发生的各项支出</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（九）基本建设支出：</w:t>
      </w:r>
      <w:r>
        <w:rPr>
          <w:rFonts w:hint="eastAsia" w:ascii="仿宋_GB2312" w:hAnsi="宋体" w:eastAsia="仿宋_GB2312" w:cs="Times New Roman"/>
          <w:color w:val="000000"/>
          <w:kern w:val="0"/>
          <w:sz w:val="32"/>
          <w:szCs w:val="32"/>
        </w:rPr>
        <w:t>填列由本级发展与改革部门集中安排的用于购置固定资产、战略性和应急性储备、土地和无形资产，以及购建基础设施、大型修缮所发生的一般公共预算财政拨款支出和政府性基金预算财政拨款支出，不包括财政专户管理资金以及各类拼盘自筹资金等。</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（十）其他资本性支出：</w:t>
      </w:r>
      <w:r>
        <w:rPr>
          <w:rFonts w:hint="eastAsia" w:ascii="仿宋_GB2312" w:hAnsi="宋体" w:eastAsia="仿宋_GB2312" w:cs="Times New Roman"/>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pPr>
        <w:snapToGrid w:val="0"/>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（十一）“三公”经费：</w:t>
      </w:r>
      <w:r>
        <w:rPr>
          <w:rFonts w:hint="eastAsia" w:ascii="仿宋_GB2312" w:hAnsi="宋体" w:eastAsia="仿宋_GB2312" w:cs="Times New Roman"/>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pPr>
        <w:snapToGrid w:val="0"/>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（十二）其他交通费用：</w:t>
      </w:r>
      <w:r>
        <w:rPr>
          <w:rFonts w:hint="eastAsia" w:ascii="仿宋_GB2312" w:hAnsi="宋体" w:eastAsia="仿宋_GB2312" w:cs="Times New Roman"/>
          <w:color w:val="000000"/>
          <w:kern w:val="0"/>
          <w:sz w:val="32"/>
          <w:szCs w:val="32"/>
        </w:rPr>
        <w:t>填列单位除公务用车运行维护费以外的其他交通费用。如公务交通补贴、租车费用、出租车费用，飞机、船舶等燃料费、维修费、保险费等。</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（十三）公务用车购置：</w:t>
      </w:r>
      <w:r>
        <w:rPr>
          <w:rFonts w:hint="eastAsia" w:ascii="仿宋_GB2312" w:hAnsi="宋体" w:eastAsia="仿宋_GB2312" w:cs="Times New Roman"/>
          <w:color w:val="000000"/>
          <w:kern w:val="0"/>
          <w:sz w:val="32"/>
          <w:szCs w:val="32"/>
        </w:rPr>
        <w:t>填列单位公务用车车辆购置支出（含车辆购置税、牌照费）。</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（十四）其他交通工具购置：</w:t>
      </w:r>
      <w:r>
        <w:rPr>
          <w:rFonts w:hint="eastAsia" w:ascii="仿宋_GB2312" w:hAnsi="宋体" w:eastAsia="仿宋_GB2312" w:cs="Times New Roman"/>
          <w:color w:val="000000"/>
          <w:kern w:val="0"/>
          <w:sz w:val="32"/>
          <w:szCs w:val="32"/>
        </w:rPr>
        <w:t>填列单位除公务用车外的其他各类交通工具（如船舶、飞机等）购置支出（含车辆购置税、牌照费）。</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（十五）机关运行经费：</w:t>
      </w:r>
      <w:r>
        <w:rPr>
          <w:rFonts w:hint="eastAsia" w:ascii="仿宋_GB2312" w:hAnsi="宋体" w:eastAsia="仿宋_GB2312" w:cs="Times New Roman"/>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tabs>
          <w:tab w:val="left" w:pos="235"/>
        </w:tabs>
        <w:spacing w:line="600" w:lineRule="exact"/>
        <w:ind w:firstLine="643" w:firstLineChars="200"/>
        <w:jc w:val="left"/>
        <w:rPr>
          <w:rFonts w:ascii="仿宋_GB2312" w:hAnsi="Cambria" w:eastAsia="仿宋_GB2312" w:cs="Arial Black"/>
          <w:kern w:val="0"/>
          <w:sz w:val="32"/>
          <w:szCs w:val="32"/>
        </w:rPr>
      </w:pPr>
      <w:r>
        <w:rPr>
          <w:rFonts w:hint="eastAsia" w:ascii="仿宋_GB2312" w:hAnsi="宋体" w:eastAsia="仿宋_GB2312" w:cs="Times New Roman"/>
          <w:b/>
          <w:bCs/>
          <w:color w:val="000000"/>
          <w:kern w:val="0"/>
          <w:sz w:val="32"/>
          <w:szCs w:val="32"/>
        </w:rPr>
        <w:t>（十六）经费形式:</w:t>
      </w:r>
      <w:r>
        <w:rPr>
          <w:rFonts w:hint="eastAsia" w:ascii="仿宋_GB2312" w:hAnsi="宋体" w:eastAsia="仿宋_GB2312" w:cs="Times New Roman"/>
          <w:color w:val="000000"/>
          <w:kern w:val="0"/>
          <w:sz w:val="32"/>
          <w:szCs w:val="32"/>
        </w:rPr>
        <w:t>按照经费来源，</w:t>
      </w:r>
      <w:r>
        <w:rPr>
          <w:rFonts w:hint="eastAsia" w:ascii="仿宋_GB2312" w:hAnsi="Cambria" w:eastAsia="仿宋_GB2312" w:cs="Arial Black"/>
          <w:kern w:val="0"/>
          <w:sz w:val="32"/>
          <w:szCs w:val="32"/>
        </w:rPr>
        <w:t>可分为财政拨款、财政性资金基本保证、财政性资金定额或定项补助、财政性资金零补助四类。</w:t>
      </w: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widowControl/>
        <w:spacing w:after="160" w:line="580" w:lineRule="exact"/>
        <w:rPr>
          <w:rFonts w:ascii="Times New Roman" w:hAnsi="Times New Roman" w:eastAsia="黑体" w:cs="Times New Roman"/>
          <w:sz w:val="32"/>
          <w:szCs w:val="32"/>
        </w:rPr>
        <w:sectPr>
          <w:headerReference r:id="rId8" w:type="default"/>
          <w:pgSz w:w="11906" w:h="16838"/>
          <w:pgMar w:top="2098" w:right="1531" w:bottom="1984" w:left="1531" w:header="851" w:footer="992" w:gutter="0"/>
          <w:pgNumType w:fmt="numberInDash"/>
          <w:cols w:space="0" w:num="1"/>
          <w:titlePg/>
          <w:docGrid w:type="lines" w:linePitch="312" w:charSpace="0"/>
        </w:sectPr>
      </w:pPr>
    </w:p>
    <w:p>
      <w:pPr>
        <w:rPr>
          <w:rFonts w:ascii="黑体" w:hAnsi="黑体" w:eastAsia="黑体" w:cs="黑体"/>
          <w:sz w:val="56"/>
          <w:szCs w:val="72"/>
        </w:rPr>
        <w:sectPr>
          <w:type w:val="continuous"/>
          <w:pgSz w:w="11906" w:h="16838"/>
          <w:pgMar w:top="2098" w:right="1531" w:bottom="1984" w:left="1531" w:header="851" w:footer="992" w:gutter="0"/>
          <w:pgNumType w:fmt="numberInDash"/>
          <w:cols w:space="0" w:num="1"/>
          <w:titlePg/>
          <w:docGrid w:type="lines" w:linePitch="312" w:charSpace="0"/>
        </w:sectPr>
      </w:pPr>
      <w:r>
        <w:rPr>
          <w:sz w:val="72"/>
        </w:rPr>
        <mc:AlternateContent>
          <mc:Choice Requires="wps">
            <w:drawing>
              <wp:anchor distT="0" distB="0" distL="114300" distR="114300" simplePos="0" relativeHeight="251665408" behindDoc="0" locked="0" layoutInCell="1" allowOverlap="1">
                <wp:simplePos x="0" y="0"/>
                <wp:positionH relativeFrom="column">
                  <wp:posOffset>-1027430</wp:posOffset>
                </wp:positionH>
                <wp:positionV relativeFrom="paragraph">
                  <wp:posOffset>1151255</wp:posOffset>
                </wp:positionV>
                <wp:extent cx="7793355" cy="3341370"/>
                <wp:effectExtent l="6350" t="6350" r="18415" b="20320"/>
                <wp:wrapNone/>
                <wp:docPr id="1" name="文本框 1"/>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ysClr val="window" lastClr="CCE8CF">
                              <a:lumMod val="50000"/>
                            </a:sysClr>
                          </a:fgClr>
                          <a:bgClr>
                            <a:sysClr val="window" lastClr="CCE8CF"/>
                          </a:bgClr>
                        </a:pattFill>
                        <a:ln w="12700" cmpd="sng">
                          <a:solidFill>
                            <a:sysClr val="window" lastClr="CCE8CF">
                              <a:lumMod val="65000"/>
                            </a:sysClr>
                          </a:solidFill>
                          <a:prstDash val="solid"/>
                        </a:ln>
                        <a:effectLst/>
                      </wps:spPr>
                      <wps:txbx>
                        <w:txbxContent>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第四部分 </w:t>
                            </w:r>
                          </w:p>
                          <w:p>
                            <w:pPr>
                              <w:widowControl/>
                              <w:jc w:val="center"/>
                              <w:rPr>
                                <w14:textOutline w14:w="9525" w14:cap="flat" w14:cmpd="sng" w14:algn="ctr">
                                  <w14:solidFill>
                                    <w14:schemeClr w14:val="tx1">
                                      <w14:lumMod w14:val="50000"/>
                                      <w14:lumOff w14:val="50000"/>
                                    </w14:schemeClr>
                                  </w14:solidFill>
                                  <w14:prstDash w14:val="solid"/>
                                  <w14:round/>
                                </w14:textOutline>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2020年度部门决算报表</w:t>
                            </w:r>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80.9pt;margin-top:90.65pt;height:263.1pt;width:613.65pt;z-index:251665408;v-text-anchor:middle;mso-width-relative:page;mso-height-relative:page;" fillcolor="#44964D" filled="t" stroked="t" coordsize="21600,21600" o:gfxdata="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">
                <v:fill type="pattern" on="t" color2="#CCE8CF" o:title="5%" focussize="0,0" r:id="rId12"/>
                <v:stroke weight="1pt" color="#63B96C" joinstyle="round"/>
                <v:imagedata o:title=""/>
                <o:lock v:ext="edit" aspectratio="f"/>
                <v:textbox>
                  <w:txbxContent>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第四部分 </w:t>
                      </w:r>
                    </w:p>
                    <w:p>
                      <w:pPr>
                        <w:widowControl/>
                        <w:jc w:val="center"/>
                        <w:rPr>
                          <w14:textOutline w14:w="9525" w14:cap="flat" w14:cmpd="sng" w14:algn="ctr">
                            <w14:solidFill>
                              <w14:schemeClr w14:val="tx1">
                                <w14:lumMod w14:val="50000"/>
                                <w14:lumOff w14:val="50000"/>
                              </w14:schemeClr>
                            </w14:solidFill>
                            <w14:prstDash w14:val="solid"/>
                            <w14:round/>
                          </w14:textOutline>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2020年度部门决算报表</w:t>
                      </w:r>
                    </w:p>
                    <w:p/>
                  </w:txbxContent>
                </v:textbox>
              </v:shape>
            </w:pict>
          </mc:Fallback>
        </mc:AlternateContent>
      </w:r>
    </w:p>
    <w:tbl>
      <w:tblPr>
        <w:tblStyle w:val="5"/>
        <w:tblpPr w:leftFromText="180" w:rightFromText="180" w:vertAnchor="text" w:horzAnchor="page" w:tblpXSpec="center" w:tblpY="31"/>
        <w:tblOverlap w:val="never"/>
        <w:tblW w:w="9434" w:type="dxa"/>
        <w:jc w:val="center"/>
        <w:tblLayout w:type="fixed"/>
        <w:tblCellMar>
          <w:top w:w="0" w:type="dxa"/>
          <w:left w:w="0" w:type="dxa"/>
          <w:bottom w:w="0" w:type="dxa"/>
          <w:right w:w="0" w:type="dxa"/>
        </w:tblCellMar>
      </w:tblPr>
      <w:tblGrid>
        <w:gridCol w:w="3207"/>
        <w:gridCol w:w="588"/>
        <w:gridCol w:w="822"/>
        <w:gridCol w:w="3443"/>
        <w:gridCol w:w="536"/>
        <w:gridCol w:w="838"/>
      </w:tblGrid>
      <w:tr>
        <w:tblPrEx>
          <w:tblCellMar>
            <w:top w:w="0" w:type="dxa"/>
            <w:left w:w="0" w:type="dxa"/>
            <w:bottom w:w="0" w:type="dxa"/>
            <w:right w:w="0" w:type="dxa"/>
          </w:tblCellMar>
        </w:tblPrEx>
        <w:trPr>
          <w:trHeight w:val="499" w:hRule="atLeast"/>
          <w:jc w:val="center"/>
        </w:trPr>
        <w:tc>
          <w:tcPr>
            <w:tcW w:w="9434" w:type="dxa"/>
            <w:gridSpan w:val="6"/>
            <w:tcBorders>
              <w:top w:val="nil"/>
              <w:left w:val="nil"/>
              <w:bottom w:val="nil"/>
              <w:right w:val="nil"/>
            </w:tcBorders>
            <w:shd w:val="clear" w:color="auto" w:fill="auto"/>
            <w:noWrap/>
            <w:tcMar>
              <w:top w:w="15" w:type="dxa"/>
              <w:left w:w="15" w:type="dxa"/>
              <w:right w:w="15" w:type="dxa"/>
            </w:tcMar>
            <w:vAlign w:val="bottom"/>
          </w:tcPr>
          <w:p>
            <w:pPr>
              <w:spacing w:line="400" w:lineRule="exact"/>
              <w:jc w:val="center"/>
              <w:rPr>
                <w:rFonts w:ascii="黑体" w:hAnsi="宋体" w:eastAsia="黑体" w:cs="黑体"/>
                <w:color w:val="000000"/>
                <w:sz w:val="28"/>
                <w:szCs w:val="28"/>
              </w:rPr>
            </w:pPr>
            <w:r>
              <w:rPr>
                <w:rFonts w:hint="eastAsia" w:ascii="黑体" w:hAnsi="宋体" w:eastAsia="黑体" w:cs="黑体"/>
                <w:color w:val="000000"/>
                <w:kern w:val="0"/>
                <w:sz w:val="28"/>
                <w:szCs w:val="28"/>
                <w:lang w:bidi="ar"/>
              </w:rPr>
              <w:t>收入支出决算总表</w:t>
            </w:r>
          </w:p>
        </w:tc>
      </w:tr>
      <w:tr>
        <w:tblPrEx>
          <w:tblCellMar>
            <w:top w:w="0" w:type="dxa"/>
            <w:left w:w="0" w:type="dxa"/>
            <w:bottom w:w="0" w:type="dxa"/>
            <w:right w:w="0" w:type="dxa"/>
          </w:tblCellMar>
        </w:tblPrEx>
        <w:trPr>
          <w:trHeight w:val="209" w:hRule="atLeast"/>
          <w:jc w:val="center"/>
        </w:trPr>
        <w:tc>
          <w:tcPr>
            <w:tcW w:w="3207"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588"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822"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4817" w:type="dxa"/>
            <w:gridSpan w:val="3"/>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公开01表</w:t>
            </w:r>
          </w:p>
        </w:tc>
      </w:tr>
      <w:tr>
        <w:tblPrEx>
          <w:tblCellMar>
            <w:top w:w="0" w:type="dxa"/>
            <w:left w:w="0" w:type="dxa"/>
            <w:bottom w:w="0" w:type="dxa"/>
            <w:right w:w="0" w:type="dxa"/>
          </w:tblCellMar>
        </w:tblPrEx>
        <w:trPr>
          <w:trHeight w:val="430" w:hRule="atLeast"/>
          <w:jc w:val="center"/>
        </w:trPr>
        <w:tc>
          <w:tcPr>
            <w:tcW w:w="3207"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部门：</w:t>
            </w:r>
          </w:p>
        </w:tc>
        <w:tc>
          <w:tcPr>
            <w:tcW w:w="588"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822"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4817" w:type="dxa"/>
            <w:gridSpan w:val="3"/>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金额单位：万元</w:t>
            </w:r>
          </w:p>
        </w:tc>
      </w:tr>
      <w:tr>
        <w:tblPrEx>
          <w:tblCellMar>
            <w:top w:w="0" w:type="dxa"/>
            <w:left w:w="0" w:type="dxa"/>
            <w:bottom w:w="0" w:type="dxa"/>
            <w:right w:w="0" w:type="dxa"/>
          </w:tblCellMar>
        </w:tblPrEx>
        <w:trPr>
          <w:trHeight w:val="290" w:hRule="atLeast"/>
          <w:jc w:val="center"/>
        </w:trPr>
        <w:tc>
          <w:tcPr>
            <w:tcW w:w="4617"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收入</w:t>
            </w:r>
          </w:p>
        </w:tc>
        <w:tc>
          <w:tcPr>
            <w:tcW w:w="4817" w:type="dxa"/>
            <w:gridSpan w:val="3"/>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支出</w:t>
            </w:r>
          </w:p>
        </w:tc>
      </w:tr>
      <w:tr>
        <w:tblPrEx>
          <w:tblCellMar>
            <w:top w:w="0" w:type="dxa"/>
            <w:left w:w="0" w:type="dxa"/>
            <w:bottom w:w="0" w:type="dxa"/>
            <w:right w:w="0" w:type="dxa"/>
          </w:tblCellMar>
        </w:tblPrEx>
        <w:trPr>
          <w:trHeight w:val="37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项目</w:t>
            </w:r>
          </w:p>
        </w:tc>
        <w:tc>
          <w:tcPr>
            <w:tcW w:w="5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行次</w:t>
            </w:r>
          </w:p>
        </w:tc>
        <w:tc>
          <w:tcPr>
            <w:tcW w:w="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金额</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项目</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行次</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金额</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栏次</w:t>
            </w:r>
          </w:p>
        </w:tc>
        <w:tc>
          <w:tcPr>
            <w:tcW w:w="5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　</w:t>
            </w:r>
          </w:p>
        </w:tc>
        <w:tc>
          <w:tcPr>
            <w:tcW w:w="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1</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栏次</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　</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18"/>
                <w:szCs w:val="18"/>
                <w:lang w:val="en-US" w:eastAsia="zh-CN" w:bidi="ar"/>
              </w:rPr>
            </w:pPr>
            <w:bookmarkStart w:id="0" w:name="_GoBack" w:colFirst="3" w:colLast="3"/>
            <w:r>
              <w:rPr>
                <w:rFonts w:hint="eastAsia" w:ascii="宋体" w:hAnsi="宋体" w:eastAsia="宋体" w:cs="宋体"/>
                <w:color w:val="000000"/>
                <w:kern w:val="0"/>
                <w:sz w:val="18"/>
                <w:szCs w:val="18"/>
                <w:lang w:val="en-US" w:eastAsia="zh-CN" w:bidi="ar"/>
              </w:rPr>
              <w:t>一、一般公共预算财政拨款收入</w:t>
            </w:r>
          </w:p>
        </w:tc>
        <w:tc>
          <w:tcPr>
            <w:tcW w:w="5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1</w:t>
            </w:r>
          </w:p>
        </w:tc>
        <w:tc>
          <w:tcPr>
            <w:tcW w:w="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1,252.22</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一、一般公共服务支出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32</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635.20</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二、政府性基金预算财政拨款收入</w:t>
            </w:r>
          </w:p>
        </w:tc>
        <w:tc>
          <w:tcPr>
            <w:tcW w:w="5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w:t>
            </w:r>
          </w:p>
        </w:tc>
        <w:tc>
          <w:tcPr>
            <w:tcW w:w="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53.76</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二、外交支出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33</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r>
      <w:tr>
        <w:tblPrEx>
          <w:tblCellMar>
            <w:top w:w="0" w:type="dxa"/>
            <w:left w:w="0" w:type="dxa"/>
            <w:bottom w:w="0" w:type="dxa"/>
            <w:right w:w="0" w:type="dxa"/>
          </w:tblCellMar>
        </w:tblPrEx>
        <w:trPr>
          <w:trHeight w:val="185"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三、国有资本经营预算财政拨款收入</w:t>
            </w:r>
          </w:p>
        </w:tc>
        <w:tc>
          <w:tcPr>
            <w:tcW w:w="5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3</w:t>
            </w:r>
          </w:p>
        </w:tc>
        <w:tc>
          <w:tcPr>
            <w:tcW w:w="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三、国防支出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34</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四、上级补助收入</w:t>
            </w:r>
          </w:p>
        </w:tc>
        <w:tc>
          <w:tcPr>
            <w:tcW w:w="5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4</w:t>
            </w:r>
          </w:p>
        </w:tc>
        <w:tc>
          <w:tcPr>
            <w:tcW w:w="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四、公共安全支出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35</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五、事业收入</w:t>
            </w:r>
          </w:p>
        </w:tc>
        <w:tc>
          <w:tcPr>
            <w:tcW w:w="5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5</w:t>
            </w:r>
          </w:p>
        </w:tc>
        <w:tc>
          <w:tcPr>
            <w:tcW w:w="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五、教育支出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36</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六、经营收入</w:t>
            </w:r>
          </w:p>
        </w:tc>
        <w:tc>
          <w:tcPr>
            <w:tcW w:w="5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6</w:t>
            </w:r>
          </w:p>
        </w:tc>
        <w:tc>
          <w:tcPr>
            <w:tcW w:w="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六、科学技术支出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37</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七、附属单位上缴收入</w:t>
            </w:r>
          </w:p>
        </w:tc>
        <w:tc>
          <w:tcPr>
            <w:tcW w:w="5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7</w:t>
            </w:r>
          </w:p>
        </w:tc>
        <w:tc>
          <w:tcPr>
            <w:tcW w:w="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七、文化旅游体育与传媒支出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38</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7.00</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八、其他收入</w:t>
            </w:r>
          </w:p>
        </w:tc>
        <w:tc>
          <w:tcPr>
            <w:tcW w:w="5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8</w:t>
            </w:r>
          </w:p>
        </w:tc>
        <w:tc>
          <w:tcPr>
            <w:tcW w:w="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八、社会保障和就业支出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39</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77.95</w:t>
            </w:r>
          </w:p>
        </w:tc>
      </w:tr>
      <w:bookmarkEnd w:id="0"/>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kern w:val="0"/>
                <w:sz w:val="18"/>
                <w:szCs w:val="18"/>
                <w:lang w:val="en-US" w:eastAsia="zh-CN" w:bidi="ar"/>
              </w:rPr>
            </w:pPr>
          </w:p>
        </w:tc>
        <w:tc>
          <w:tcPr>
            <w:tcW w:w="5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9</w:t>
            </w:r>
          </w:p>
        </w:tc>
        <w:tc>
          <w:tcPr>
            <w:tcW w:w="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九、卫生健康支出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40</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32.94</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kern w:val="0"/>
                <w:sz w:val="18"/>
                <w:szCs w:val="18"/>
                <w:lang w:val="en-US" w:eastAsia="zh-CN" w:bidi="ar"/>
              </w:rPr>
            </w:pPr>
          </w:p>
        </w:tc>
        <w:tc>
          <w:tcPr>
            <w:tcW w:w="5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10</w:t>
            </w:r>
          </w:p>
        </w:tc>
        <w:tc>
          <w:tcPr>
            <w:tcW w:w="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十、节能环保支出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41</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kern w:val="0"/>
                <w:sz w:val="18"/>
                <w:szCs w:val="18"/>
                <w:lang w:val="en-US" w:eastAsia="zh-CN" w:bidi="ar"/>
              </w:rPr>
            </w:pPr>
          </w:p>
        </w:tc>
        <w:tc>
          <w:tcPr>
            <w:tcW w:w="5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11</w:t>
            </w:r>
          </w:p>
        </w:tc>
        <w:tc>
          <w:tcPr>
            <w:tcW w:w="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十一、城乡社区支出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42</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53.76</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kern w:val="0"/>
                <w:sz w:val="18"/>
                <w:szCs w:val="18"/>
                <w:lang w:val="en-US" w:eastAsia="zh-CN" w:bidi="ar"/>
              </w:rPr>
            </w:pPr>
          </w:p>
        </w:tc>
        <w:tc>
          <w:tcPr>
            <w:tcW w:w="5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12</w:t>
            </w:r>
          </w:p>
        </w:tc>
        <w:tc>
          <w:tcPr>
            <w:tcW w:w="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十二、农林水支出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43</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465.09</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kern w:val="0"/>
                <w:sz w:val="18"/>
                <w:szCs w:val="18"/>
                <w:lang w:val="en-US" w:eastAsia="zh-CN" w:bidi="ar"/>
              </w:rPr>
            </w:pPr>
          </w:p>
        </w:tc>
        <w:tc>
          <w:tcPr>
            <w:tcW w:w="5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13</w:t>
            </w:r>
          </w:p>
        </w:tc>
        <w:tc>
          <w:tcPr>
            <w:tcW w:w="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十三、交通运输支出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44</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kern w:val="0"/>
                <w:sz w:val="18"/>
                <w:szCs w:val="18"/>
                <w:lang w:val="en-US" w:eastAsia="zh-CN" w:bidi="ar"/>
              </w:rPr>
            </w:pPr>
          </w:p>
        </w:tc>
        <w:tc>
          <w:tcPr>
            <w:tcW w:w="5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14</w:t>
            </w:r>
          </w:p>
        </w:tc>
        <w:tc>
          <w:tcPr>
            <w:tcW w:w="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十四、资源勘探工业信息等支出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45</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kern w:val="0"/>
                <w:sz w:val="18"/>
                <w:szCs w:val="18"/>
                <w:lang w:val="en-US" w:eastAsia="zh-CN" w:bidi="ar"/>
              </w:rPr>
            </w:pPr>
          </w:p>
        </w:tc>
        <w:tc>
          <w:tcPr>
            <w:tcW w:w="5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15</w:t>
            </w:r>
          </w:p>
        </w:tc>
        <w:tc>
          <w:tcPr>
            <w:tcW w:w="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十五、商业服务业等支出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46</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kern w:val="0"/>
                <w:sz w:val="18"/>
                <w:szCs w:val="18"/>
                <w:lang w:val="en-US" w:eastAsia="zh-CN" w:bidi="ar"/>
              </w:rPr>
            </w:pPr>
          </w:p>
        </w:tc>
        <w:tc>
          <w:tcPr>
            <w:tcW w:w="5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16</w:t>
            </w:r>
          </w:p>
        </w:tc>
        <w:tc>
          <w:tcPr>
            <w:tcW w:w="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十六、金融支出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47</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kern w:val="0"/>
                <w:sz w:val="18"/>
                <w:szCs w:val="18"/>
                <w:lang w:val="en-US" w:eastAsia="zh-CN" w:bidi="ar"/>
              </w:rPr>
            </w:pPr>
          </w:p>
        </w:tc>
        <w:tc>
          <w:tcPr>
            <w:tcW w:w="5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17</w:t>
            </w:r>
          </w:p>
        </w:tc>
        <w:tc>
          <w:tcPr>
            <w:tcW w:w="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十七、援助其他地区支出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48</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kern w:val="0"/>
                <w:sz w:val="18"/>
                <w:szCs w:val="18"/>
                <w:lang w:val="en-US" w:eastAsia="zh-CN" w:bidi="ar"/>
              </w:rPr>
            </w:pPr>
          </w:p>
        </w:tc>
        <w:tc>
          <w:tcPr>
            <w:tcW w:w="5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18</w:t>
            </w:r>
          </w:p>
        </w:tc>
        <w:tc>
          <w:tcPr>
            <w:tcW w:w="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十八、自然资源海洋气象等支出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49</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kern w:val="0"/>
                <w:sz w:val="18"/>
                <w:szCs w:val="18"/>
                <w:lang w:val="en-US" w:eastAsia="zh-CN" w:bidi="ar"/>
              </w:rPr>
            </w:pPr>
          </w:p>
        </w:tc>
        <w:tc>
          <w:tcPr>
            <w:tcW w:w="5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19</w:t>
            </w:r>
          </w:p>
        </w:tc>
        <w:tc>
          <w:tcPr>
            <w:tcW w:w="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十九、住房保障支出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50</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34.04</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kern w:val="0"/>
                <w:sz w:val="18"/>
                <w:szCs w:val="18"/>
                <w:lang w:val="en-US" w:eastAsia="zh-CN" w:bidi="ar"/>
              </w:rPr>
            </w:pPr>
          </w:p>
        </w:tc>
        <w:tc>
          <w:tcPr>
            <w:tcW w:w="5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20</w:t>
            </w:r>
          </w:p>
        </w:tc>
        <w:tc>
          <w:tcPr>
            <w:tcW w:w="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二十、粮油物资储备支出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51</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kern w:val="0"/>
                <w:sz w:val="18"/>
                <w:szCs w:val="18"/>
                <w:lang w:val="en-US" w:eastAsia="zh-CN" w:bidi="ar"/>
              </w:rPr>
            </w:pPr>
          </w:p>
        </w:tc>
        <w:tc>
          <w:tcPr>
            <w:tcW w:w="5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21</w:t>
            </w:r>
          </w:p>
        </w:tc>
        <w:tc>
          <w:tcPr>
            <w:tcW w:w="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二十一、国有资本经营预算支出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52</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kern w:val="0"/>
                <w:sz w:val="18"/>
                <w:szCs w:val="18"/>
                <w:lang w:val="en-US" w:eastAsia="zh-CN" w:bidi="ar"/>
              </w:rPr>
            </w:pPr>
          </w:p>
        </w:tc>
        <w:tc>
          <w:tcPr>
            <w:tcW w:w="5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22</w:t>
            </w:r>
          </w:p>
        </w:tc>
        <w:tc>
          <w:tcPr>
            <w:tcW w:w="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二十二、灾害防治及应急管理支出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53</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kern w:val="0"/>
                <w:sz w:val="18"/>
                <w:szCs w:val="18"/>
                <w:lang w:val="en-US" w:eastAsia="zh-CN" w:bidi="ar"/>
              </w:rPr>
            </w:pPr>
          </w:p>
        </w:tc>
        <w:tc>
          <w:tcPr>
            <w:tcW w:w="5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23</w:t>
            </w:r>
          </w:p>
        </w:tc>
        <w:tc>
          <w:tcPr>
            <w:tcW w:w="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二十三、其他支出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54</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kern w:val="0"/>
                <w:sz w:val="18"/>
                <w:szCs w:val="18"/>
                <w:lang w:val="en-US" w:eastAsia="zh-CN" w:bidi="ar"/>
              </w:rPr>
            </w:pPr>
          </w:p>
        </w:tc>
        <w:tc>
          <w:tcPr>
            <w:tcW w:w="5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24</w:t>
            </w:r>
          </w:p>
        </w:tc>
        <w:tc>
          <w:tcPr>
            <w:tcW w:w="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二十四、债务还本支出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55</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kern w:val="0"/>
                <w:sz w:val="18"/>
                <w:szCs w:val="18"/>
                <w:lang w:val="en-US" w:eastAsia="zh-CN" w:bidi="ar"/>
              </w:rPr>
            </w:pPr>
          </w:p>
        </w:tc>
        <w:tc>
          <w:tcPr>
            <w:tcW w:w="5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25</w:t>
            </w:r>
          </w:p>
        </w:tc>
        <w:tc>
          <w:tcPr>
            <w:tcW w:w="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二十五、债务付息支出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56</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kern w:val="0"/>
                <w:sz w:val="18"/>
                <w:szCs w:val="18"/>
                <w:lang w:val="en-US" w:eastAsia="zh-CN" w:bidi="ar"/>
              </w:rPr>
            </w:pPr>
          </w:p>
        </w:tc>
        <w:tc>
          <w:tcPr>
            <w:tcW w:w="5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26</w:t>
            </w:r>
          </w:p>
        </w:tc>
        <w:tc>
          <w:tcPr>
            <w:tcW w:w="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二十六、抗疫特别国债安排的支出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57</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本年收入合计</w:t>
            </w:r>
          </w:p>
        </w:tc>
        <w:tc>
          <w:tcPr>
            <w:tcW w:w="5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27</w:t>
            </w:r>
          </w:p>
        </w:tc>
        <w:tc>
          <w:tcPr>
            <w:tcW w:w="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1,305.98</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本年支出合计</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58</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1,305.98</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使用非财政拨款结余</w:t>
            </w:r>
          </w:p>
        </w:tc>
        <w:tc>
          <w:tcPr>
            <w:tcW w:w="5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28</w:t>
            </w:r>
          </w:p>
        </w:tc>
        <w:tc>
          <w:tcPr>
            <w:tcW w:w="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结余分配</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59</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年初结转和结余</w:t>
            </w:r>
          </w:p>
        </w:tc>
        <w:tc>
          <w:tcPr>
            <w:tcW w:w="5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29</w:t>
            </w:r>
          </w:p>
        </w:tc>
        <w:tc>
          <w:tcPr>
            <w:tcW w:w="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年末结转和结余</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60</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kern w:val="0"/>
                <w:sz w:val="18"/>
                <w:szCs w:val="18"/>
                <w:lang w:val="en-US" w:eastAsia="zh-CN" w:bidi="ar"/>
              </w:rPr>
            </w:pPr>
          </w:p>
        </w:tc>
        <w:tc>
          <w:tcPr>
            <w:tcW w:w="5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30</w:t>
            </w:r>
          </w:p>
        </w:tc>
        <w:tc>
          <w:tcPr>
            <w:tcW w:w="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kern w:val="0"/>
                <w:sz w:val="18"/>
                <w:szCs w:val="18"/>
                <w:lang w:val="en-US" w:eastAsia="zh-CN" w:bidi="ar"/>
              </w:rPr>
            </w:pP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61</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kern w:val="0"/>
                <w:sz w:val="18"/>
                <w:szCs w:val="18"/>
                <w:lang w:val="en-US" w:eastAsia="zh-CN" w:bidi="ar"/>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总计</w:t>
            </w:r>
          </w:p>
        </w:tc>
        <w:tc>
          <w:tcPr>
            <w:tcW w:w="5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31</w:t>
            </w:r>
          </w:p>
        </w:tc>
        <w:tc>
          <w:tcPr>
            <w:tcW w:w="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1,305.98</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总计</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62</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1,305.98</w:t>
            </w:r>
          </w:p>
        </w:tc>
      </w:tr>
      <w:tr>
        <w:tblPrEx>
          <w:tblCellMar>
            <w:top w:w="0" w:type="dxa"/>
            <w:left w:w="0" w:type="dxa"/>
            <w:bottom w:w="0" w:type="dxa"/>
            <w:right w:w="0" w:type="dxa"/>
          </w:tblCellMar>
        </w:tblPrEx>
        <w:trPr>
          <w:trHeight w:val="217" w:hRule="atLeast"/>
          <w:jc w:val="center"/>
        </w:trPr>
        <w:tc>
          <w:tcPr>
            <w:tcW w:w="9434" w:type="dxa"/>
            <w:gridSpan w:val="6"/>
            <w:tcBorders>
              <w:top w:val="nil"/>
              <w:left w:val="nil"/>
              <w:bottom w:val="nil"/>
              <w:right w:val="nil"/>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kern w:val="0"/>
                <w:sz w:val="18"/>
                <w:szCs w:val="18"/>
                <w:lang w:bidi="ar"/>
              </w:rPr>
            </w:pPr>
            <w:r>
              <w:rPr>
                <w:rFonts w:hint="eastAsia" w:ascii="宋体" w:hAnsi="宋体" w:eastAsia="宋体" w:cs="宋体"/>
                <w:color w:val="000000"/>
                <w:kern w:val="0"/>
                <w:sz w:val="18"/>
                <w:szCs w:val="18"/>
                <w:lang w:bidi="ar"/>
              </w:rPr>
              <w:t>注：本表反映部门本年度的总收支和年末结转结余情况。</w:t>
            </w:r>
          </w:p>
          <w:p>
            <w:pPr>
              <w:widowControl/>
              <w:jc w:val="left"/>
              <w:textAlignment w:val="center"/>
              <w:rPr>
                <w:rFonts w:ascii="宋体" w:hAnsi="宋体" w:eastAsia="宋体" w:cs="宋体"/>
                <w:color w:val="000000"/>
                <w:kern w:val="0"/>
                <w:sz w:val="18"/>
                <w:szCs w:val="18"/>
                <w:lang w:bidi="ar"/>
              </w:rPr>
            </w:pPr>
          </w:p>
        </w:tc>
      </w:tr>
      <w:tr>
        <w:tblPrEx>
          <w:tblCellMar>
            <w:top w:w="0" w:type="dxa"/>
            <w:left w:w="0" w:type="dxa"/>
            <w:bottom w:w="0" w:type="dxa"/>
            <w:right w:w="0" w:type="dxa"/>
          </w:tblCellMar>
        </w:tblPrEx>
        <w:trPr>
          <w:trHeight w:val="217" w:hRule="atLeast"/>
          <w:jc w:val="center"/>
        </w:trPr>
        <w:tc>
          <w:tcPr>
            <w:tcW w:w="9434" w:type="dxa"/>
            <w:gridSpan w:val="6"/>
            <w:tcBorders>
              <w:top w:val="nil"/>
              <w:left w:val="nil"/>
              <w:bottom w:val="nil"/>
              <w:right w:val="nil"/>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kern w:val="0"/>
                <w:sz w:val="18"/>
                <w:szCs w:val="18"/>
                <w:lang w:bidi="ar"/>
              </w:rPr>
            </w:pPr>
          </w:p>
        </w:tc>
      </w:tr>
    </w:tbl>
    <w:tbl>
      <w:tblPr>
        <w:tblStyle w:val="5"/>
        <w:tblW w:w="9792" w:type="dxa"/>
        <w:jc w:val="center"/>
        <w:tblLayout w:type="fixed"/>
        <w:tblCellMar>
          <w:top w:w="0" w:type="dxa"/>
          <w:left w:w="0" w:type="dxa"/>
          <w:bottom w:w="0" w:type="dxa"/>
          <w:right w:w="0" w:type="dxa"/>
        </w:tblCellMar>
      </w:tblPr>
      <w:tblGrid>
        <w:gridCol w:w="1033"/>
        <w:gridCol w:w="59"/>
        <w:gridCol w:w="59"/>
        <w:gridCol w:w="1822"/>
        <w:gridCol w:w="1350"/>
        <w:gridCol w:w="1350"/>
        <w:gridCol w:w="823"/>
        <w:gridCol w:w="823"/>
        <w:gridCol w:w="823"/>
        <w:gridCol w:w="823"/>
        <w:gridCol w:w="827"/>
      </w:tblGrid>
      <w:tr>
        <w:tblPrEx>
          <w:tblCellMar>
            <w:top w:w="0" w:type="dxa"/>
            <w:left w:w="0" w:type="dxa"/>
            <w:bottom w:w="0" w:type="dxa"/>
            <w:right w:w="0" w:type="dxa"/>
          </w:tblCellMar>
        </w:tblPrEx>
        <w:trPr>
          <w:trHeight w:val="670" w:hRule="atLeast"/>
          <w:jc w:val="center"/>
        </w:trPr>
        <w:tc>
          <w:tcPr>
            <w:tcW w:w="9792" w:type="dxa"/>
            <w:gridSpan w:val="11"/>
            <w:tcBorders>
              <w:top w:val="nil"/>
              <w:left w:val="nil"/>
              <w:bottom w:val="nil"/>
              <w:right w:val="nil"/>
            </w:tcBorders>
            <w:shd w:val="clear" w:color="auto" w:fill="auto"/>
            <w:noWrap/>
            <w:tcMar>
              <w:top w:w="15" w:type="dxa"/>
              <w:left w:w="15" w:type="dxa"/>
              <w:right w:w="15" w:type="dxa"/>
            </w:tcMar>
            <w:vAlign w:val="bottom"/>
          </w:tcPr>
          <w:p>
            <w:pPr>
              <w:widowControl/>
              <w:jc w:val="center"/>
              <w:textAlignment w:val="bottom"/>
              <w:rPr>
                <w:rFonts w:ascii="黑体" w:hAnsi="宋体" w:eastAsia="黑体" w:cs="黑体"/>
                <w:color w:val="000000"/>
                <w:sz w:val="28"/>
                <w:szCs w:val="28"/>
              </w:rPr>
            </w:pPr>
            <w:r>
              <w:rPr>
                <w:rFonts w:hint="eastAsia" w:ascii="黑体" w:hAnsi="宋体" w:eastAsia="黑体" w:cs="黑体"/>
                <w:color w:val="000000"/>
                <w:kern w:val="0"/>
                <w:sz w:val="28"/>
                <w:szCs w:val="28"/>
                <w:lang w:bidi="ar"/>
              </w:rPr>
              <w:t>收入决算表</w:t>
            </w:r>
          </w:p>
        </w:tc>
      </w:tr>
      <w:tr>
        <w:tblPrEx>
          <w:tblCellMar>
            <w:top w:w="0" w:type="dxa"/>
            <w:left w:w="0" w:type="dxa"/>
            <w:bottom w:w="0" w:type="dxa"/>
            <w:right w:w="0" w:type="dxa"/>
          </w:tblCellMar>
        </w:tblPrEx>
        <w:trPr>
          <w:trHeight w:val="357" w:hRule="atLeast"/>
          <w:jc w:val="center"/>
        </w:trPr>
        <w:tc>
          <w:tcPr>
            <w:tcW w:w="1033"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59"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59"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822"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350"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350"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823"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823"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823"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650" w:type="dxa"/>
            <w:gridSpan w:val="2"/>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公开02表</w:t>
            </w:r>
          </w:p>
        </w:tc>
      </w:tr>
      <w:tr>
        <w:tblPrEx>
          <w:tblCellMar>
            <w:top w:w="0" w:type="dxa"/>
            <w:left w:w="0" w:type="dxa"/>
            <w:bottom w:w="0" w:type="dxa"/>
            <w:right w:w="0" w:type="dxa"/>
          </w:tblCellMar>
        </w:tblPrEx>
        <w:trPr>
          <w:trHeight w:val="357" w:hRule="atLeast"/>
          <w:jc w:val="center"/>
        </w:trPr>
        <w:tc>
          <w:tcPr>
            <w:tcW w:w="1033" w:type="dxa"/>
            <w:tcBorders>
              <w:top w:val="nil"/>
              <w:left w:val="nil"/>
              <w:bottom w:val="nil"/>
              <w:right w:val="nil"/>
            </w:tcBorders>
            <w:shd w:val="clear" w:color="auto" w:fill="auto"/>
            <w:noWrap/>
            <w:tcMar>
              <w:top w:w="15" w:type="dxa"/>
              <w:left w:w="15" w:type="dxa"/>
              <w:right w:w="15" w:type="dxa"/>
            </w:tcMar>
            <w:vAlign w:val="bottom"/>
          </w:tcPr>
          <w:p>
            <w:pPr>
              <w:widowControl/>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部门：</w:t>
            </w:r>
          </w:p>
        </w:tc>
        <w:tc>
          <w:tcPr>
            <w:tcW w:w="59"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59"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822"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350"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350"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823"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823"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2473" w:type="dxa"/>
            <w:gridSpan w:val="3"/>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金额单位：万元</w:t>
            </w:r>
          </w:p>
        </w:tc>
      </w:tr>
      <w:tr>
        <w:tblPrEx>
          <w:tblCellMar>
            <w:top w:w="0" w:type="dxa"/>
            <w:left w:w="0" w:type="dxa"/>
            <w:bottom w:w="0" w:type="dxa"/>
            <w:right w:w="0" w:type="dxa"/>
          </w:tblCellMar>
        </w:tblPrEx>
        <w:trPr>
          <w:trHeight w:val="385" w:hRule="atLeast"/>
          <w:jc w:val="center"/>
        </w:trPr>
        <w:tc>
          <w:tcPr>
            <w:tcW w:w="2973"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项目</w:t>
            </w:r>
          </w:p>
        </w:tc>
        <w:tc>
          <w:tcPr>
            <w:tcW w:w="135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本年收入合计</w:t>
            </w:r>
          </w:p>
        </w:tc>
        <w:tc>
          <w:tcPr>
            <w:tcW w:w="135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财政拨款收入</w:t>
            </w:r>
          </w:p>
        </w:tc>
        <w:tc>
          <w:tcPr>
            <w:tcW w:w="823"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上级补助收入</w:t>
            </w:r>
          </w:p>
        </w:tc>
        <w:tc>
          <w:tcPr>
            <w:tcW w:w="823"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事业收入</w:t>
            </w:r>
          </w:p>
        </w:tc>
        <w:tc>
          <w:tcPr>
            <w:tcW w:w="823"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经营收入</w:t>
            </w:r>
          </w:p>
        </w:tc>
        <w:tc>
          <w:tcPr>
            <w:tcW w:w="823"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附属单位上缴收入</w:t>
            </w:r>
          </w:p>
        </w:tc>
        <w:tc>
          <w:tcPr>
            <w:tcW w:w="827"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其他收入</w:t>
            </w:r>
          </w:p>
        </w:tc>
      </w:tr>
      <w:tr>
        <w:tblPrEx>
          <w:tblCellMar>
            <w:top w:w="0" w:type="dxa"/>
            <w:left w:w="0" w:type="dxa"/>
            <w:bottom w:w="0" w:type="dxa"/>
            <w:right w:w="0" w:type="dxa"/>
          </w:tblCellMar>
        </w:tblPrEx>
        <w:trPr>
          <w:trHeight w:val="380" w:hRule="atLeast"/>
          <w:jc w:val="center"/>
        </w:trPr>
        <w:tc>
          <w:tcPr>
            <w:tcW w:w="1151"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功能分类科目编码</w:t>
            </w:r>
          </w:p>
        </w:tc>
        <w:tc>
          <w:tcPr>
            <w:tcW w:w="1822"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科目名称</w:t>
            </w:r>
          </w:p>
        </w:tc>
        <w:tc>
          <w:tcPr>
            <w:tcW w:w="13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13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823"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823"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823"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823"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827"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r>
      <w:tr>
        <w:tblPrEx>
          <w:tblCellMar>
            <w:top w:w="0" w:type="dxa"/>
            <w:left w:w="0" w:type="dxa"/>
            <w:bottom w:w="0" w:type="dxa"/>
            <w:right w:w="0" w:type="dxa"/>
          </w:tblCellMar>
        </w:tblPrEx>
        <w:trPr>
          <w:trHeight w:val="380" w:hRule="atLeast"/>
          <w:jc w:val="center"/>
        </w:trPr>
        <w:tc>
          <w:tcPr>
            <w:tcW w:w="1151"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1822"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13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13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823"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823"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823"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823"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827"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r>
      <w:tr>
        <w:tblPrEx>
          <w:tblCellMar>
            <w:top w:w="0" w:type="dxa"/>
            <w:left w:w="0" w:type="dxa"/>
            <w:bottom w:w="0" w:type="dxa"/>
            <w:right w:w="0" w:type="dxa"/>
          </w:tblCellMar>
        </w:tblPrEx>
        <w:trPr>
          <w:trHeight w:val="380" w:hRule="atLeast"/>
          <w:jc w:val="center"/>
        </w:trPr>
        <w:tc>
          <w:tcPr>
            <w:tcW w:w="1151"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1822"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13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13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823"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823"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823"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823"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827"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2973"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栏次</w:t>
            </w:r>
          </w:p>
        </w:tc>
        <w:tc>
          <w:tcPr>
            <w:tcW w:w="13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w:t>
            </w:r>
          </w:p>
        </w:tc>
        <w:tc>
          <w:tcPr>
            <w:tcW w:w="13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2</w:t>
            </w:r>
          </w:p>
        </w:tc>
        <w:tc>
          <w:tcPr>
            <w:tcW w:w="82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3</w:t>
            </w:r>
          </w:p>
        </w:tc>
        <w:tc>
          <w:tcPr>
            <w:tcW w:w="82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4</w:t>
            </w:r>
          </w:p>
        </w:tc>
        <w:tc>
          <w:tcPr>
            <w:tcW w:w="82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5</w:t>
            </w:r>
          </w:p>
        </w:tc>
        <w:tc>
          <w:tcPr>
            <w:tcW w:w="82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6</w:t>
            </w:r>
          </w:p>
        </w:tc>
        <w:tc>
          <w:tcPr>
            <w:tcW w:w="82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7</w:t>
            </w:r>
          </w:p>
        </w:tc>
      </w:tr>
      <w:tr>
        <w:tblPrEx>
          <w:tblCellMar>
            <w:top w:w="0" w:type="dxa"/>
            <w:left w:w="0" w:type="dxa"/>
            <w:bottom w:w="0" w:type="dxa"/>
            <w:right w:w="0" w:type="dxa"/>
          </w:tblCellMar>
        </w:tblPrEx>
        <w:trPr>
          <w:trHeight w:val="385" w:hRule="atLeast"/>
          <w:jc w:val="center"/>
        </w:trPr>
        <w:tc>
          <w:tcPr>
            <w:tcW w:w="2973"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合计</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1305.98</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1305.98</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2"/>
                <w:szCs w:val="22"/>
                <w:u w:val="none"/>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r>
      <w:tr>
        <w:tblPrEx>
          <w:tblCellMar>
            <w:top w:w="0" w:type="dxa"/>
            <w:left w:w="0" w:type="dxa"/>
            <w:bottom w:w="0" w:type="dxa"/>
            <w:right w:w="0" w:type="dxa"/>
          </w:tblCellMar>
        </w:tblPrEx>
        <w:trPr>
          <w:trHeight w:val="90"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201</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一般公共服务支出</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635.20</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635.20</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20103</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政府办公厅（室）及相关机构事务</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635.20</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635.20</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2010301</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 xml:space="preserve">  行政运行</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243.97</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243.97</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2010302</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 xml:space="preserve">  一般行政管理事务</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38.55</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38.55</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2010308</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 xml:space="preserve">  信访事务</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7.81</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7.81</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2010350</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 xml:space="preserve">  事业运行</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331.06</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331.06</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2010399</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 xml:space="preserve">  其他政府办公厅（室）及相关机构事务支出</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13.80</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13.80</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207</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文化旅游体育与传媒支出</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7.00</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7.00</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20701</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文化和旅游</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7.00</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7.00</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2070109</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 xml:space="preserve">  群众文化</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7.00</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7.00</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208</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社会保障和就业支出</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77.95</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77.95</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20805</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行政事业单位养老支出</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77.95</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77.95</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2080501</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 xml:space="preserve">  行政单位离退休</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1.44</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1.44</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2080502</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 xml:space="preserve">  事业单位离退休</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1.71</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1.71</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2080505</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 xml:space="preserve">  机关事业单位基本养老保险缴费支出</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65.42</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65.42</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2080506</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 xml:space="preserve">  机关事业单位职业年金缴费支出</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9.39</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9.39</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210</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卫生健康支出</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32.94</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32.94</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21004</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公共卫生</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10.00</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10.00</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2100409</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 xml:space="preserve">  重大公共卫生服务</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10.00</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10.00</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21011</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行政事业单位医疗</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22.94</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22.94</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2101101</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 xml:space="preserve">  行政单位医疗</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10.43</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10.43</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2101102</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 xml:space="preserve">  事业单位医疗</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12.50</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12.50</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212</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城乡社区支出</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53.76</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53.76</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21208</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国有土地使用权出让收入安排的支出</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53.76</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53.76</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2120801</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 xml:space="preserve">  征地和拆迁补偿支出</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29.50</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29.50</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2120804</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 xml:space="preserve">  农村基础设施建设支出</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24.26</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24.26</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213</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农林水支出</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465.09</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465.09</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21301</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农业农村</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250.62</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250.62</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2130122</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 xml:space="preserve">  农业生产发展</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228.92</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228.92</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2130126</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 xml:space="preserve">  农村社会事业</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21.70</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21.70</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21302</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林业和草原</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34.19</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34.19</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2130205</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 xml:space="preserve">  森林资源培育</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34.19</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34.19</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21307</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农村综合改革</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180.28</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180.28</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2130701</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 xml:space="preserve">  对村级一事一议的补助</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7.61</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7.61</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2130705</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 xml:space="preserve">  对村民委员会和村党支部的补助</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122.67</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122.67</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90"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2130706</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 xml:space="preserve">  对村集体经济组织的补助</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50.00</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50.00</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90"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221</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住房保障支出</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34.04</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34.04</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90"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22102</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住房改革支出</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34.04</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34.04</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90"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2210201</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 xml:space="preserve">  住房公积金</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34.04</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34.04</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9792" w:type="dxa"/>
            <w:gridSpan w:val="11"/>
            <w:tcBorders>
              <w:top w:val="nil"/>
              <w:left w:val="nil"/>
              <w:bottom w:val="nil"/>
              <w:right w:val="nil"/>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注：本表反映部门本年度取得的各项收入情况。</w:t>
            </w:r>
          </w:p>
        </w:tc>
      </w:tr>
    </w:tbl>
    <w:p>
      <w:pPr>
        <w:jc w:val="left"/>
      </w:pPr>
    </w:p>
    <w:p>
      <w:r>
        <w:br w:type="page"/>
      </w:r>
    </w:p>
    <w:tbl>
      <w:tblPr>
        <w:tblStyle w:val="5"/>
        <w:tblW w:w="9680" w:type="dxa"/>
        <w:jc w:val="center"/>
        <w:tblLayout w:type="fixed"/>
        <w:tblCellMar>
          <w:top w:w="0" w:type="dxa"/>
          <w:left w:w="0" w:type="dxa"/>
          <w:bottom w:w="0" w:type="dxa"/>
          <w:right w:w="0" w:type="dxa"/>
        </w:tblCellMar>
      </w:tblPr>
      <w:tblGrid>
        <w:gridCol w:w="941"/>
        <w:gridCol w:w="53"/>
        <w:gridCol w:w="111"/>
        <w:gridCol w:w="1359"/>
        <w:gridCol w:w="1161"/>
        <w:gridCol w:w="1161"/>
        <w:gridCol w:w="1161"/>
        <w:gridCol w:w="1161"/>
        <w:gridCol w:w="1161"/>
        <w:gridCol w:w="1411"/>
      </w:tblGrid>
      <w:tr>
        <w:tblPrEx>
          <w:tblCellMar>
            <w:top w:w="0" w:type="dxa"/>
            <w:left w:w="0" w:type="dxa"/>
            <w:bottom w:w="0" w:type="dxa"/>
            <w:right w:w="0" w:type="dxa"/>
          </w:tblCellMar>
        </w:tblPrEx>
        <w:trPr>
          <w:trHeight w:val="612" w:hRule="atLeast"/>
          <w:jc w:val="center"/>
        </w:trPr>
        <w:tc>
          <w:tcPr>
            <w:tcW w:w="9680" w:type="dxa"/>
            <w:gridSpan w:val="10"/>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黑体" w:hAnsi="宋体" w:eastAsia="黑体" w:cs="黑体"/>
                <w:color w:val="000000"/>
                <w:sz w:val="32"/>
                <w:szCs w:val="32"/>
              </w:rPr>
            </w:pPr>
            <w:r>
              <w:rPr>
                <w:rFonts w:hint="eastAsia" w:ascii="黑体" w:hAnsi="宋体" w:eastAsia="黑体" w:cs="黑体"/>
                <w:color w:val="000000"/>
                <w:kern w:val="0"/>
                <w:sz w:val="32"/>
                <w:szCs w:val="32"/>
                <w:lang w:bidi="ar"/>
              </w:rPr>
              <w:t>支出决算表</w:t>
            </w:r>
          </w:p>
        </w:tc>
      </w:tr>
      <w:tr>
        <w:tblPrEx>
          <w:tblCellMar>
            <w:top w:w="0" w:type="dxa"/>
            <w:left w:w="0" w:type="dxa"/>
            <w:bottom w:w="0" w:type="dxa"/>
            <w:right w:w="0" w:type="dxa"/>
          </w:tblCellMar>
        </w:tblPrEx>
        <w:trPr>
          <w:trHeight w:val="313" w:hRule="atLeast"/>
          <w:jc w:val="center"/>
        </w:trPr>
        <w:tc>
          <w:tcPr>
            <w:tcW w:w="94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53"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359"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411" w:type="dxa"/>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公开03表</w:t>
            </w:r>
          </w:p>
        </w:tc>
      </w:tr>
      <w:tr>
        <w:tblPrEx>
          <w:tblCellMar>
            <w:top w:w="0" w:type="dxa"/>
            <w:left w:w="0" w:type="dxa"/>
            <w:bottom w:w="0" w:type="dxa"/>
            <w:right w:w="0" w:type="dxa"/>
          </w:tblCellMar>
        </w:tblPrEx>
        <w:trPr>
          <w:trHeight w:val="313" w:hRule="atLeast"/>
          <w:jc w:val="center"/>
        </w:trPr>
        <w:tc>
          <w:tcPr>
            <w:tcW w:w="941" w:type="dxa"/>
            <w:tcBorders>
              <w:top w:val="nil"/>
              <w:left w:val="nil"/>
              <w:bottom w:val="nil"/>
              <w:right w:val="nil"/>
            </w:tcBorders>
            <w:shd w:val="clear" w:color="auto" w:fill="auto"/>
            <w:noWrap/>
            <w:tcMar>
              <w:top w:w="15" w:type="dxa"/>
              <w:left w:w="15" w:type="dxa"/>
              <w:right w:w="15" w:type="dxa"/>
            </w:tcMar>
            <w:vAlign w:val="bottom"/>
          </w:tcPr>
          <w:p>
            <w:pPr>
              <w:widowControl/>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部门：</w:t>
            </w:r>
          </w:p>
        </w:tc>
        <w:tc>
          <w:tcPr>
            <w:tcW w:w="53"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359"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2572" w:type="dxa"/>
            <w:gridSpan w:val="2"/>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金额单位：万元</w:t>
            </w:r>
          </w:p>
        </w:tc>
      </w:tr>
      <w:tr>
        <w:tblPrEx>
          <w:tblCellMar>
            <w:top w:w="0" w:type="dxa"/>
            <w:left w:w="0" w:type="dxa"/>
            <w:bottom w:w="0" w:type="dxa"/>
            <w:right w:w="0" w:type="dxa"/>
          </w:tblCellMar>
        </w:tblPrEx>
        <w:trPr>
          <w:trHeight w:val="323" w:hRule="atLeast"/>
          <w:jc w:val="center"/>
        </w:trPr>
        <w:tc>
          <w:tcPr>
            <w:tcW w:w="2464"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项目</w:t>
            </w:r>
          </w:p>
        </w:tc>
        <w:tc>
          <w:tcPr>
            <w:tcW w:w="1161"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本年支出合计</w:t>
            </w:r>
          </w:p>
        </w:tc>
        <w:tc>
          <w:tcPr>
            <w:tcW w:w="1161"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基本支出</w:t>
            </w:r>
          </w:p>
        </w:tc>
        <w:tc>
          <w:tcPr>
            <w:tcW w:w="1161"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项目支出</w:t>
            </w:r>
          </w:p>
        </w:tc>
        <w:tc>
          <w:tcPr>
            <w:tcW w:w="1161"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上缴上级支出</w:t>
            </w:r>
          </w:p>
        </w:tc>
        <w:tc>
          <w:tcPr>
            <w:tcW w:w="1161"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经营支出</w:t>
            </w:r>
          </w:p>
        </w:tc>
        <w:tc>
          <w:tcPr>
            <w:tcW w:w="1411"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对附属单位补助支出</w:t>
            </w:r>
          </w:p>
        </w:tc>
      </w:tr>
      <w:tr>
        <w:tblPrEx>
          <w:tblCellMar>
            <w:top w:w="0" w:type="dxa"/>
            <w:left w:w="0" w:type="dxa"/>
            <w:bottom w:w="0" w:type="dxa"/>
            <w:right w:w="0" w:type="dxa"/>
          </w:tblCellMar>
        </w:tblPrEx>
        <w:trPr>
          <w:trHeight w:val="319" w:hRule="atLeast"/>
          <w:jc w:val="center"/>
        </w:trPr>
        <w:tc>
          <w:tcPr>
            <w:tcW w:w="1105"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功能分类科目编码</w:t>
            </w:r>
          </w:p>
        </w:tc>
        <w:tc>
          <w:tcPr>
            <w:tcW w:w="1359"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科目名称</w:t>
            </w: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141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r>
      <w:tr>
        <w:tblPrEx>
          <w:tblCellMar>
            <w:top w:w="0" w:type="dxa"/>
            <w:left w:w="0" w:type="dxa"/>
            <w:bottom w:w="0" w:type="dxa"/>
            <w:right w:w="0" w:type="dxa"/>
          </w:tblCellMar>
        </w:tblPrEx>
        <w:trPr>
          <w:trHeight w:val="319" w:hRule="atLeast"/>
          <w:jc w:val="center"/>
        </w:trPr>
        <w:tc>
          <w:tcPr>
            <w:tcW w:w="1105"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359"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41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12" w:hRule="atLeast"/>
          <w:jc w:val="center"/>
        </w:trPr>
        <w:tc>
          <w:tcPr>
            <w:tcW w:w="1105"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359"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41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2464"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栏次</w:t>
            </w:r>
          </w:p>
        </w:tc>
        <w:tc>
          <w:tcPr>
            <w:tcW w:w="116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116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w:t>
            </w:r>
          </w:p>
        </w:tc>
        <w:tc>
          <w:tcPr>
            <w:tcW w:w="116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w:t>
            </w:r>
          </w:p>
        </w:tc>
        <w:tc>
          <w:tcPr>
            <w:tcW w:w="116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w:t>
            </w:r>
          </w:p>
        </w:tc>
        <w:tc>
          <w:tcPr>
            <w:tcW w:w="116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w:t>
            </w:r>
          </w:p>
        </w:tc>
        <w:tc>
          <w:tcPr>
            <w:tcW w:w="141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6</w:t>
            </w:r>
          </w:p>
        </w:tc>
      </w:tr>
      <w:tr>
        <w:tblPrEx>
          <w:tblCellMar>
            <w:top w:w="0" w:type="dxa"/>
            <w:left w:w="0" w:type="dxa"/>
            <w:bottom w:w="0" w:type="dxa"/>
            <w:right w:w="0" w:type="dxa"/>
          </w:tblCellMar>
        </w:tblPrEx>
        <w:trPr>
          <w:trHeight w:val="323" w:hRule="atLeast"/>
          <w:jc w:val="center"/>
        </w:trPr>
        <w:tc>
          <w:tcPr>
            <w:tcW w:w="2464"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合计</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1305.98</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770.13</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535.85</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201</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一般公共服务支出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635.20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635.20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20103</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政府办公厅（室）及相关机构事务</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635.20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635.20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2010301</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 xml:space="preserve">  行政运行</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243.97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243.97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2010302</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 xml:space="preserve">  一般行政管理事务</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38.55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38.55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2010308</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 xml:space="preserve">  信访事务</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7.81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7.81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2010350</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 xml:space="preserve">  事业运行</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331.06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331.06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2010399</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 xml:space="preserve">  其他政府办公厅（室）及相关机构事务支出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13.80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13.80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207</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文化旅游体育与传媒支出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7.00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0.00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7.00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20701</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文化和旅游</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7.00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0.00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7.00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2070109</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 xml:space="preserve">  群众文化</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7.00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0.00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7.00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208</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社会保障和就业支出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77.95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77.95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20805</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行政事业单位养老支出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77.95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77.95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2080501</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 xml:space="preserve">  行政单位离退休</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1.44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1.44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2080502</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 xml:space="preserve">  事业单位离退休</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1.71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1.71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2080505</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 xml:space="preserve">  机关事业单位基本养老保险缴费支出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65.42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65.42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2080506</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 xml:space="preserve">  机关事业单位职业年金缴费支出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9.39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9.39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210</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卫生健康支出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32.94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22.94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10.00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21004</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公共卫生</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10.00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0.00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10.00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2100409</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 xml:space="preserve">  重大公共卫生服务</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10.00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0.00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10.00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21011</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行政事业单位医疗</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22.94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22.94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2101101</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 xml:space="preserve">  行政单位医疗</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10.43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10.43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2101102</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 xml:space="preserve">  事业单位医疗</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12.50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12.50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212</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城乡社区支出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53.76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0.00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53.76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21208</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国有土地使用权出让收入安排的支出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53.76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0.00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53.76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2120801</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 xml:space="preserve">  征地和拆迁补偿支出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29.50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0.00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29.50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2120804</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 xml:space="preserve">  农村基础设施建设支出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24.26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0.00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24.26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213</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农林水支出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465.09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0.00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465.09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21301</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农业农村</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250.62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0.00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250.62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2130122</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 xml:space="preserve">  农业生产发展</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228.92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0.00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228.92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2130126</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 xml:space="preserve">  农村社会事业</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21.70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0.00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21.70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21302</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林业和草原</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34.19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0.00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34.19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2130205</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 xml:space="preserve">  森林资源培育</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34.19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0.00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34.19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21307</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农村综合改革</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180.28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0.00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180.28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2130701</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 xml:space="preserve">  对村级一事一议的补助</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7.61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0.00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7.61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2130705</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 xml:space="preserve">  对村民委员会和村党支部的补助</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122.67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0.00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122.67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2130706</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 xml:space="preserve">  对村集体经济组织的补助</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50.00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0.00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50.00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4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221</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住房保障支出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34.04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34.04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22102</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住房改革支出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34.04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34.04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2210201</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 xml:space="preserve">  住房公积金</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34.04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34.04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9680" w:type="dxa"/>
            <w:gridSpan w:val="10"/>
            <w:tcBorders>
              <w:top w:val="nil"/>
              <w:left w:val="nil"/>
              <w:bottom w:val="nil"/>
              <w:right w:val="nil"/>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注：本表反映部门本年度各项支出情况。</w:t>
            </w:r>
          </w:p>
        </w:tc>
      </w:tr>
    </w:tbl>
    <w:p>
      <w:r>
        <w:br w:type="page"/>
      </w:r>
    </w:p>
    <w:tbl>
      <w:tblPr>
        <w:tblStyle w:val="5"/>
        <w:tblW w:w="9990" w:type="dxa"/>
        <w:jc w:val="center"/>
        <w:tblLayout w:type="fixed"/>
        <w:tblCellMar>
          <w:top w:w="0" w:type="dxa"/>
          <w:left w:w="0" w:type="dxa"/>
          <w:bottom w:w="0" w:type="dxa"/>
          <w:right w:w="0" w:type="dxa"/>
        </w:tblCellMar>
      </w:tblPr>
      <w:tblGrid>
        <w:gridCol w:w="1174"/>
        <w:gridCol w:w="67"/>
        <w:gridCol w:w="67"/>
        <w:gridCol w:w="1695"/>
        <w:gridCol w:w="2329"/>
        <w:gridCol w:w="2329"/>
        <w:gridCol w:w="1859"/>
        <w:gridCol w:w="470"/>
      </w:tblGrid>
      <w:tr>
        <w:tblPrEx>
          <w:tblCellMar>
            <w:top w:w="0" w:type="dxa"/>
            <w:left w:w="0" w:type="dxa"/>
            <w:bottom w:w="0" w:type="dxa"/>
            <w:right w:w="0" w:type="dxa"/>
          </w:tblCellMar>
        </w:tblPrEx>
        <w:trPr>
          <w:gridAfter w:val="1"/>
          <w:wAfter w:w="470" w:type="dxa"/>
          <w:trHeight w:val="406" w:hRule="atLeast"/>
          <w:jc w:val="center"/>
        </w:trPr>
        <w:tc>
          <w:tcPr>
            <w:tcW w:w="9520" w:type="dxa"/>
            <w:gridSpan w:val="7"/>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黑体" w:hAnsi="宋体" w:eastAsia="黑体" w:cs="黑体"/>
                <w:color w:val="000000"/>
                <w:sz w:val="32"/>
                <w:szCs w:val="32"/>
              </w:rPr>
            </w:pPr>
            <w:r>
              <w:rPr>
                <w:rFonts w:hint="eastAsia" w:ascii="黑体" w:hAnsi="宋体" w:eastAsia="黑体" w:cs="黑体"/>
                <w:color w:val="000000"/>
                <w:kern w:val="0"/>
                <w:sz w:val="32"/>
                <w:szCs w:val="32"/>
                <w:lang w:bidi="ar"/>
              </w:rPr>
              <w:t>财政拨款收入支出决算总表</w:t>
            </w:r>
          </w:p>
        </w:tc>
      </w:tr>
      <w:tr>
        <w:tblPrEx>
          <w:tblCellMar>
            <w:top w:w="0" w:type="dxa"/>
            <w:left w:w="0" w:type="dxa"/>
            <w:bottom w:w="0" w:type="dxa"/>
            <w:right w:w="0" w:type="dxa"/>
          </w:tblCellMar>
        </w:tblPrEx>
        <w:trPr>
          <w:trHeight w:val="600" w:hRule="atLeast"/>
          <w:jc w:val="center"/>
        </w:trPr>
        <w:tc>
          <w:tcPr>
            <w:tcW w:w="9990" w:type="dxa"/>
            <w:gridSpan w:val="8"/>
            <w:tcBorders>
              <w:top w:val="nil"/>
              <w:left w:val="nil"/>
              <w:bottom w:val="nil"/>
              <w:right w:val="nil"/>
            </w:tcBorders>
            <w:shd w:val="clear" w:color="auto" w:fill="auto"/>
            <w:noWrap/>
            <w:tcMar>
              <w:top w:w="15" w:type="dxa"/>
              <w:left w:w="15" w:type="dxa"/>
              <w:right w:w="15" w:type="dxa"/>
            </w:tcMar>
            <w:vAlign w:val="center"/>
          </w:tcPr>
          <w:tbl>
            <w:tblPr>
              <w:tblStyle w:val="5"/>
              <w:tblW w:w="9736" w:type="dxa"/>
              <w:tblInd w:w="0" w:type="dxa"/>
              <w:tblLayout w:type="fixed"/>
              <w:tblCellMar>
                <w:top w:w="0" w:type="dxa"/>
                <w:left w:w="108" w:type="dxa"/>
                <w:bottom w:w="0" w:type="dxa"/>
                <w:right w:w="108" w:type="dxa"/>
              </w:tblCellMar>
            </w:tblPr>
            <w:tblGrid>
              <w:gridCol w:w="2317"/>
              <w:gridCol w:w="465"/>
              <w:gridCol w:w="748"/>
              <w:gridCol w:w="2456"/>
              <w:gridCol w:w="446"/>
              <w:gridCol w:w="791"/>
              <w:gridCol w:w="810"/>
              <w:gridCol w:w="750"/>
              <w:gridCol w:w="701"/>
              <w:gridCol w:w="252"/>
            </w:tblGrid>
            <w:tr>
              <w:tblPrEx>
                <w:tblCellMar>
                  <w:top w:w="0" w:type="dxa"/>
                  <w:left w:w="108" w:type="dxa"/>
                  <w:bottom w:w="0" w:type="dxa"/>
                  <w:right w:w="108" w:type="dxa"/>
                </w:tblCellMar>
              </w:tblPrEx>
              <w:trPr>
                <w:gridAfter w:val="1"/>
                <w:wAfter w:w="252" w:type="dxa"/>
                <w:trHeight w:val="180" w:hRule="atLeast"/>
              </w:trPr>
              <w:tc>
                <w:tcPr>
                  <w:tcW w:w="2317" w:type="dxa"/>
                  <w:tcBorders>
                    <w:top w:val="nil"/>
                    <w:left w:val="nil"/>
                    <w:bottom w:val="nil"/>
                    <w:right w:val="nil"/>
                  </w:tcBorders>
                  <w:shd w:val="clear" w:color="auto" w:fill="auto"/>
                  <w:vAlign w:val="bottom"/>
                </w:tcPr>
                <w:p>
                  <w:pPr>
                    <w:widowControl/>
                    <w:spacing w:line="240" w:lineRule="exact"/>
                    <w:jc w:val="left"/>
                    <w:rPr>
                      <w:rFonts w:ascii="宋体" w:hAnsi="宋体" w:eastAsia="宋体" w:cs="宋体"/>
                      <w:kern w:val="0"/>
                      <w:sz w:val="15"/>
                      <w:szCs w:val="15"/>
                    </w:rPr>
                  </w:pPr>
                </w:p>
              </w:tc>
              <w:tc>
                <w:tcPr>
                  <w:tcW w:w="465"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748"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2456"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446"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791"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2261" w:type="dxa"/>
                  <w:gridSpan w:val="3"/>
                  <w:tcBorders>
                    <w:top w:val="nil"/>
                    <w:left w:val="nil"/>
                    <w:bottom w:val="nil"/>
                    <w:right w:val="nil"/>
                  </w:tcBorders>
                  <w:shd w:val="clear" w:color="auto" w:fill="auto"/>
                  <w:vAlign w:val="bottom"/>
                </w:tcPr>
                <w:p>
                  <w:pPr>
                    <w:widowControl/>
                    <w:spacing w:line="240" w:lineRule="exact"/>
                    <w:ind w:right="300"/>
                    <w:jc w:val="right"/>
                    <w:rPr>
                      <w:rFonts w:ascii="宋体" w:hAnsi="宋体" w:eastAsia="宋体" w:cs="Arial"/>
                      <w:color w:val="000000"/>
                      <w:kern w:val="0"/>
                      <w:sz w:val="15"/>
                      <w:szCs w:val="15"/>
                    </w:rPr>
                  </w:pPr>
                  <w:r>
                    <w:rPr>
                      <w:rFonts w:hint="eastAsia" w:ascii="宋体" w:hAnsi="宋体" w:eastAsia="宋体" w:cs="Arial"/>
                      <w:color w:val="000000"/>
                      <w:kern w:val="0"/>
                      <w:sz w:val="15"/>
                      <w:szCs w:val="15"/>
                    </w:rPr>
                    <w:t>公开04表</w:t>
                  </w:r>
                </w:p>
              </w:tc>
            </w:tr>
            <w:tr>
              <w:tblPrEx>
                <w:tblCellMar>
                  <w:top w:w="0" w:type="dxa"/>
                  <w:left w:w="108" w:type="dxa"/>
                  <w:bottom w:w="0" w:type="dxa"/>
                  <w:right w:w="108" w:type="dxa"/>
                </w:tblCellMar>
              </w:tblPrEx>
              <w:trPr>
                <w:gridAfter w:val="1"/>
                <w:wAfter w:w="252" w:type="dxa"/>
                <w:trHeight w:val="90" w:hRule="atLeast"/>
              </w:trPr>
              <w:tc>
                <w:tcPr>
                  <w:tcW w:w="2317" w:type="dxa"/>
                  <w:tcBorders>
                    <w:top w:val="nil"/>
                    <w:left w:val="nil"/>
                    <w:bottom w:val="nil"/>
                    <w:right w:val="nil"/>
                  </w:tcBorders>
                  <w:shd w:val="clear" w:color="auto" w:fill="auto"/>
                  <w:vAlign w:val="bottom"/>
                </w:tcPr>
                <w:p>
                  <w:pPr>
                    <w:widowControl/>
                    <w:spacing w:line="240" w:lineRule="exact"/>
                    <w:jc w:val="left"/>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部门：</w:t>
                  </w:r>
                </w:p>
              </w:tc>
              <w:tc>
                <w:tcPr>
                  <w:tcW w:w="465" w:type="dxa"/>
                  <w:tcBorders>
                    <w:top w:val="nil"/>
                    <w:left w:val="nil"/>
                    <w:bottom w:val="nil"/>
                    <w:right w:val="nil"/>
                  </w:tcBorders>
                  <w:shd w:val="clear" w:color="auto" w:fill="auto"/>
                  <w:vAlign w:val="bottom"/>
                </w:tcPr>
                <w:p>
                  <w:pPr>
                    <w:widowControl/>
                    <w:spacing w:line="240" w:lineRule="exact"/>
                    <w:jc w:val="left"/>
                    <w:rPr>
                      <w:rFonts w:hint="eastAsia" w:ascii="宋体" w:hAnsi="宋体" w:eastAsia="宋体" w:cs="Arial"/>
                      <w:color w:val="000000"/>
                      <w:kern w:val="0"/>
                      <w:sz w:val="15"/>
                      <w:szCs w:val="15"/>
                    </w:rPr>
                  </w:pPr>
                </w:p>
              </w:tc>
              <w:tc>
                <w:tcPr>
                  <w:tcW w:w="748"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2456"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446"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791"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810"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1451" w:type="dxa"/>
                  <w:gridSpan w:val="2"/>
                  <w:tcBorders>
                    <w:top w:val="nil"/>
                    <w:left w:val="nil"/>
                    <w:bottom w:val="nil"/>
                    <w:right w:val="nil"/>
                  </w:tcBorders>
                  <w:shd w:val="clear" w:color="auto" w:fill="auto"/>
                  <w:vAlign w:val="bottom"/>
                </w:tcPr>
                <w:p>
                  <w:pPr>
                    <w:widowControl/>
                    <w:spacing w:line="24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金额单位：万元</w:t>
                  </w:r>
                </w:p>
              </w:tc>
            </w:tr>
            <w:tr>
              <w:tblPrEx>
                <w:tblCellMar>
                  <w:top w:w="0" w:type="dxa"/>
                  <w:left w:w="108" w:type="dxa"/>
                  <w:bottom w:w="0" w:type="dxa"/>
                  <w:right w:w="108" w:type="dxa"/>
                </w:tblCellMar>
              </w:tblPrEx>
              <w:trPr>
                <w:gridAfter w:val="1"/>
                <w:wAfter w:w="252" w:type="dxa"/>
                <w:trHeight w:val="90" w:hRule="atLeast"/>
              </w:trPr>
              <w:tc>
                <w:tcPr>
                  <w:tcW w:w="353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黑体" w:hAnsi="黑体" w:eastAsia="黑体" w:cs="Arial"/>
                      <w:color w:val="000000"/>
                      <w:kern w:val="0"/>
                      <w:sz w:val="20"/>
                      <w:szCs w:val="20"/>
                    </w:rPr>
                  </w:pPr>
                  <w:r>
                    <w:rPr>
                      <w:rFonts w:hint="eastAsia" w:ascii="黑体" w:hAnsi="黑体" w:eastAsia="黑体" w:cs="Arial"/>
                      <w:color w:val="000000"/>
                      <w:kern w:val="0"/>
                      <w:sz w:val="20"/>
                      <w:szCs w:val="20"/>
                    </w:rPr>
                    <w:t>收     入</w:t>
                  </w:r>
                </w:p>
              </w:tc>
              <w:tc>
                <w:tcPr>
                  <w:tcW w:w="5954" w:type="dxa"/>
                  <w:gridSpan w:val="6"/>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hint="eastAsia" w:ascii="黑体" w:hAnsi="黑体" w:eastAsia="黑体" w:cs="Arial"/>
                      <w:color w:val="000000"/>
                      <w:kern w:val="0"/>
                      <w:sz w:val="20"/>
                      <w:szCs w:val="20"/>
                    </w:rPr>
                  </w:pPr>
                  <w:r>
                    <w:rPr>
                      <w:rFonts w:hint="eastAsia" w:ascii="黑体" w:hAnsi="黑体" w:eastAsia="黑体" w:cs="Arial"/>
                      <w:color w:val="000000"/>
                      <w:kern w:val="0"/>
                      <w:sz w:val="20"/>
                      <w:szCs w:val="20"/>
                    </w:rPr>
                    <w:t>支     出</w:t>
                  </w:r>
                </w:p>
              </w:tc>
            </w:tr>
            <w:tr>
              <w:tblPrEx>
                <w:tblCellMar>
                  <w:top w:w="0" w:type="dxa"/>
                  <w:left w:w="108" w:type="dxa"/>
                  <w:bottom w:w="0" w:type="dxa"/>
                  <w:right w:w="108" w:type="dxa"/>
                </w:tblCellMar>
              </w:tblPrEx>
              <w:trPr>
                <w:gridAfter w:val="1"/>
                <w:wAfter w:w="252" w:type="dxa"/>
                <w:trHeight w:val="312" w:hRule="atLeast"/>
              </w:trPr>
              <w:tc>
                <w:tcPr>
                  <w:tcW w:w="2317"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项目</w:t>
                  </w:r>
                </w:p>
              </w:tc>
              <w:tc>
                <w:tcPr>
                  <w:tcW w:w="465"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行次</w:t>
                  </w:r>
                </w:p>
              </w:tc>
              <w:tc>
                <w:tcPr>
                  <w:tcW w:w="748"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金额</w:t>
                  </w:r>
                </w:p>
              </w:tc>
              <w:tc>
                <w:tcPr>
                  <w:tcW w:w="2456"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项目</w:t>
                  </w:r>
                </w:p>
              </w:tc>
              <w:tc>
                <w:tcPr>
                  <w:tcW w:w="446"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行次</w:t>
                  </w:r>
                </w:p>
              </w:tc>
              <w:tc>
                <w:tcPr>
                  <w:tcW w:w="791"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合计</w:t>
                  </w:r>
                </w:p>
              </w:tc>
              <w:tc>
                <w:tcPr>
                  <w:tcW w:w="810"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一般公共预算财政拨款</w:t>
                  </w:r>
                </w:p>
              </w:tc>
              <w:tc>
                <w:tcPr>
                  <w:tcW w:w="750"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政府性基金预算财政拨款</w:t>
                  </w:r>
                </w:p>
              </w:tc>
              <w:tc>
                <w:tcPr>
                  <w:tcW w:w="701"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国有资本经营预算财政拨款</w:t>
                  </w:r>
                </w:p>
              </w:tc>
            </w:tr>
            <w:tr>
              <w:tblPrEx>
                <w:tblCellMar>
                  <w:top w:w="0" w:type="dxa"/>
                  <w:left w:w="108" w:type="dxa"/>
                  <w:bottom w:w="0" w:type="dxa"/>
                  <w:right w:w="108" w:type="dxa"/>
                </w:tblCellMar>
              </w:tblPrEx>
              <w:trPr>
                <w:trHeight w:val="90" w:hRule="atLeast"/>
              </w:trPr>
              <w:tc>
                <w:tcPr>
                  <w:tcW w:w="2317" w:type="dxa"/>
                  <w:vMerge w:val="continue"/>
                  <w:tcBorders>
                    <w:top w:val="nil"/>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465"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748"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2456"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446"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791"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810"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750"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701"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252" w:type="dxa"/>
                  <w:tcBorders>
                    <w:top w:val="nil"/>
                    <w:left w:val="nil"/>
                    <w:bottom w:val="nil"/>
                    <w:right w:val="nil"/>
                  </w:tcBorders>
                  <w:shd w:val="clear" w:color="auto" w:fill="auto"/>
                  <w:noWrap/>
                  <w:vAlign w:val="bottom"/>
                </w:tcPr>
                <w:p>
                  <w:pPr>
                    <w:widowControl/>
                    <w:jc w:val="center"/>
                    <w:rPr>
                      <w:rFonts w:hint="eastAsia" w:ascii="宋体" w:hAnsi="宋体" w:eastAsia="宋体" w:cs="Arial"/>
                      <w:color w:val="000000"/>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栏次</w:t>
                  </w:r>
                </w:p>
              </w:tc>
              <w:tc>
                <w:tcPr>
                  <w:tcW w:w="465"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748"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1</w:t>
                  </w:r>
                </w:p>
              </w:tc>
              <w:tc>
                <w:tcPr>
                  <w:tcW w:w="2456"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栏次</w:t>
                  </w:r>
                </w:p>
              </w:tc>
              <w:tc>
                <w:tcPr>
                  <w:tcW w:w="446"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791"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w:t>
                  </w:r>
                </w:p>
              </w:tc>
              <w:tc>
                <w:tcPr>
                  <w:tcW w:w="810"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3</w:t>
                  </w:r>
                </w:p>
              </w:tc>
              <w:tc>
                <w:tcPr>
                  <w:tcW w:w="750"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4</w:t>
                  </w:r>
                </w:p>
              </w:tc>
              <w:tc>
                <w:tcPr>
                  <w:tcW w:w="701"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5</w:t>
                  </w:r>
                </w:p>
              </w:tc>
              <w:tc>
                <w:tcPr>
                  <w:tcW w:w="252" w:type="dxa"/>
                  <w:vAlign w:val="center"/>
                </w:tcPr>
                <w:p>
                  <w:pPr>
                    <w:widowControl/>
                    <w:jc w:val="center"/>
                    <w:textAlignment w:val="center"/>
                    <w:rPr>
                      <w:rFonts w:hint="eastAsia" w:ascii="宋体" w:hAnsi="宋体" w:eastAsia="宋体" w:cs="宋体"/>
                      <w:color w:val="000000"/>
                      <w:kern w:val="0"/>
                      <w:sz w:val="18"/>
                      <w:szCs w:val="18"/>
                      <w:lang w:val="en-US" w:eastAsia="zh-CN" w:bidi="ar"/>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一、一般公共预算财政拨款</w:t>
                  </w:r>
                </w:p>
              </w:tc>
              <w:tc>
                <w:tcPr>
                  <w:tcW w:w="465"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1</w:t>
                  </w:r>
                </w:p>
              </w:tc>
              <w:tc>
                <w:tcPr>
                  <w:tcW w:w="748"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1252.22</w:t>
                  </w:r>
                </w:p>
              </w:tc>
              <w:tc>
                <w:tcPr>
                  <w:tcW w:w="2456"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一、一般公共服务支出</w:t>
                  </w:r>
                </w:p>
              </w:tc>
              <w:tc>
                <w:tcPr>
                  <w:tcW w:w="446"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33</w:t>
                  </w:r>
                </w:p>
              </w:tc>
              <w:tc>
                <w:tcPr>
                  <w:tcW w:w="791"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635.20</w:t>
                  </w:r>
                </w:p>
              </w:tc>
              <w:tc>
                <w:tcPr>
                  <w:tcW w:w="810"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635.20</w:t>
                  </w:r>
                </w:p>
              </w:tc>
              <w:tc>
                <w:tcPr>
                  <w:tcW w:w="750"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701"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252" w:type="dxa"/>
                  <w:vAlign w:val="center"/>
                </w:tcPr>
                <w:p>
                  <w:pPr>
                    <w:widowControl/>
                    <w:jc w:val="center"/>
                    <w:textAlignment w:val="center"/>
                    <w:rPr>
                      <w:rFonts w:hint="eastAsia" w:ascii="宋体" w:hAnsi="宋体" w:eastAsia="宋体" w:cs="宋体"/>
                      <w:color w:val="000000"/>
                      <w:kern w:val="0"/>
                      <w:sz w:val="18"/>
                      <w:szCs w:val="18"/>
                      <w:lang w:val="en-US" w:eastAsia="zh-CN" w:bidi="ar"/>
                    </w:rPr>
                  </w:pPr>
                </w:p>
              </w:tc>
            </w:tr>
            <w:tr>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二、政府性基金预算财政拨款</w:t>
                  </w:r>
                </w:p>
              </w:tc>
              <w:tc>
                <w:tcPr>
                  <w:tcW w:w="465"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w:t>
                  </w:r>
                </w:p>
              </w:tc>
              <w:tc>
                <w:tcPr>
                  <w:tcW w:w="748"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53.76</w:t>
                  </w:r>
                </w:p>
              </w:tc>
              <w:tc>
                <w:tcPr>
                  <w:tcW w:w="2456"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二、外交支出</w:t>
                  </w:r>
                </w:p>
              </w:tc>
              <w:tc>
                <w:tcPr>
                  <w:tcW w:w="446"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34</w:t>
                  </w:r>
                </w:p>
              </w:tc>
              <w:tc>
                <w:tcPr>
                  <w:tcW w:w="791"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10"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750"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701"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252" w:type="dxa"/>
                  <w:vAlign w:val="center"/>
                </w:tcPr>
                <w:p>
                  <w:pPr>
                    <w:widowControl/>
                    <w:jc w:val="center"/>
                    <w:textAlignment w:val="center"/>
                    <w:rPr>
                      <w:rFonts w:hint="eastAsia" w:ascii="宋体" w:hAnsi="宋体" w:eastAsia="宋体" w:cs="宋体"/>
                      <w:color w:val="000000"/>
                      <w:kern w:val="0"/>
                      <w:sz w:val="18"/>
                      <w:szCs w:val="18"/>
                      <w:lang w:val="en-US" w:eastAsia="zh-CN" w:bidi="ar"/>
                    </w:rPr>
                  </w:pPr>
                </w:p>
              </w:tc>
            </w:tr>
            <w:tr>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三、国有资本经营财政拨款</w:t>
                  </w:r>
                </w:p>
              </w:tc>
              <w:tc>
                <w:tcPr>
                  <w:tcW w:w="465"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3</w:t>
                  </w:r>
                </w:p>
              </w:tc>
              <w:tc>
                <w:tcPr>
                  <w:tcW w:w="748"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2456"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三、国防支出</w:t>
                  </w:r>
                </w:p>
              </w:tc>
              <w:tc>
                <w:tcPr>
                  <w:tcW w:w="446"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35</w:t>
                  </w:r>
                </w:p>
              </w:tc>
              <w:tc>
                <w:tcPr>
                  <w:tcW w:w="791"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10"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750"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701"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252" w:type="dxa"/>
                  <w:vAlign w:val="center"/>
                </w:tcPr>
                <w:p>
                  <w:pPr>
                    <w:widowControl/>
                    <w:jc w:val="center"/>
                    <w:textAlignment w:val="center"/>
                    <w:rPr>
                      <w:rFonts w:hint="eastAsia" w:ascii="宋体" w:hAnsi="宋体" w:eastAsia="宋体" w:cs="宋体"/>
                      <w:color w:val="000000"/>
                      <w:kern w:val="0"/>
                      <w:sz w:val="18"/>
                      <w:szCs w:val="18"/>
                      <w:lang w:val="en-US" w:eastAsia="zh-CN" w:bidi="ar"/>
                    </w:rPr>
                  </w:pPr>
                </w:p>
              </w:tc>
            </w:tr>
            <w:tr>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color w:val="000000"/>
                      <w:kern w:val="0"/>
                      <w:sz w:val="18"/>
                      <w:szCs w:val="18"/>
                      <w:lang w:val="en-US" w:eastAsia="zh-CN" w:bidi="ar"/>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4</w:t>
                  </w:r>
                </w:p>
              </w:tc>
              <w:tc>
                <w:tcPr>
                  <w:tcW w:w="748"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宋体"/>
                      <w:color w:val="000000"/>
                      <w:kern w:val="0"/>
                      <w:sz w:val="18"/>
                      <w:szCs w:val="18"/>
                      <w:lang w:val="en-US" w:eastAsia="zh-CN" w:bidi="ar"/>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四、公共安全支出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36</w:t>
                  </w:r>
                </w:p>
              </w:tc>
              <w:tc>
                <w:tcPr>
                  <w:tcW w:w="791"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81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75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701"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252" w:type="dxa"/>
                  <w:vAlign w:val="center"/>
                </w:tcPr>
                <w:p>
                  <w:pPr>
                    <w:widowControl/>
                    <w:jc w:val="left"/>
                    <w:rPr>
                      <w:rFonts w:hint="eastAsia" w:ascii="宋体" w:hAnsi="宋体" w:eastAsia="宋体" w:cs="宋体"/>
                      <w:color w:val="000000"/>
                      <w:kern w:val="0"/>
                      <w:sz w:val="18"/>
                      <w:szCs w:val="18"/>
                      <w:lang w:val="en-US" w:eastAsia="zh-CN" w:bidi="ar"/>
                    </w:rPr>
                  </w:pPr>
                </w:p>
              </w:tc>
            </w:tr>
            <w:tr>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color w:val="000000"/>
                      <w:kern w:val="0"/>
                      <w:sz w:val="18"/>
                      <w:szCs w:val="18"/>
                      <w:lang w:val="en-US" w:eastAsia="zh-CN" w:bidi="ar"/>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5</w:t>
                  </w:r>
                </w:p>
              </w:tc>
              <w:tc>
                <w:tcPr>
                  <w:tcW w:w="748"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宋体"/>
                      <w:color w:val="000000"/>
                      <w:kern w:val="0"/>
                      <w:sz w:val="18"/>
                      <w:szCs w:val="18"/>
                      <w:lang w:val="en-US" w:eastAsia="zh-CN" w:bidi="ar"/>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五、教育支出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37</w:t>
                  </w:r>
                </w:p>
              </w:tc>
              <w:tc>
                <w:tcPr>
                  <w:tcW w:w="791"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81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75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701"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252" w:type="dxa"/>
                  <w:vAlign w:val="center"/>
                </w:tcPr>
                <w:p>
                  <w:pPr>
                    <w:widowControl/>
                    <w:jc w:val="left"/>
                    <w:rPr>
                      <w:rFonts w:hint="eastAsia" w:ascii="宋体" w:hAnsi="宋体" w:eastAsia="宋体" w:cs="宋体"/>
                      <w:color w:val="000000"/>
                      <w:kern w:val="0"/>
                      <w:sz w:val="18"/>
                      <w:szCs w:val="18"/>
                      <w:lang w:val="en-US" w:eastAsia="zh-CN" w:bidi="ar"/>
                    </w:rPr>
                  </w:pPr>
                </w:p>
              </w:tc>
            </w:tr>
            <w:tr>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color w:val="000000"/>
                      <w:kern w:val="0"/>
                      <w:sz w:val="18"/>
                      <w:szCs w:val="18"/>
                      <w:lang w:val="en-US" w:eastAsia="zh-CN" w:bidi="ar"/>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6</w:t>
                  </w:r>
                </w:p>
              </w:tc>
              <w:tc>
                <w:tcPr>
                  <w:tcW w:w="748"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宋体"/>
                      <w:color w:val="000000"/>
                      <w:kern w:val="0"/>
                      <w:sz w:val="18"/>
                      <w:szCs w:val="18"/>
                      <w:lang w:val="en-US" w:eastAsia="zh-CN" w:bidi="ar"/>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六、科学技术支出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38</w:t>
                  </w:r>
                </w:p>
              </w:tc>
              <w:tc>
                <w:tcPr>
                  <w:tcW w:w="791"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81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75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701"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252" w:type="dxa"/>
                  <w:vAlign w:val="center"/>
                </w:tcPr>
                <w:p>
                  <w:pPr>
                    <w:widowControl/>
                    <w:jc w:val="left"/>
                    <w:rPr>
                      <w:rFonts w:hint="eastAsia" w:ascii="宋体" w:hAnsi="宋体" w:eastAsia="宋体" w:cs="宋体"/>
                      <w:color w:val="000000"/>
                      <w:kern w:val="0"/>
                      <w:sz w:val="18"/>
                      <w:szCs w:val="18"/>
                      <w:lang w:val="en-US" w:eastAsia="zh-CN" w:bidi="ar"/>
                    </w:rPr>
                  </w:pPr>
                </w:p>
              </w:tc>
            </w:tr>
            <w:tr>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color w:val="000000"/>
                      <w:kern w:val="0"/>
                      <w:sz w:val="18"/>
                      <w:szCs w:val="18"/>
                      <w:lang w:val="en-US" w:eastAsia="zh-CN" w:bidi="ar"/>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7</w:t>
                  </w:r>
                </w:p>
              </w:tc>
              <w:tc>
                <w:tcPr>
                  <w:tcW w:w="748"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宋体"/>
                      <w:color w:val="000000"/>
                      <w:kern w:val="0"/>
                      <w:sz w:val="18"/>
                      <w:szCs w:val="18"/>
                      <w:lang w:val="en-US" w:eastAsia="zh-CN" w:bidi="ar"/>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七、文化旅游体育与传媒支出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39</w:t>
                  </w:r>
                </w:p>
              </w:tc>
              <w:tc>
                <w:tcPr>
                  <w:tcW w:w="791"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7.00</w:t>
                  </w:r>
                </w:p>
              </w:tc>
              <w:tc>
                <w:tcPr>
                  <w:tcW w:w="81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7.00</w:t>
                  </w:r>
                </w:p>
              </w:tc>
              <w:tc>
                <w:tcPr>
                  <w:tcW w:w="75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701"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252" w:type="dxa"/>
                  <w:vAlign w:val="center"/>
                </w:tcPr>
                <w:p>
                  <w:pPr>
                    <w:widowControl/>
                    <w:jc w:val="left"/>
                    <w:rPr>
                      <w:rFonts w:hint="eastAsia" w:ascii="宋体" w:hAnsi="宋体" w:eastAsia="宋体" w:cs="宋体"/>
                      <w:color w:val="000000"/>
                      <w:kern w:val="0"/>
                      <w:sz w:val="18"/>
                      <w:szCs w:val="18"/>
                      <w:lang w:val="en-US" w:eastAsia="zh-CN" w:bidi="ar"/>
                    </w:rPr>
                  </w:pPr>
                </w:p>
              </w:tc>
            </w:tr>
            <w:tr>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color w:val="000000"/>
                      <w:kern w:val="0"/>
                      <w:sz w:val="18"/>
                      <w:szCs w:val="18"/>
                      <w:lang w:val="en-US" w:eastAsia="zh-CN" w:bidi="ar"/>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8</w:t>
                  </w:r>
                </w:p>
              </w:tc>
              <w:tc>
                <w:tcPr>
                  <w:tcW w:w="748"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宋体"/>
                      <w:color w:val="000000"/>
                      <w:kern w:val="0"/>
                      <w:sz w:val="18"/>
                      <w:szCs w:val="18"/>
                      <w:lang w:val="en-US" w:eastAsia="zh-CN" w:bidi="ar"/>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八、社会保障和就业支出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40</w:t>
                  </w:r>
                </w:p>
              </w:tc>
              <w:tc>
                <w:tcPr>
                  <w:tcW w:w="791"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77.95</w:t>
                  </w:r>
                </w:p>
              </w:tc>
              <w:tc>
                <w:tcPr>
                  <w:tcW w:w="81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77.95</w:t>
                  </w:r>
                </w:p>
              </w:tc>
              <w:tc>
                <w:tcPr>
                  <w:tcW w:w="75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701"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252" w:type="dxa"/>
                  <w:vAlign w:val="center"/>
                </w:tcPr>
                <w:p>
                  <w:pPr>
                    <w:widowControl/>
                    <w:jc w:val="left"/>
                    <w:rPr>
                      <w:rFonts w:hint="eastAsia" w:ascii="宋体" w:hAnsi="宋体" w:eastAsia="宋体" w:cs="宋体"/>
                      <w:color w:val="000000"/>
                      <w:kern w:val="0"/>
                      <w:sz w:val="18"/>
                      <w:szCs w:val="18"/>
                      <w:lang w:val="en-US" w:eastAsia="zh-CN" w:bidi="ar"/>
                    </w:rPr>
                  </w:pPr>
                </w:p>
              </w:tc>
            </w:tr>
            <w:tr>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color w:val="000000"/>
                      <w:kern w:val="0"/>
                      <w:sz w:val="18"/>
                      <w:szCs w:val="18"/>
                      <w:lang w:val="en-US" w:eastAsia="zh-CN" w:bidi="ar"/>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9</w:t>
                  </w:r>
                </w:p>
              </w:tc>
              <w:tc>
                <w:tcPr>
                  <w:tcW w:w="748"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宋体"/>
                      <w:color w:val="000000"/>
                      <w:kern w:val="0"/>
                      <w:sz w:val="18"/>
                      <w:szCs w:val="18"/>
                      <w:lang w:val="en-US" w:eastAsia="zh-CN" w:bidi="ar"/>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九、卫生健康支出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41</w:t>
                  </w:r>
                </w:p>
              </w:tc>
              <w:tc>
                <w:tcPr>
                  <w:tcW w:w="791"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32.94</w:t>
                  </w:r>
                </w:p>
              </w:tc>
              <w:tc>
                <w:tcPr>
                  <w:tcW w:w="81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32.94</w:t>
                  </w:r>
                </w:p>
              </w:tc>
              <w:tc>
                <w:tcPr>
                  <w:tcW w:w="75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701"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252" w:type="dxa"/>
                  <w:vAlign w:val="center"/>
                </w:tcPr>
                <w:p>
                  <w:pPr>
                    <w:widowControl/>
                    <w:jc w:val="left"/>
                    <w:rPr>
                      <w:rFonts w:hint="eastAsia" w:ascii="宋体" w:hAnsi="宋体" w:eastAsia="宋体" w:cs="宋体"/>
                      <w:color w:val="000000"/>
                      <w:kern w:val="0"/>
                      <w:sz w:val="18"/>
                      <w:szCs w:val="18"/>
                      <w:lang w:val="en-US" w:eastAsia="zh-CN" w:bidi="ar"/>
                    </w:rPr>
                  </w:pPr>
                </w:p>
              </w:tc>
            </w:tr>
            <w:tr>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color w:val="000000"/>
                      <w:kern w:val="0"/>
                      <w:sz w:val="18"/>
                      <w:szCs w:val="18"/>
                      <w:lang w:val="en-US" w:eastAsia="zh-CN" w:bidi="ar"/>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10</w:t>
                  </w:r>
                </w:p>
              </w:tc>
              <w:tc>
                <w:tcPr>
                  <w:tcW w:w="748"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宋体"/>
                      <w:color w:val="000000"/>
                      <w:kern w:val="0"/>
                      <w:sz w:val="18"/>
                      <w:szCs w:val="18"/>
                      <w:lang w:val="en-US" w:eastAsia="zh-CN" w:bidi="ar"/>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十、节能环保支出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42</w:t>
                  </w:r>
                </w:p>
              </w:tc>
              <w:tc>
                <w:tcPr>
                  <w:tcW w:w="791"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0.00</w:t>
                  </w:r>
                </w:p>
              </w:tc>
              <w:tc>
                <w:tcPr>
                  <w:tcW w:w="81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75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701"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252" w:type="dxa"/>
                  <w:vAlign w:val="center"/>
                </w:tcPr>
                <w:p>
                  <w:pPr>
                    <w:widowControl/>
                    <w:jc w:val="left"/>
                    <w:rPr>
                      <w:rFonts w:hint="eastAsia" w:ascii="宋体" w:hAnsi="宋体" w:eastAsia="宋体" w:cs="宋体"/>
                      <w:color w:val="000000"/>
                      <w:kern w:val="0"/>
                      <w:sz w:val="18"/>
                      <w:szCs w:val="18"/>
                      <w:lang w:val="en-US" w:eastAsia="zh-CN" w:bidi="ar"/>
                    </w:rPr>
                  </w:pPr>
                </w:p>
              </w:tc>
            </w:tr>
            <w:tr>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color w:val="000000"/>
                      <w:kern w:val="0"/>
                      <w:sz w:val="18"/>
                      <w:szCs w:val="18"/>
                      <w:lang w:val="en-US" w:eastAsia="zh-CN" w:bidi="ar"/>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11</w:t>
                  </w:r>
                </w:p>
              </w:tc>
              <w:tc>
                <w:tcPr>
                  <w:tcW w:w="748"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宋体"/>
                      <w:color w:val="000000"/>
                      <w:kern w:val="0"/>
                      <w:sz w:val="18"/>
                      <w:szCs w:val="18"/>
                      <w:lang w:val="en-US" w:eastAsia="zh-CN" w:bidi="ar"/>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十一、城乡社区支出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43</w:t>
                  </w:r>
                </w:p>
              </w:tc>
              <w:tc>
                <w:tcPr>
                  <w:tcW w:w="791"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53.76</w:t>
                  </w:r>
                </w:p>
              </w:tc>
              <w:tc>
                <w:tcPr>
                  <w:tcW w:w="81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75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53.76</w:t>
                  </w:r>
                </w:p>
              </w:tc>
              <w:tc>
                <w:tcPr>
                  <w:tcW w:w="701"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252" w:type="dxa"/>
                  <w:vAlign w:val="center"/>
                </w:tcPr>
                <w:p>
                  <w:pPr>
                    <w:widowControl/>
                    <w:jc w:val="left"/>
                    <w:rPr>
                      <w:rFonts w:hint="eastAsia" w:ascii="宋体" w:hAnsi="宋体" w:eastAsia="宋体" w:cs="宋体"/>
                      <w:color w:val="000000"/>
                      <w:kern w:val="0"/>
                      <w:sz w:val="18"/>
                      <w:szCs w:val="18"/>
                      <w:lang w:val="en-US" w:eastAsia="zh-CN" w:bidi="ar"/>
                    </w:rPr>
                  </w:pPr>
                </w:p>
              </w:tc>
            </w:tr>
            <w:tr>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color w:val="000000"/>
                      <w:kern w:val="0"/>
                      <w:sz w:val="18"/>
                      <w:szCs w:val="18"/>
                      <w:lang w:val="en-US" w:eastAsia="zh-CN" w:bidi="ar"/>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12</w:t>
                  </w:r>
                </w:p>
              </w:tc>
              <w:tc>
                <w:tcPr>
                  <w:tcW w:w="748"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宋体"/>
                      <w:color w:val="000000"/>
                      <w:kern w:val="0"/>
                      <w:sz w:val="18"/>
                      <w:szCs w:val="18"/>
                      <w:lang w:val="en-US" w:eastAsia="zh-CN" w:bidi="ar"/>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十二、农林水支出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44</w:t>
                  </w:r>
                </w:p>
              </w:tc>
              <w:tc>
                <w:tcPr>
                  <w:tcW w:w="791"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465.09</w:t>
                  </w:r>
                </w:p>
              </w:tc>
              <w:tc>
                <w:tcPr>
                  <w:tcW w:w="81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465.09</w:t>
                  </w:r>
                </w:p>
              </w:tc>
              <w:tc>
                <w:tcPr>
                  <w:tcW w:w="75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701"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252" w:type="dxa"/>
                  <w:vAlign w:val="center"/>
                </w:tcPr>
                <w:p>
                  <w:pPr>
                    <w:widowControl/>
                    <w:jc w:val="left"/>
                    <w:rPr>
                      <w:rFonts w:hint="eastAsia" w:ascii="宋体" w:hAnsi="宋体" w:eastAsia="宋体" w:cs="宋体"/>
                      <w:color w:val="000000"/>
                      <w:kern w:val="0"/>
                      <w:sz w:val="18"/>
                      <w:szCs w:val="18"/>
                      <w:lang w:val="en-US" w:eastAsia="zh-CN" w:bidi="ar"/>
                    </w:rPr>
                  </w:pPr>
                </w:p>
              </w:tc>
            </w:tr>
            <w:tr>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color w:val="000000"/>
                      <w:kern w:val="0"/>
                      <w:sz w:val="18"/>
                      <w:szCs w:val="18"/>
                      <w:lang w:val="en-US" w:eastAsia="zh-CN" w:bidi="ar"/>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13</w:t>
                  </w:r>
                </w:p>
              </w:tc>
              <w:tc>
                <w:tcPr>
                  <w:tcW w:w="748"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宋体"/>
                      <w:color w:val="000000"/>
                      <w:kern w:val="0"/>
                      <w:sz w:val="18"/>
                      <w:szCs w:val="18"/>
                      <w:lang w:val="en-US" w:eastAsia="zh-CN" w:bidi="ar"/>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十三、交通运输支出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45</w:t>
                  </w:r>
                </w:p>
              </w:tc>
              <w:tc>
                <w:tcPr>
                  <w:tcW w:w="791"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81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75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701"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252" w:type="dxa"/>
                  <w:vAlign w:val="center"/>
                </w:tcPr>
                <w:p>
                  <w:pPr>
                    <w:widowControl/>
                    <w:jc w:val="left"/>
                    <w:rPr>
                      <w:rFonts w:hint="eastAsia" w:ascii="宋体" w:hAnsi="宋体" w:eastAsia="宋体" w:cs="宋体"/>
                      <w:color w:val="000000"/>
                      <w:kern w:val="0"/>
                      <w:sz w:val="18"/>
                      <w:szCs w:val="18"/>
                      <w:lang w:val="en-US" w:eastAsia="zh-CN" w:bidi="ar"/>
                    </w:rPr>
                  </w:pPr>
                </w:p>
              </w:tc>
            </w:tr>
            <w:tr>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color w:val="000000"/>
                      <w:kern w:val="0"/>
                      <w:sz w:val="18"/>
                      <w:szCs w:val="18"/>
                      <w:lang w:val="en-US" w:eastAsia="zh-CN" w:bidi="ar"/>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14</w:t>
                  </w:r>
                </w:p>
              </w:tc>
              <w:tc>
                <w:tcPr>
                  <w:tcW w:w="748"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宋体"/>
                      <w:color w:val="000000"/>
                      <w:kern w:val="0"/>
                      <w:sz w:val="18"/>
                      <w:szCs w:val="18"/>
                      <w:lang w:val="en-US" w:eastAsia="zh-CN" w:bidi="ar"/>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十四、资源勘探工业信息等支出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46</w:t>
                  </w:r>
                </w:p>
              </w:tc>
              <w:tc>
                <w:tcPr>
                  <w:tcW w:w="791"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81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75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701"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252" w:type="dxa"/>
                  <w:vAlign w:val="center"/>
                </w:tcPr>
                <w:p>
                  <w:pPr>
                    <w:widowControl/>
                    <w:jc w:val="left"/>
                    <w:rPr>
                      <w:rFonts w:hint="eastAsia" w:ascii="宋体" w:hAnsi="宋体" w:eastAsia="宋体" w:cs="宋体"/>
                      <w:color w:val="000000"/>
                      <w:kern w:val="0"/>
                      <w:sz w:val="18"/>
                      <w:szCs w:val="18"/>
                      <w:lang w:val="en-US" w:eastAsia="zh-CN" w:bidi="ar"/>
                    </w:rPr>
                  </w:pPr>
                </w:p>
              </w:tc>
            </w:tr>
            <w:tr>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color w:val="000000"/>
                      <w:kern w:val="0"/>
                      <w:sz w:val="18"/>
                      <w:szCs w:val="18"/>
                      <w:lang w:val="en-US" w:eastAsia="zh-CN" w:bidi="ar"/>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15</w:t>
                  </w:r>
                </w:p>
              </w:tc>
              <w:tc>
                <w:tcPr>
                  <w:tcW w:w="748"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宋体"/>
                      <w:color w:val="000000"/>
                      <w:kern w:val="0"/>
                      <w:sz w:val="18"/>
                      <w:szCs w:val="18"/>
                      <w:lang w:val="en-US" w:eastAsia="zh-CN" w:bidi="ar"/>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十五、商业服务业等支出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47</w:t>
                  </w:r>
                </w:p>
              </w:tc>
              <w:tc>
                <w:tcPr>
                  <w:tcW w:w="791"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81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75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701"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252" w:type="dxa"/>
                  <w:vAlign w:val="center"/>
                </w:tcPr>
                <w:p>
                  <w:pPr>
                    <w:widowControl/>
                    <w:jc w:val="left"/>
                    <w:rPr>
                      <w:rFonts w:hint="eastAsia" w:ascii="宋体" w:hAnsi="宋体" w:eastAsia="宋体" w:cs="宋体"/>
                      <w:color w:val="000000"/>
                      <w:kern w:val="0"/>
                      <w:sz w:val="18"/>
                      <w:szCs w:val="18"/>
                      <w:lang w:val="en-US" w:eastAsia="zh-CN" w:bidi="ar"/>
                    </w:rPr>
                  </w:pPr>
                </w:p>
              </w:tc>
            </w:tr>
            <w:tr>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color w:val="000000"/>
                      <w:kern w:val="0"/>
                      <w:sz w:val="18"/>
                      <w:szCs w:val="18"/>
                      <w:lang w:val="en-US" w:eastAsia="zh-CN" w:bidi="ar"/>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16</w:t>
                  </w:r>
                </w:p>
              </w:tc>
              <w:tc>
                <w:tcPr>
                  <w:tcW w:w="748"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宋体"/>
                      <w:color w:val="000000"/>
                      <w:kern w:val="0"/>
                      <w:sz w:val="18"/>
                      <w:szCs w:val="18"/>
                      <w:lang w:val="en-US" w:eastAsia="zh-CN" w:bidi="ar"/>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十六、金融支出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48</w:t>
                  </w:r>
                </w:p>
              </w:tc>
              <w:tc>
                <w:tcPr>
                  <w:tcW w:w="791"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81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75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701"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252" w:type="dxa"/>
                  <w:vAlign w:val="center"/>
                </w:tcPr>
                <w:p>
                  <w:pPr>
                    <w:widowControl/>
                    <w:jc w:val="left"/>
                    <w:rPr>
                      <w:rFonts w:hint="eastAsia" w:ascii="宋体" w:hAnsi="宋体" w:eastAsia="宋体" w:cs="宋体"/>
                      <w:color w:val="000000"/>
                      <w:kern w:val="0"/>
                      <w:sz w:val="18"/>
                      <w:szCs w:val="18"/>
                      <w:lang w:val="en-US" w:eastAsia="zh-CN" w:bidi="ar"/>
                    </w:rPr>
                  </w:pPr>
                </w:p>
              </w:tc>
            </w:tr>
            <w:tr>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color w:val="000000"/>
                      <w:kern w:val="0"/>
                      <w:sz w:val="18"/>
                      <w:szCs w:val="18"/>
                      <w:lang w:val="en-US" w:eastAsia="zh-CN" w:bidi="ar"/>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17</w:t>
                  </w:r>
                </w:p>
              </w:tc>
              <w:tc>
                <w:tcPr>
                  <w:tcW w:w="748"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宋体"/>
                      <w:color w:val="000000"/>
                      <w:kern w:val="0"/>
                      <w:sz w:val="18"/>
                      <w:szCs w:val="18"/>
                      <w:lang w:val="en-US" w:eastAsia="zh-CN" w:bidi="ar"/>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十七、援助其他地区支出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49</w:t>
                  </w:r>
                </w:p>
              </w:tc>
              <w:tc>
                <w:tcPr>
                  <w:tcW w:w="791"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81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75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701"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252" w:type="dxa"/>
                  <w:vAlign w:val="center"/>
                </w:tcPr>
                <w:p>
                  <w:pPr>
                    <w:widowControl/>
                    <w:jc w:val="left"/>
                    <w:rPr>
                      <w:rFonts w:hint="eastAsia" w:ascii="宋体" w:hAnsi="宋体" w:eastAsia="宋体" w:cs="宋体"/>
                      <w:color w:val="000000"/>
                      <w:kern w:val="0"/>
                      <w:sz w:val="18"/>
                      <w:szCs w:val="18"/>
                      <w:lang w:val="en-US" w:eastAsia="zh-CN" w:bidi="ar"/>
                    </w:rPr>
                  </w:pPr>
                </w:p>
              </w:tc>
            </w:tr>
            <w:tr>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color w:val="000000"/>
                      <w:kern w:val="0"/>
                      <w:sz w:val="18"/>
                      <w:szCs w:val="18"/>
                      <w:lang w:val="en-US" w:eastAsia="zh-CN" w:bidi="ar"/>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18</w:t>
                  </w:r>
                </w:p>
              </w:tc>
              <w:tc>
                <w:tcPr>
                  <w:tcW w:w="748"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宋体"/>
                      <w:color w:val="000000"/>
                      <w:kern w:val="0"/>
                      <w:sz w:val="18"/>
                      <w:szCs w:val="18"/>
                      <w:lang w:val="en-US" w:eastAsia="zh-CN" w:bidi="ar"/>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十八、自然资源海洋气象等支出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50</w:t>
                  </w:r>
                </w:p>
              </w:tc>
              <w:tc>
                <w:tcPr>
                  <w:tcW w:w="791"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81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75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701"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252" w:type="dxa"/>
                  <w:vAlign w:val="center"/>
                </w:tcPr>
                <w:p>
                  <w:pPr>
                    <w:widowControl/>
                    <w:jc w:val="left"/>
                    <w:rPr>
                      <w:rFonts w:hint="eastAsia" w:ascii="宋体" w:hAnsi="宋体" w:eastAsia="宋体" w:cs="宋体"/>
                      <w:color w:val="000000"/>
                      <w:kern w:val="0"/>
                      <w:sz w:val="18"/>
                      <w:szCs w:val="18"/>
                      <w:lang w:val="en-US" w:eastAsia="zh-CN" w:bidi="ar"/>
                    </w:rPr>
                  </w:pPr>
                </w:p>
              </w:tc>
            </w:tr>
            <w:tr>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color w:val="000000"/>
                      <w:kern w:val="0"/>
                      <w:sz w:val="18"/>
                      <w:szCs w:val="18"/>
                      <w:lang w:val="en-US" w:eastAsia="zh-CN" w:bidi="ar"/>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19</w:t>
                  </w:r>
                </w:p>
              </w:tc>
              <w:tc>
                <w:tcPr>
                  <w:tcW w:w="748"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宋体"/>
                      <w:color w:val="000000"/>
                      <w:kern w:val="0"/>
                      <w:sz w:val="18"/>
                      <w:szCs w:val="18"/>
                      <w:lang w:val="en-US" w:eastAsia="zh-CN" w:bidi="ar"/>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十九、住房保障支出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51</w:t>
                  </w:r>
                </w:p>
              </w:tc>
              <w:tc>
                <w:tcPr>
                  <w:tcW w:w="791"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34.04</w:t>
                  </w:r>
                </w:p>
              </w:tc>
              <w:tc>
                <w:tcPr>
                  <w:tcW w:w="81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34.04</w:t>
                  </w:r>
                </w:p>
              </w:tc>
              <w:tc>
                <w:tcPr>
                  <w:tcW w:w="75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701"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252" w:type="dxa"/>
                  <w:vAlign w:val="center"/>
                </w:tcPr>
                <w:p>
                  <w:pPr>
                    <w:widowControl/>
                    <w:jc w:val="left"/>
                    <w:rPr>
                      <w:rFonts w:hint="eastAsia" w:ascii="宋体" w:hAnsi="宋体" w:eastAsia="宋体" w:cs="宋体"/>
                      <w:color w:val="000000"/>
                      <w:kern w:val="0"/>
                      <w:sz w:val="18"/>
                      <w:szCs w:val="18"/>
                      <w:lang w:val="en-US" w:eastAsia="zh-CN" w:bidi="ar"/>
                    </w:rPr>
                  </w:pPr>
                </w:p>
              </w:tc>
            </w:tr>
            <w:tr>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color w:val="000000"/>
                      <w:kern w:val="0"/>
                      <w:sz w:val="18"/>
                      <w:szCs w:val="18"/>
                      <w:lang w:val="en-US" w:eastAsia="zh-CN" w:bidi="ar"/>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20</w:t>
                  </w:r>
                </w:p>
              </w:tc>
              <w:tc>
                <w:tcPr>
                  <w:tcW w:w="748"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宋体"/>
                      <w:color w:val="000000"/>
                      <w:kern w:val="0"/>
                      <w:sz w:val="18"/>
                      <w:szCs w:val="18"/>
                      <w:lang w:val="en-US" w:eastAsia="zh-CN" w:bidi="ar"/>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二十、粮油物资储备支出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52</w:t>
                  </w:r>
                </w:p>
              </w:tc>
              <w:tc>
                <w:tcPr>
                  <w:tcW w:w="791"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81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75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701"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252" w:type="dxa"/>
                  <w:vAlign w:val="center"/>
                </w:tcPr>
                <w:p>
                  <w:pPr>
                    <w:widowControl/>
                    <w:jc w:val="left"/>
                    <w:rPr>
                      <w:rFonts w:hint="eastAsia" w:ascii="宋体" w:hAnsi="宋体" w:eastAsia="宋体" w:cs="宋体"/>
                      <w:color w:val="000000"/>
                      <w:kern w:val="0"/>
                      <w:sz w:val="18"/>
                      <w:szCs w:val="18"/>
                      <w:lang w:val="en-US" w:eastAsia="zh-CN" w:bidi="ar"/>
                    </w:rPr>
                  </w:pPr>
                </w:p>
              </w:tc>
            </w:tr>
            <w:tr>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color w:val="000000"/>
                      <w:kern w:val="0"/>
                      <w:sz w:val="18"/>
                      <w:szCs w:val="18"/>
                      <w:lang w:val="en-US" w:eastAsia="zh-CN" w:bidi="ar"/>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21</w:t>
                  </w:r>
                </w:p>
              </w:tc>
              <w:tc>
                <w:tcPr>
                  <w:tcW w:w="748"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宋体"/>
                      <w:color w:val="000000"/>
                      <w:kern w:val="0"/>
                      <w:sz w:val="18"/>
                      <w:szCs w:val="18"/>
                      <w:lang w:val="en-US" w:eastAsia="zh-CN" w:bidi="ar"/>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二十一、国有资本经营预算支出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53</w:t>
                  </w:r>
                </w:p>
              </w:tc>
              <w:tc>
                <w:tcPr>
                  <w:tcW w:w="791"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81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75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701"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252" w:type="dxa"/>
                  <w:vAlign w:val="center"/>
                </w:tcPr>
                <w:p>
                  <w:pPr>
                    <w:widowControl/>
                    <w:jc w:val="left"/>
                    <w:rPr>
                      <w:rFonts w:hint="eastAsia" w:ascii="宋体" w:hAnsi="宋体" w:eastAsia="宋体" w:cs="宋体"/>
                      <w:color w:val="000000"/>
                      <w:kern w:val="0"/>
                      <w:sz w:val="18"/>
                      <w:szCs w:val="18"/>
                      <w:lang w:val="en-US" w:eastAsia="zh-CN" w:bidi="ar"/>
                    </w:rPr>
                  </w:pPr>
                </w:p>
              </w:tc>
            </w:tr>
            <w:tr>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color w:val="000000"/>
                      <w:kern w:val="0"/>
                      <w:sz w:val="18"/>
                      <w:szCs w:val="18"/>
                      <w:lang w:val="en-US" w:eastAsia="zh-CN" w:bidi="ar"/>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22</w:t>
                  </w:r>
                </w:p>
              </w:tc>
              <w:tc>
                <w:tcPr>
                  <w:tcW w:w="748"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宋体"/>
                      <w:color w:val="000000"/>
                      <w:kern w:val="0"/>
                      <w:sz w:val="18"/>
                      <w:szCs w:val="18"/>
                      <w:lang w:val="en-US" w:eastAsia="zh-CN" w:bidi="ar"/>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二十二、灾害防治及应急管理支出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54</w:t>
                  </w:r>
                </w:p>
              </w:tc>
              <w:tc>
                <w:tcPr>
                  <w:tcW w:w="791"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81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75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701"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252" w:type="dxa"/>
                  <w:vAlign w:val="center"/>
                </w:tcPr>
                <w:p>
                  <w:pPr>
                    <w:widowControl/>
                    <w:jc w:val="left"/>
                    <w:rPr>
                      <w:rFonts w:hint="eastAsia" w:ascii="宋体" w:hAnsi="宋体" w:eastAsia="宋体" w:cs="宋体"/>
                      <w:color w:val="000000"/>
                      <w:kern w:val="0"/>
                      <w:sz w:val="18"/>
                      <w:szCs w:val="18"/>
                      <w:lang w:val="en-US" w:eastAsia="zh-CN" w:bidi="ar"/>
                    </w:rPr>
                  </w:pPr>
                </w:p>
              </w:tc>
            </w:tr>
            <w:tr>
              <w:trPr>
                <w:trHeight w:val="262"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color w:val="000000"/>
                      <w:kern w:val="0"/>
                      <w:sz w:val="18"/>
                      <w:szCs w:val="18"/>
                      <w:lang w:val="en-US" w:eastAsia="zh-CN" w:bidi="ar"/>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23</w:t>
                  </w:r>
                </w:p>
              </w:tc>
              <w:tc>
                <w:tcPr>
                  <w:tcW w:w="748"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宋体"/>
                      <w:color w:val="000000"/>
                      <w:kern w:val="0"/>
                      <w:sz w:val="18"/>
                      <w:szCs w:val="18"/>
                      <w:lang w:val="en-US" w:eastAsia="zh-CN" w:bidi="ar"/>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二十三、其他支出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55</w:t>
                  </w:r>
                </w:p>
              </w:tc>
              <w:tc>
                <w:tcPr>
                  <w:tcW w:w="791"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81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75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701"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252" w:type="dxa"/>
                  <w:vAlign w:val="center"/>
                </w:tcPr>
                <w:p>
                  <w:pPr>
                    <w:widowControl/>
                    <w:jc w:val="left"/>
                    <w:rPr>
                      <w:rFonts w:hint="eastAsia" w:ascii="宋体" w:hAnsi="宋体" w:eastAsia="宋体" w:cs="宋体"/>
                      <w:color w:val="000000"/>
                      <w:kern w:val="0"/>
                      <w:sz w:val="18"/>
                      <w:szCs w:val="18"/>
                      <w:lang w:val="en-US" w:eastAsia="zh-CN" w:bidi="ar"/>
                    </w:rPr>
                  </w:pPr>
                </w:p>
              </w:tc>
            </w:tr>
            <w:tr>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000000"/>
                      <w:kern w:val="0"/>
                      <w:sz w:val="18"/>
                      <w:szCs w:val="18"/>
                      <w:lang w:val="en-US" w:eastAsia="zh-CN" w:bidi="ar"/>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24</w:t>
                  </w:r>
                </w:p>
              </w:tc>
              <w:tc>
                <w:tcPr>
                  <w:tcW w:w="748"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宋体"/>
                      <w:color w:val="000000"/>
                      <w:kern w:val="0"/>
                      <w:sz w:val="18"/>
                      <w:szCs w:val="18"/>
                      <w:lang w:val="en-US" w:eastAsia="zh-CN" w:bidi="ar"/>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二十四、债务还本支出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56</w:t>
                  </w:r>
                </w:p>
              </w:tc>
              <w:tc>
                <w:tcPr>
                  <w:tcW w:w="791"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81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75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701"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252" w:type="dxa"/>
                  <w:vAlign w:val="center"/>
                </w:tcPr>
                <w:p>
                  <w:pPr>
                    <w:widowControl/>
                    <w:jc w:val="left"/>
                    <w:rPr>
                      <w:rFonts w:hint="eastAsia" w:ascii="宋体" w:hAnsi="宋体" w:eastAsia="宋体" w:cs="宋体"/>
                      <w:color w:val="000000"/>
                      <w:kern w:val="0"/>
                      <w:sz w:val="18"/>
                      <w:szCs w:val="18"/>
                      <w:lang w:val="en-US" w:eastAsia="zh-CN" w:bidi="ar"/>
                    </w:rPr>
                  </w:pPr>
                </w:p>
              </w:tc>
            </w:tr>
            <w:tr>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color w:val="000000"/>
                      <w:kern w:val="0"/>
                      <w:sz w:val="18"/>
                      <w:szCs w:val="18"/>
                      <w:lang w:val="en-US" w:eastAsia="zh-CN" w:bidi="ar"/>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25</w:t>
                  </w:r>
                </w:p>
              </w:tc>
              <w:tc>
                <w:tcPr>
                  <w:tcW w:w="748"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宋体"/>
                      <w:color w:val="000000"/>
                      <w:kern w:val="0"/>
                      <w:sz w:val="18"/>
                      <w:szCs w:val="18"/>
                      <w:lang w:val="en-US" w:eastAsia="zh-CN" w:bidi="ar"/>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二十五、债务付息支出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57</w:t>
                  </w:r>
                </w:p>
              </w:tc>
              <w:tc>
                <w:tcPr>
                  <w:tcW w:w="791"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81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75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701"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252" w:type="dxa"/>
                  <w:vAlign w:val="center"/>
                </w:tcPr>
                <w:p>
                  <w:pPr>
                    <w:widowControl/>
                    <w:jc w:val="left"/>
                    <w:rPr>
                      <w:rFonts w:hint="eastAsia" w:ascii="宋体" w:hAnsi="宋体" w:eastAsia="宋体" w:cs="宋体"/>
                      <w:color w:val="000000"/>
                      <w:kern w:val="0"/>
                      <w:sz w:val="18"/>
                      <w:szCs w:val="18"/>
                      <w:lang w:val="en-US" w:eastAsia="zh-CN" w:bidi="ar"/>
                    </w:rPr>
                  </w:pPr>
                </w:p>
              </w:tc>
            </w:tr>
            <w:tr>
              <w:trPr>
                <w:trHeight w:val="292"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color w:val="000000"/>
                      <w:kern w:val="0"/>
                      <w:sz w:val="18"/>
                      <w:szCs w:val="18"/>
                      <w:lang w:val="en-US" w:eastAsia="zh-CN" w:bidi="ar"/>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26</w:t>
                  </w:r>
                </w:p>
              </w:tc>
              <w:tc>
                <w:tcPr>
                  <w:tcW w:w="748"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宋体"/>
                      <w:color w:val="000000"/>
                      <w:kern w:val="0"/>
                      <w:sz w:val="18"/>
                      <w:szCs w:val="18"/>
                      <w:lang w:val="en-US" w:eastAsia="zh-CN" w:bidi="ar"/>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二十六、抗疫特别国债安排的支出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58</w:t>
                  </w:r>
                </w:p>
              </w:tc>
              <w:tc>
                <w:tcPr>
                  <w:tcW w:w="791"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81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75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宋体"/>
                      <w:color w:val="000000"/>
                      <w:kern w:val="0"/>
                      <w:sz w:val="18"/>
                      <w:szCs w:val="18"/>
                      <w:lang w:val="en-US" w:eastAsia="zh-CN" w:bidi="ar"/>
                    </w:rPr>
                  </w:pPr>
                </w:p>
              </w:tc>
              <w:tc>
                <w:tcPr>
                  <w:tcW w:w="701"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p>
              </w:tc>
              <w:tc>
                <w:tcPr>
                  <w:tcW w:w="252" w:type="dxa"/>
                  <w:vAlign w:val="center"/>
                </w:tcPr>
                <w:p>
                  <w:pPr>
                    <w:widowControl/>
                    <w:jc w:val="left"/>
                    <w:rPr>
                      <w:rFonts w:hint="eastAsia" w:ascii="宋体" w:hAnsi="宋体" w:eastAsia="宋体" w:cs="宋体"/>
                      <w:color w:val="000000"/>
                      <w:kern w:val="0"/>
                      <w:sz w:val="18"/>
                      <w:szCs w:val="18"/>
                      <w:lang w:val="en-US" w:eastAsia="zh-CN" w:bidi="ar"/>
                    </w:rPr>
                  </w:pPr>
                </w:p>
              </w:tc>
            </w:tr>
            <w:tr>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本年收入合计</w:t>
                  </w:r>
                </w:p>
              </w:tc>
              <w:tc>
                <w:tcPr>
                  <w:tcW w:w="465"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27</w:t>
                  </w:r>
                </w:p>
              </w:tc>
              <w:tc>
                <w:tcPr>
                  <w:tcW w:w="748"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1305.98</w:t>
                  </w:r>
                </w:p>
              </w:tc>
              <w:tc>
                <w:tcPr>
                  <w:tcW w:w="2456"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本年支出合计</w:t>
                  </w:r>
                </w:p>
              </w:tc>
              <w:tc>
                <w:tcPr>
                  <w:tcW w:w="446"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59</w:t>
                  </w:r>
                </w:p>
              </w:tc>
              <w:tc>
                <w:tcPr>
                  <w:tcW w:w="791"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1305.98</w:t>
                  </w:r>
                </w:p>
              </w:tc>
              <w:tc>
                <w:tcPr>
                  <w:tcW w:w="810"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12,52.22</w:t>
                  </w:r>
                </w:p>
              </w:tc>
              <w:tc>
                <w:tcPr>
                  <w:tcW w:w="750"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53.76</w:t>
                  </w:r>
                </w:p>
              </w:tc>
              <w:tc>
                <w:tcPr>
                  <w:tcW w:w="701"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252" w:type="dxa"/>
                  <w:vAlign w:val="center"/>
                </w:tcPr>
                <w:p>
                  <w:pPr>
                    <w:widowControl/>
                    <w:jc w:val="center"/>
                    <w:textAlignment w:val="center"/>
                    <w:rPr>
                      <w:rFonts w:hint="eastAsia" w:ascii="宋体" w:hAnsi="宋体" w:eastAsia="宋体" w:cs="宋体"/>
                      <w:color w:val="000000"/>
                      <w:kern w:val="0"/>
                      <w:sz w:val="18"/>
                      <w:szCs w:val="18"/>
                      <w:lang w:val="en-US" w:eastAsia="zh-CN" w:bidi="ar"/>
                    </w:rPr>
                  </w:pPr>
                </w:p>
              </w:tc>
            </w:tr>
            <w:tr>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年初财政拨款结转和结余</w:t>
                  </w:r>
                </w:p>
              </w:tc>
              <w:tc>
                <w:tcPr>
                  <w:tcW w:w="465"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28</w:t>
                  </w:r>
                </w:p>
              </w:tc>
              <w:tc>
                <w:tcPr>
                  <w:tcW w:w="748"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2456"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年末财政拨款结转和结余</w:t>
                  </w:r>
                </w:p>
              </w:tc>
              <w:tc>
                <w:tcPr>
                  <w:tcW w:w="446"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60</w:t>
                  </w:r>
                </w:p>
              </w:tc>
              <w:tc>
                <w:tcPr>
                  <w:tcW w:w="791"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10"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750"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701"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252" w:type="dxa"/>
                  <w:vAlign w:val="center"/>
                </w:tcPr>
                <w:p>
                  <w:pPr>
                    <w:widowControl/>
                    <w:jc w:val="center"/>
                    <w:textAlignment w:val="center"/>
                    <w:rPr>
                      <w:rFonts w:hint="eastAsia" w:ascii="宋体" w:hAnsi="宋体" w:eastAsia="宋体" w:cs="宋体"/>
                      <w:color w:val="000000"/>
                      <w:kern w:val="0"/>
                      <w:sz w:val="18"/>
                      <w:szCs w:val="18"/>
                      <w:lang w:val="en-US" w:eastAsia="zh-CN" w:bidi="ar"/>
                    </w:rPr>
                  </w:pPr>
                </w:p>
              </w:tc>
            </w:tr>
            <w:tr>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 xml:space="preserve">  一般公共预算财政拨款</w:t>
                  </w:r>
                </w:p>
              </w:tc>
              <w:tc>
                <w:tcPr>
                  <w:tcW w:w="465"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29</w:t>
                  </w:r>
                </w:p>
              </w:tc>
              <w:tc>
                <w:tcPr>
                  <w:tcW w:w="748"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2456"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446"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61</w:t>
                  </w:r>
                </w:p>
              </w:tc>
              <w:tc>
                <w:tcPr>
                  <w:tcW w:w="791"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10"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750"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701"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252" w:type="dxa"/>
                  <w:vAlign w:val="center"/>
                </w:tcPr>
                <w:p>
                  <w:pPr>
                    <w:widowControl/>
                    <w:jc w:val="center"/>
                    <w:textAlignment w:val="center"/>
                    <w:rPr>
                      <w:rFonts w:hint="eastAsia" w:ascii="宋体" w:hAnsi="宋体" w:eastAsia="宋体" w:cs="宋体"/>
                      <w:color w:val="000000"/>
                      <w:kern w:val="0"/>
                      <w:sz w:val="18"/>
                      <w:szCs w:val="18"/>
                      <w:lang w:val="en-US" w:eastAsia="zh-CN" w:bidi="ar"/>
                    </w:rPr>
                  </w:pPr>
                </w:p>
              </w:tc>
            </w:tr>
            <w:tr>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 xml:space="preserve">  政府性基金预算财政拨款</w:t>
                  </w:r>
                </w:p>
              </w:tc>
              <w:tc>
                <w:tcPr>
                  <w:tcW w:w="465"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30</w:t>
                  </w:r>
                </w:p>
              </w:tc>
              <w:tc>
                <w:tcPr>
                  <w:tcW w:w="748"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2456"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446"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62</w:t>
                  </w:r>
                </w:p>
              </w:tc>
              <w:tc>
                <w:tcPr>
                  <w:tcW w:w="791"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10"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750"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701"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252" w:type="dxa"/>
                  <w:vAlign w:val="center"/>
                </w:tcPr>
                <w:p>
                  <w:pPr>
                    <w:widowControl/>
                    <w:jc w:val="center"/>
                    <w:textAlignment w:val="center"/>
                    <w:rPr>
                      <w:rFonts w:hint="eastAsia" w:ascii="宋体" w:hAnsi="宋体" w:eastAsia="宋体" w:cs="宋体"/>
                      <w:color w:val="000000"/>
                      <w:kern w:val="0"/>
                      <w:sz w:val="18"/>
                      <w:szCs w:val="18"/>
                      <w:lang w:val="en-US" w:eastAsia="zh-CN" w:bidi="ar"/>
                    </w:rPr>
                  </w:pPr>
                </w:p>
              </w:tc>
            </w:tr>
            <w:tr>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 xml:space="preserve">  国有资本经营预算财政拨款</w:t>
                  </w:r>
                </w:p>
              </w:tc>
              <w:tc>
                <w:tcPr>
                  <w:tcW w:w="465" w:type="dxa"/>
                  <w:tcBorders>
                    <w:top w:val="nil"/>
                    <w:left w:val="nil"/>
                    <w:bottom w:val="single" w:color="000000" w:sz="8" w:space="0"/>
                    <w:right w:val="single" w:color="000000" w:sz="4" w:space="0"/>
                  </w:tcBorders>
                  <w:shd w:val="clear" w:color="auto" w:fill="auto"/>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31</w:t>
                  </w:r>
                </w:p>
              </w:tc>
              <w:tc>
                <w:tcPr>
                  <w:tcW w:w="748"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auto"/>
                      <w:kern w:val="0"/>
                      <w:sz w:val="18"/>
                      <w:szCs w:val="18"/>
                      <w:lang w:val="en-US" w:eastAsia="zh-CN" w:bidi="ar"/>
                    </w:rPr>
                  </w:pPr>
                </w:p>
              </w:tc>
              <w:tc>
                <w:tcPr>
                  <w:tcW w:w="2456"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auto"/>
                      <w:kern w:val="0"/>
                      <w:sz w:val="18"/>
                      <w:szCs w:val="18"/>
                      <w:lang w:val="en-US" w:eastAsia="zh-CN" w:bidi="ar"/>
                    </w:rPr>
                  </w:pPr>
                </w:p>
              </w:tc>
              <w:tc>
                <w:tcPr>
                  <w:tcW w:w="446"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63</w:t>
                  </w:r>
                </w:p>
              </w:tc>
              <w:tc>
                <w:tcPr>
                  <w:tcW w:w="791"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auto"/>
                      <w:kern w:val="0"/>
                      <w:sz w:val="18"/>
                      <w:szCs w:val="18"/>
                      <w:lang w:val="en-US" w:eastAsia="zh-CN" w:bidi="ar"/>
                    </w:rPr>
                  </w:pPr>
                </w:p>
              </w:tc>
              <w:tc>
                <w:tcPr>
                  <w:tcW w:w="810"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auto"/>
                      <w:kern w:val="0"/>
                      <w:sz w:val="18"/>
                      <w:szCs w:val="18"/>
                      <w:lang w:val="en-US" w:eastAsia="zh-CN" w:bidi="ar"/>
                    </w:rPr>
                  </w:pPr>
                </w:p>
              </w:tc>
              <w:tc>
                <w:tcPr>
                  <w:tcW w:w="750"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default" w:ascii="宋体" w:hAnsi="宋体" w:eastAsia="宋体" w:cs="宋体"/>
                      <w:color w:val="auto"/>
                      <w:kern w:val="0"/>
                      <w:sz w:val="18"/>
                      <w:szCs w:val="18"/>
                      <w:lang w:val="en-US" w:eastAsia="zh-CN" w:bidi="ar"/>
                    </w:rPr>
                  </w:pPr>
                </w:p>
              </w:tc>
              <w:tc>
                <w:tcPr>
                  <w:tcW w:w="701"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auto"/>
                      <w:kern w:val="0"/>
                      <w:sz w:val="18"/>
                      <w:szCs w:val="18"/>
                      <w:lang w:val="en-US" w:eastAsia="zh-CN" w:bidi="ar"/>
                    </w:rPr>
                  </w:pPr>
                </w:p>
              </w:tc>
              <w:tc>
                <w:tcPr>
                  <w:tcW w:w="252" w:type="dxa"/>
                  <w:vAlign w:val="center"/>
                </w:tcPr>
                <w:p>
                  <w:pPr>
                    <w:widowControl/>
                    <w:jc w:val="center"/>
                    <w:textAlignment w:val="center"/>
                    <w:rPr>
                      <w:rFonts w:hint="eastAsia" w:ascii="宋体" w:hAnsi="宋体" w:eastAsia="宋体" w:cs="宋体"/>
                      <w:color w:val="000000"/>
                      <w:kern w:val="0"/>
                      <w:sz w:val="18"/>
                      <w:szCs w:val="18"/>
                      <w:lang w:val="en-US" w:eastAsia="zh-CN" w:bidi="ar"/>
                    </w:rPr>
                  </w:pPr>
                </w:p>
              </w:tc>
            </w:tr>
            <w:tr>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总计</w:t>
                  </w:r>
                </w:p>
              </w:tc>
              <w:tc>
                <w:tcPr>
                  <w:tcW w:w="465" w:type="dxa"/>
                  <w:tcBorders>
                    <w:top w:val="nil"/>
                    <w:left w:val="nil"/>
                    <w:bottom w:val="single" w:color="000000" w:sz="8" w:space="0"/>
                    <w:right w:val="single" w:color="000000" w:sz="4" w:space="0"/>
                  </w:tcBorders>
                  <w:shd w:val="clear" w:color="auto" w:fill="auto"/>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32</w:t>
                  </w:r>
                </w:p>
              </w:tc>
              <w:tc>
                <w:tcPr>
                  <w:tcW w:w="748"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default"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1305.98</w:t>
                  </w:r>
                </w:p>
              </w:tc>
              <w:tc>
                <w:tcPr>
                  <w:tcW w:w="2456"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总计</w:t>
                  </w:r>
                </w:p>
              </w:tc>
              <w:tc>
                <w:tcPr>
                  <w:tcW w:w="446"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64</w:t>
                  </w:r>
                </w:p>
              </w:tc>
              <w:tc>
                <w:tcPr>
                  <w:tcW w:w="791"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1305.98</w:t>
                  </w:r>
                </w:p>
              </w:tc>
              <w:tc>
                <w:tcPr>
                  <w:tcW w:w="810"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12,52.22</w:t>
                  </w:r>
                </w:p>
              </w:tc>
              <w:tc>
                <w:tcPr>
                  <w:tcW w:w="750"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53.76</w:t>
                  </w:r>
                </w:p>
              </w:tc>
              <w:tc>
                <w:tcPr>
                  <w:tcW w:w="701" w:type="dxa"/>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auto"/>
                      <w:kern w:val="0"/>
                      <w:sz w:val="18"/>
                      <w:szCs w:val="18"/>
                      <w:lang w:val="en-US" w:eastAsia="zh-CN" w:bidi="ar"/>
                    </w:rPr>
                  </w:pPr>
                </w:p>
              </w:tc>
              <w:tc>
                <w:tcPr>
                  <w:tcW w:w="252" w:type="dxa"/>
                  <w:vAlign w:val="center"/>
                </w:tcPr>
                <w:p>
                  <w:pPr>
                    <w:widowControl/>
                    <w:jc w:val="center"/>
                    <w:textAlignment w:val="center"/>
                    <w:rPr>
                      <w:rFonts w:hint="eastAsia" w:ascii="宋体" w:hAnsi="宋体" w:eastAsia="宋体" w:cs="宋体"/>
                      <w:color w:val="000000"/>
                      <w:kern w:val="0"/>
                      <w:sz w:val="18"/>
                      <w:szCs w:val="18"/>
                      <w:lang w:val="en-US" w:eastAsia="zh-CN" w:bidi="ar"/>
                    </w:rPr>
                  </w:pPr>
                </w:p>
              </w:tc>
            </w:tr>
            <w:tr>
              <w:trPr>
                <w:trHeight w:val="90" w:hRule="atLeast"/>
              </w:trPr>
              <w:tc>
                <w:tcPr>
                  <w:tcW w:w="9484" w:type="dxa"/>
                  <w:gridSpan w:val="9"/>
                  <w:tcBorders>
                    <w:top w:val="nil"/>
                    <w:left w:val="nil"/>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Times New Roman" w:hAnsi="Times New Roman" w:eastAsia="Times New Roman" w:cs="Times New Roman"/>
                      <w:kern w:val="0"/>
                      <w:sz w:val="15"/>
                      <w:szCs w:val="15"/>
                    </w:rPr>
                  </w:pPr>
                  <w:r>
                    <w:rPr>
                      <w:rFonts w:hint="eastAsia" w:ascii="宋体" w:hAnsi="宋体" w:eastAsia="宋体" w:cs="Arial"/>
                      <w:color w:val="000000"/>
                      <w:kern w:val="0"/>
                      <w:sz w:val="15"/>
                      <w:szCs w:val="15"/>
                    </w:rPr>
                    <w:t>注：本表反映部门本年度一般公共预算财政拨款、政府性基金预算财政拨款和国有资本经营预算财政拨款的总收支和年末结转结余情况。</w:t>
                  </w:r>
                </w:p>
              </w:tc>
              <w:tc>
                <w:tcPr>
                  <w:tcW w:w="252" w:type="dxa"/>
                  <w:vAlign w:val="center"/>
                </w:tcPr>
                <w:p>
                  <w:pPr>
                    <w:widowControl/>
                    <w:jc w:val="left"/>
                    <w:rPr>
                      <w:rFonts w:ascii="Times New Roman" w:hAnsi="Times New Roman" w:eastAsia="Times New Roman" w:cs="Times New Roman"/>
                      <w:kern w:val="0"/>
                      <w:sz w:val="15"/>
                      <w:szCs w:val="15"/>
                    </w:rPr>
                  </w:pPr>
                </w:p>
              </w:tc>
            </w:tr>
            <w:tr>
              <w:trPr>
                <w:trHeight w:val="90" w:hRule="atLeast"/>
              </w:trPr>
              <w:tc>
                <w:tcPr>
                  <w:tcW w:w="9484" w:type="dxa"/>
                  <w:gridSpan w:val="9"/>
                  <w:tcBorders>
                    <w:top w:val="nil"/>
                    <w:left w:val="nil"/>
                    <w:bottom w:val="nil"/>
                    <w:right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bl>
          <w:p>
            <w:pPr>
              <w:widowControl/>
              <w:jc w:val="center"/>
              <w:textAlignment w:val="center"/>
              <w:rPr>
                <w:rFonts w:ascii="黑体" w:hAnsi="宋体" w:eastAsia="黑体" w:cs="黑体"/>
                <w:color w:val="000000"/>
                <w:sz w:val="28"/>
                <w:szCs w:val="28"/>
              </w:rPr>
            </w:pPr>
            <w:r>
              <w:rPr>
                <w:rFonts w:hint="eastAsia" w:ascii="黑体" w:hAnsi="宋体" w:eastAsia="黑体" w:cs="黑体"/>
                <w:color w:val="000000"/>
                <w:kern w:val="0"/>
                <w:sz w:val="28"/>
                <w:szCs w:val="28"/>
                <w:lang w:bidi="ar"/>
              </w:rPr>
              <w:t>一般公共预算财政拨款支出决算表</w:t>
            </w:r>
          </w:p>
        </w:tc>
      </w:tr>
      <w:tr>
        <w:tblPrEx>
          <w:tblCellMar>
            <w:top w:w="0" w:type="dxa"/>
            <w:left w:w="0" w:type="dxa"/>
            <w:bottom w:w="0" w:type="dxa"/>
            <w:right w:w="0" w:type="dxa"/>
          </w:tblCellMar>
        </w:tblPrEx>
        <w:trPr>
          <w:trHeight w:val="255" w:hRule="atLeast"/>
          <w:jc w:val="center"/>
        </w:trPr>
        <w:tc>
          <w:tcPr>
            <w:tcW w:w="1174"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6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6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695"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2329"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4658" w:type="dxa"/>
            <w:gridSpan w:val="3"/>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公开05表</w:t>
            </w:r>
          </w:p>
        </w:tc>
      </w:tr>
      <w:tr>
        <w:tblPrEx>
          <w:tblCellMar>
            <w:top w:w="0" w:type="dxa"/>
            <w:left w:w="0" w:type="dxa"/>
            <w:bottom w:w="0" w:type="dxa"/>
            <w:right w:w="0" w:type="dxa"/>
          </w:tblCellMar>
        </w:tblPrEx>
        <w:trPr>
          <w:trHeight w:val="255" w:hRule="atLeast"/>
          <w:jc w:val="center"/>
        </w:trPr>
        <w:tc>
          <w:tcPr>
            <w:tcW w:w="1174" w:type="dxa"/>
            <w:tcBorders>
              <w:top w:val="nil"/>
              <w:left w:val="nil"/>
              <w:bottom w:val="nil"/>
              <w:right w:val="nil"/>
            </w:tcBorders>
            <w:shd w:val="clear" w:color="auto" w:fill="auto"/>
            <w:noWrap/>
            <w:tcMar>
              <w:top w:w="15" w:type="dxa"/>
              <w:left w:w="15" w:type="dxa"/>
              <w:right w:w="15" w:type="dxa"/>
            </w:tcMar>
            <w:vAlign w:val="bottom"/>
          </w:tcPr>
          <w:p>
            <w:pPr>
              <w:widowControl/>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部门：</w:t>
            </w:r>
          </w:p>
        </w:tc>
        <w:tc>
          <w:tcPr>
            <w:tcW w:w="6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6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695"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2329"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4658" w:type="dxa"/>
            <w:gridSpan w:val="3"/>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金额单位：万元</w:t>
            </w:r>
          </w:p>
        </w:tc>
      </w:tr>
      <w:tr>
        <w:tblPrEx>
          <w:tblCellMar>
            <w:top w:w="0" w:type="dxa"/>
            <w:left w:w="0" w:type="dxa"/>
            <w:bottom w:w="0" w:type="dxa"/>
            <w:right w:w="0" w:type="dxa"/>
          </w:tblCellMar>
        </w:tblPrEx>
        <w:trPr>
          <w:trHeight w:val="308" w:hRule="atLeast"/>
          <w:jc w:val="center"/>
        </w:trPr>
        <w:tc>
          <w:tcPr>
            <w:tcW w:w="3003"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项目</w:t>
            </w:r>
          </w:p>
        </w:tc>
        <w:tc>
          <w:tcPr>
            <w:tcW w:w="6987" w:type="dxa"/>
            <w:gridSpan w:val="4"/>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本年支出</w:t>
            </w:r>
          </w:p>
        </w:tc>
      </w:tr>
      <w:tr>
        <w:tblPrEx>
          <w:tblCellMar>
            <w:top w:w="0" w:type="dxa"/>
            <w:left w:w="0" w:type="dxa"/>
            <w:bottom w:w="0" w:type="dxa"/>
            <w:right w:w="0" w:type="dxa"/>
          </w:tblCellMar>
        </w:tblPrEx>
        <w:trPr>
          <w:trHeight w:val="312" w:hRule="atLeast"/>
          <w:jc w:val="center"/>
        </w:trPr>
        <w:tc>
          <w:tcPr>
            <w:tcW w:w="1308"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功能分类科目编码</w:t>
            </w:r>
          </w:p>
        </w:tc>
        <w:tc>
          <w:tcPr>
            <w:tcW w:w="1695"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科目名称</w:t>
            </w:r>
          </w:p>
        </w:tc>
        <w:tc>
          <w:tcPr>
            <w:tcW w:w="2329"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小计</w:t>
            </w:r>
          </w:p>
        </w:tc>
        <w:tc>
          <w:tcPr>
            <w:tcW w:w="2329"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基本支出</w:t>
            </w:r>
          </w:p>
        </w:tc>
        <w:tc>
          <w:tcPr>
            <w:tcW w:w="232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项目支出</w:t>
            </w:r>
          </w:p>
        </w:tc>
      </w:tr>
      <w:tr>
        <w:tblPrEx>
          <w:tblCellMar>
            <w:top w:w="0" w:type="dxa"/>
            <w:left w:w="0" w:type="dxa"/>
            <w:bottom w:w="0" w:type="dxa"/>
            <w:right w:w="0" w:type="dxa"/>
          </w:tblCellMar>
        </w:tblPrEx>
        <w:trPr>
          <w:trHeight w:val="312" w:hRule="atLeast"/>
          <w:jc w:val="center"/>
        </w:trPr>
        <w:tc>
          <w:tcPr>
            <w:tcW w:w="1308"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695"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232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32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32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12" w:hRule="atLeast"/>
          <w:jc w:val="center"/>
        </w:trPr>
        <w:tc>
          <w:tcPr>
            <w:tcW w:w="1308"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695"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232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32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32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3003"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栏次</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w:t>
            </w:r>
          </w:p>
        </w:tc>
      </w:tr>
      <w:tr>
        <w:tblPrEx>
          <w:tblCellMar>
            <w:top w:w="0" w:type="dxa"/>
            <w:left w:w="0" w:type="dxa"/>
            <w:bottom w:w="0" w:type="dxa"/>
            <w:right w:w="0" w:type="dxa"/>
          </w:tblCellMar>
        </w:tblPrEx>
        <w:trPr>
          <w:trHeight w:val="308" w:hRule="atLeast"/>
          <w:jc w:val="center"/>
        </w:trPr>
        <w:tc>
          <w:tcPr>
            <w:tcW w:w="3003"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合计</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1252.22</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770.13</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482.09</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201</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一般公共服务支出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 xml:space="preserve">635.20 </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 xml:space="preserve">635.20 </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20103</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政府办公厅（室）及相关机构事务</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 xml:space="preserve">635.20 </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 xml:space="preserve">635.20 </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2010301</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 xml:space="preserve">  行政运行</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 xml:space="preserve">243.97 </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 xml:space="preserve">243.97 </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2010302</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 xml:space="preserve">  一般行政管理事务</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 xml:space="preserve">38.55 </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 xml:space="preserve">38.55 </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2010308</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 xml:space="preserve">  信访事务</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 xml:space="preserve">7.81 </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 xml:space="preserve">7.81 </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2010350</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 xml:space="preserve">  事业运行</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 xml:space="preserve">331.06 </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 xml:space="preserve">331.06 </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2010399</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 xml:space="preserve">  其他政府办公厅（室）及相关机构事务支出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 xml:space="preserve">13.80 </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 xml:space="preserve">13.80 </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207</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文化旅游体育与传媒支出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 xml:space="preserve">7.00 </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 xml:space="preserve">7.00 </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20701</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文化和旅游</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 xml:space="preserve">7.00 </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 xml:space="preserve">7.00 </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2070109</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 xml:space="preserve">  群众文化</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 xml:space="preserve">7.00 </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 xml:space="preserve">7.00 </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208</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社会保障和就业支出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 xml:space="preserve">77.95 </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 xml:space="preserve">77.95 </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20805</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行政事业单位养老支出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 xml:space="preserve">77.95 </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 xml:space="preserve">77.95 </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2080501</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 xml:space="preserve">  行政单位离退休</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 xml:space="preserve">1.44 </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 xml:space="preserve">1.44 </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2080502</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 xml:space="preserve">  事业单位离退休</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 xml:space="preserve">1.71 </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 xml:space="preserve">1.71 </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2080505</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 xml:space="preserve">  机关事业单位基本养老保险缴费支出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 xml:space="preserve">65.42 </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 xml:space="preserve">65.42 </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2080506</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 xml:space="preserve">  机关事业单位职业年金缴费支出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 xml:space="preserve">9.39 </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 xml:space="preserve">9.39 </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210</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卫生健康支出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 xml:space="preserve">32.94 </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 xml:space="preserve">22.94 </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 xml:space="preserve">10.00 </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21004</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公共卫生</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 xml:space="preserve">10.00 </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 xml:space="preserve">10.00 </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2100409</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 xml:space="preserve">  重大公共卫生服务</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 xml:space="preserve">10.00 </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 xml:space="preserve">10.00 </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21011</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行政事业单位医疗</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default"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 xml:space="preserve">22.94 </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 xml:space="preserve">22.94 </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2101101</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 xml:space="preserve">  行政单位医疗</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 xml:space="preserve">10.43 </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 xml:space="preserve">10.43 </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2101102</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 xml:space="preserve">  事业单位医疗</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 xml:space="preserve">12.50 </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 xml:space="preserve">12.50 </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213</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农林水支出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 xml:space="preserve">465.09 </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 xml:space="preserve">465.09 </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21301</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农业农村</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 xml:space="preserve">250.62 </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 xml:space="preserve">250.62 </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2130122</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 xml:space="preserve">  农业生产发展</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 xml:space="preserve">228.92 </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 xml:space="preserve">228.92 </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2130126</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 xml:space="preserve">  农村社会事业</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 xml:space="preserve">21.70 </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 xml:space="preserve">21.70 </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21302</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林业和草原</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 xml:space="preserve">34.19 </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 xml:space="preserve">34.19 </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2130205</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 xml:space="preserve">  森林资源培育</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 xml:space="preserve">34.19 </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 xml:space="preserve">34.19 </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21307</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农村综合改革</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 xml:space="preserve">180.28 </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 xml:space="preserve">180.28 </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2130701</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 xml:space="preserve">  对村级一事一议的补助</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 xml:space="preserve">7.61 </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 xml:space="preserve">7.61 </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2130705</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 xml:space="preserve">  对村民委员会和村党支部的补助</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 xml:space="preserve">122.67 </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 xml:space="preserve">122.67 </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2130706</w:t>
            </w:r>
          </w:p>
        </w:tc>
        <w:tc>
          <w:tcPr>
            <w:tcW w:w="1695"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 xml:space="preserve">  对村集体经济组织的补助</w:t>
            </w:r>
          </w:p>
        </w:tc>
        <w:tc>
          <w:tcPr>
            <w:tcW w:w="2329" w:type="dxa"/>
            <w:tcBorders>
              <w:top w:val="nil"/>
              <w:left w:val="nil"/>
              <w:bottom w:val="single" w:color="auto"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 xml:space="preserve">50.00 </w:t>
            </w:r>
          </w:p>
        </w:tc>
        <w:tc>
          <w:tcPr>
            <w:tcW w:w="2329" w:type="dxa"/>
            <w:tcBorders>
              <w:top w:val="nil"/>
              <w:left w:val="nil"/>
              <w:bottom w:val="single" w:color="auto"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p>
        </w:tc>
        <w:tc>
          <w:tcPr>
            <w:tcW w:w="2329" w:type="dxa"/>
            <w:gridSpan w:val="2"/>
            <w:tcBorders>
              <w:top w:val="nil"/>
              <w:left w:val="nil"/>
              <w:bottom w:val="single" w:color="auto"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 xml:space="preserve">50.00 </w:t>
            </w:r>
          </w:p>
        </w:tc>
      </w:tr>
      <w:tr>
        <w:tblPrEx>
          <w:tblCellMar>
            <w:top w:w="0" w:type="dxa"/>
            <w:left w:w="0" w:type="dxa"/>
            <w:bottom w:w="0" w:type="dxa"/>
            <w:right w:w="0" w:type="dxa"/>
          </w:tblCellMar>
        </w:tblPrEx>
        <w:trPr>
          <w:trHeight w:val="308" w:hRule="atLeast"/>
          <w:jc w:val="center"/>
        </w:trPr>
        <w:tc>
          <w:tcPr>
            <w:tcW w:w="1308"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221</w:t>
            </w:r>
          </w:p>
        </w:tc>
        <w:tc>
          <w:tcPr>
            <w:tcW w:w="169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住房保障支出</w:t>
            </w:r>
          </w:p>
        </w:tc>
        <w:tc>
          <w:tcPr>
            <w:tcW w:w="232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 xml:space="preserve">34.04 </w:t>
            </w:r>
          </w:p>
        </w:tc>
        <w:tc>
          <w:tcPr>
            <w:tcW w:w="232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 xml:space="preserve">34.04 </w:t>
            </w:r>
          </w:p>
        </w:tc>
        <w:tc>
          <w:tcPr>
            <w:tcW w:w="2329"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p>
        </w:tc>
      </w:tr>
      <w:tr>
        <w:tblPrEx>
          <w:tblCellMar>
            <w:top w:w="0" w:type="dxa"/>
            <w:left w:w="0" w:type="dxa"/>
            <w:bottom w:w="0" w:type="dxa"/>
            <w:right w:w="0" w:type="dxa"/>
          </w:tblCellMar>
        </w:tblPrEx>
        <w:trPr>
          <w:trHeight w:val="308" w:hRule="atLeast"/>
          <w:jc w:val="center"/>
        </w:trPr>
        <w:tc>
          <w:tcPr>
            <w:tcW w:w="1308"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22102</w:t>
            </w:r>
          </w:p>
        </w:tc>
        <w:tc>
          <w:tcPr>
            <w:tcW w:w="169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住房改革支出</w:t>
            </w:r>
          </w:p>
        </w:tc>
        <w:tc>
          <w:tcPr>
            <w:tcW w:w="232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 xml:space="preserve">34.04 </w:t>
            </w:r>
          </w:p>
        </w:tc>
        <w:tc>
          <w:tcPr>
            <w:tcW w:w="232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 xml:space="preserve">34.04 </w:t>
            </w:r>
          </w:p>
        </w:tc>
        <w:tc>
          <w:tcPr>
            <w:tcW w:w="2329"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p>
        </w:tc>
      </w:tr>
      <w:tr>
        <w:tblPrEx>
          <w:tblCellMar>
            <w:top w:w="0" w:type="dxa"/>
            <w:left w:w="0" w:type="dxa"/>
            <w:bottom w:w="0" w:type="dxa"/>
            <w:right w:w="0" w:type="dxa"/>
          </w:tblCellMar>
        </w:tblPrEx>
        <w:trPr>
          <w:trHeight w:val="308" w:hRule="atLeast"/>
          <w:jc w:val="center"/>
        </w:trPr>
        <w:tc>
          <w:tcPr>
            <w:tcW w:w="1308"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2210201</w:t>
            </w:r>
          </w:p>
        </w:tc>
        <w:tc>
          <w:tcPr>
            <w:tcW w:w="169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 xml:space="preserve">  住房公积金</w:t>
            </w:r>
          </w:p>
        </w:tc>
        <w:tc>
          <w:tcPr>
            <w:tcW w:w="232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 xml:space="preserve">34.04 </w:t>
            </w:r>
          </w:p>
        </w:tc>
        <w:tc>
          <w:tcPr>
            <w:tcW w:w="232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 xml:space="preserve">34.04 </w:t>
            </w:r>
          </w:p>
        </w:tc>
        <w:tc>
          <w:tcPr>
            <w:tcW w:w="2329"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pPr>
              <w:widowControl/>
              <w:jc w:val="center"/>
              <w:textAlignment w:val="center"/>
              <w:rPr>
                <w:rFonts w:hint="eastAsia" w:ascii="宋体" w:hAnsi="宋体" w:eastAsia="宋体" w:cs="宋体"/>
                <w:color w:val="auto"/>
                <w:kern w:val="0"/>
                <w:sz w:val="18"/>
                <w:szCs w:val="18"/>
                <w:lang w:val="en-US" w:eastAsia="zh-CN" w:bidi="ar"/>
              </w:rPr>
            </w:pPr>
          </w:p>
        </w:tc>
      </w:tr>
    </w:tbl>
    <w:p>
      <w:r>
        <w:br w:type="page"/>
      </w:r>
    </w:p>
    <w:p>
      <w:pPr>
        <w:widowControl/>
        <w:jc w:val="center"/>
        <w:textAlignment w:val="center"/>
        <w:rPr>
          <w:rFonts w:ascii="黑体" w:hAnsi="宋体" w:eastAsia="黑体" w:cs="黑体"/>
          <w:color w:val="000000"/>
          <w:kern w:val="0"/>
          <w:sz w:val="28"/>
          <w:szCs w:val="28"/>
          <w:lang w:bidi="ar"/>
        </w:rPr>
        <w:sectPr>
          <w:pgSz w:w="11906" w:h="16838"/>
          <w:pgMar w:top="2098" w:right="1531" w:bottom="1984" w:left="1531" w:header="851" w:footer="992" w:gutter="0"/>
          <w:cols w:space="425" w:num="1"/>
          <w:docGrid w:type="lines" w:linePitch="312" w:charSpace="0"/>
        </w:sectPr>
      </w:pPr>
    </w:p>
    <w:tbl>
      <w:tblPr>
        <w:tblStyle w:val="5"/>
        <w:tblW w:w="14076" w:type="dxa"/>
        <w:jc w:val="center"/>
        <w:tblLayout w:type="fixed"/>
        <w:tblCellMar>
          <w:top w:w="0" w:type="dxa"/>
          <w:left w:w="0" w:type="dxa"/>
          <w:bottom w:w="0" w:type="dxa"/>
          <w:right w:w="0" w:type="dxa"/>
        </w:tblCellMar>
      </w:tblPr>
      <w:tblGrid>
        <w:gridCol w:w="1251"/>
        <w:gridCol w:w="2477"/>
        <w:gridCol w:w="1317"/>
        <w:gridCol w:w="913"/>
        <w:gridCol w:w="2463"/>
        <w:gridCol w:w="966"/>
        <w:gridCol w:w="861"/>
        <w:gridCol w:w="3028"/>
        <w:gridCol w:w="800"/>
      </w:tblGrid>
      <w:tr>
        <w:tblPrEx>
          <w:tblCellMar>
            <w:top w:w="0" w:type="dxa"/>
            <w:left w:w="0" w:type="dxa"/>
            <w:bottom w:w="0" w:type="dxa"/>
            <w:right w:w="0" w:type="dxa"/>
          </w:tblCellMar>
        </w:tblPrEx>
        <w:trPr>
          <w:trHeight w:val="404" w:hRule="atLeast"/>
          <w:jc w:val="center"/>
        </w:trPr>
        <w:tc>
          <w:tcPr>
            <w:tcW w:w="14076" w:type="dxa"/>
            <w:gridSpan w:val="9"/>
            <w:tcBorders>
              <w:top w:val="nil"/>
              <w:left w:val="nil"/>
              <w:bottom w:val="nil"/>
              <w:right w:val="nil"/>
            </w:tcBorders>
            <w:shd w:val="clear" w:color="auto" w:fill="auto"/>
            <w:tcMar>
              <w:top w:w="15" w:type="dxa"/>
              <w:left w:w="15" w:type="dxa"/>
              <w:right w:w="15" w:type="dxa"/>
            </w:tcMar>
            <w:vAlign w:val="center"/>
          </w:tcPr>
          <w:p>
            <w:pPr>
              <w:widowControl/>
              <w:spacing w:line="420" w:lineRule="exact"/>
              <w:jc w:val="center"/>
              <w:textAlignment w:val="center"/>
              <w:rPr>
                <w:rFonts w:ascii="黑体" w:hAnsi="宋体" w:eastAsia="黑体" w:cs="黑体"/>
                <w:color w:val="000000"/>
                <w:sz w:val="32"/>
                <w:szCs w:val="32"/>
              </w:rPr>
            </w:pPr>
            <w:r>
              <w:rPr>
                <w:rFonts w:hint="eastAsia" w:ascii="黑体" w:hAnsi="宋体" w:eastAsia="黑体" w:cs="黑体"/>
                <w:color w:val="000000"/>
                <w:kern w:val="0"/>
                <w:sz w:val="28"/>
                <w:szCs w:val="28"/>
                <w:lang w:bidi="ar"/>
              </w:rPr>
              <w:t>一般公共预算财政拨款基本支出决算表</w:t>
            </w:r>
          </w:p>
        </w:tc>
      </w:tr>
      <w:tr>
        <w:tblPrEx>
          <w:tblCellMar>
            <w:top w:w="0" w:type="dxa"/>
            <w:left w:w="0" w:type="dxa"/>
            <w:bottom w:w="0" w:type="dxa"/>
            <w:right w:w="0" w:type="dxa"/>
          </w:tblCellMar>
        </w:tblPrEx>
        <w:trPr>
          <w:trHeight w:val="66" w:hRule="atLeast"/>
          <w:jc w:val="center"/>
        </w:trPr>
        <w:tc>
          <w:tcPr>
            <w:tcW w:w="1251"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2477"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6"/>
                <w:szCs w:val="16"/>
              </w:rPr>
            </w:pPr>
          </w:p>
        </w:tc>
        <w:tc>
          <w:tcPr>
            <w:tcW w:w="1317"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913"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2463"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6"/>
                <w:szCs w:val="16"/>
              </w:rPr>
            </w:pPr>
          </w:p>
        </w:tc>
        <w:tc>
          <w:tcPr>
            <w:tcW w:w="96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861"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3828" w:type="dxa"/>
            <w:gridSpan w:val="2"/>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6"/>
                <w:szCs w:val="16"/>
              </w:rPr>
            </w:pPr>
            <w:r>
              <w:rPr>
                <w:rFonts w:hint="eastAsia" w:ascii="宋体" w:hAnsi="宋体" w:eastAsia="宋体" w:cs="宋体"/>
                <w:color w:val="000000"/>
                <w:kern w:val="0"/>
                <w:sz w:val="16"/>
                <w:szCs w:val="16"/>
                <w:lang w:bidi="ar"/>
              </w:rPr>
              <w:t>公开06表</w:t>
            </w:r>
          </w:p>
        </w:tc>
      </w:tr>
      <w:tr>
        <w:tblPrEx>
          <w:tblCellMar>
            <w:top w:w="0" w:type="dxa"/>
            <w:left w:w="0" w:type="dxa"/>
            <w:bottom w:w="0" w:type="dxa"/>
            <w:right w:w="0" w:type="dxa"/>
          </w:tblCellMar>
        </w:tblPrEx>
        <w:trPr>
          <w:trHeight w:val="61" w:hRule="atLeast"/>
          <w:jc w:val="center"/>
        </w:trPr>
        <w:tc>
          <w:tcPr>
            <w:tcW w:w="1251"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left"/>
              <w:textAlignment w:val="bottom"/>
              <w:rPr>
                <w:rFonts w:ascii="宋体" w:hAnsi="宋体" w:eastAsia="宋体" w:cs="宋体"/>
                <w:color w:val="000000"/>
                <w:sz w:val="16"/>
                <w:szCs w:val="16"/>
              </w:rPr>
            </w:pPr>
            <w:r>
              <w:rPr>
                <w:rFonts w:hint="eastAsia" w:ascii="宋体" w:hAnsi="宋体" w:eastAsia="宋体" w:cs="宋体"/>
                <w:color w:val="000000"/>
                <w:kern w:val="0"/>
                <w:sz w:val="16"/>
                <w:szCs w:val="16"/>
                <w:lang w:bidi="ar"/>
              </w:rPr>
              <w:t>部门：</w:t>
            </w:r>
          </w:p>
        </w:tc>
        <w:tc>
          <w:tcPr>
            <w:tcW w:w="2477"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6"/>
                <w:szCs w:val="16"/>
              </w:rPr>
            </w:pPr>
          </w:p>
        </w:tc>
        <w:tc>
          <w:tcPr>
            <w:tcW w:w="1317"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913"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2463"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6"/>
                <w:szCs w:val="16"/>
              </w:rPr>
            </w:pPr>
          </w:p>
        </w:tc>
        <w:tc>
          <w:tcPr>
            <w:tcW w:w="96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861"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3828" w:type="dxa"/>
            <w:gridSpan w:val="2"/>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6"/>
                <w:szCs w:val="16"/>
              </w:rPr>
            </w:pPr>
            <w:r>
              <w:rPr>
                <w:rFonts w:hint="eastAsia" w:ascii="宋体" w:hAnsi="宋体" w:eastAsia="宋体" w:cs="宋体"/>
                <w:color w:val="000000"/>
                <w:kern w:val="0"/>
                <w:sz w:val="16"/>
                <w:szCs w:val="16"/>
                <w:lang w:bidi="ar"/>
              </w:rPr>
              <w:t>金额单位：万元</w:t>
            </w:r>
          </w:p>
        </w:tc>
      </w:tr>
      <w:tr>
        <w:tblPrEx>
          <w:tblCellMar>
            <w:top w:w="0" w:type="dxa"/>
            <w:left w:w="0" w:type="dxa"/>
            <w:bottom w:w="0" w:type="dxa"/>
            <w:right w:w="0" w:type="dxa"/>
          </w:tblCellMar>
        </w:tblPrEx>
        <w:trPr>
          <w:trHeight w:val="242" w:hRule="atLeast"/>
          <w:jc w:val="center"/>
        </w:trPr>
        <w:tc>
          <w:tcPr>
            <w:tcW w:w="5045"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人员经费</w:t>
            </w:r>
          </w:p>
        </w:tc>
        <w:tc>
          <w:tcPr>
            <w:tcW w:w="9031" w:type="dxa"/>
            <w:gridSpan w:val="6"/>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公用经费</w:t>
            </w:r>
          </w:p>
        </w:tc>
      </w:tr>
      <w:tr>
        <w:tblPrEx>
          <w:tblCellMar>
            <w:top w:w="0" w:type="dxa"/>
            <w:left w:w="0" w:type="dxa"/>
            <w:bottom w:w="0" w:type="dxa"/>
            <w:right w:w="0" w:type="dxa"/>
          </w:tblCellMar>
        </w:tblPrEx>
        <w:trPr>
          <w:trHeight w:val="240" w:hRule="atLeast"/>
          <w:jc w:val="center"/>
        </w:trPr>
        <w:tc>
          <w:tcPr>
            <w:tcW w:w="1251"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科目编码</w:t>
            </w:r>
          </w:p>
        </w:tc>
        <w:tc>
          <w:tcPr>
            <w:tcW w:w="247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科目名称</w:t>
            </w:r>
          </w:p>
        </w:tc>
        <w:tc>
          <w:tcPr>
            <w:tcW w:w="131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决算数</w:t>
            </w:r>
          </w:p>
        </w:tc>
        <w:tc>
          <w:tcPr>
            <w:tcW w:w="91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科目编码</w:t>
            </w:r>
          </w:p>
        </w:tc>
        <w:tc>
          <w:tcPr>
            <w:tcW w:w="246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科目名称</w:t>
            </w:r>
          </w:p>
        </w:tc>
        <w:tc>
          <w:tcPr>
            <w:tcW w:w="966"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决算数</w:t>
            </w:r>
          </w:p>
        </w:tc>
        <w:tc>
          <w:tcPr>
            <w:tcW w:w="861"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科目编码</w:t>
            </w:r>
          </w:p>
        </w:tc>
        <w:tc>
          <w:tcPr>
            <w:tcW w:w="3028"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科目名称</w:t>
            </w:r>
          </w:p>
        </w:tc>
        <w:tc>
          <w:tcPr>
            <w:tcW w:w="80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决算数</w:t>
            </w:r>
          </w:p>
        </w:tc>
      </w:tr>
      <w:tr>
        <w:tblPrEx>
          <w:tblCellMar>
            <w:top w:w="0" w:type="dxa"/>
            <w:left w:w="0" w:type="dxa"/>
            <w:bottom w:w="0" w:type="dxa"/>
            <w:right w:w="0" w:type="dxa"/>
          </w:tblCellMar>
        </w:tblPrEx>
        <w:trPr>
          <w:trHeight w:val="312" w:hRule="atLeast"/>
          <w:jc w:val="center"/>
        </w:trPr>
        <w:tc>
          <w:tcPr>
            <w:tcW w:w="1251"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247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131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91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246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96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86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3028"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80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301</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工资福利支出</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eastAsia="zh-CN"/>
              </w:rPr>
            </w:pPr>
            <w:r>
              <w:rPr>
                <w:rFonts w:hint="default" w:ascii="Arial" w:hAnsi="Arial" w:eastAsia="宋体" w:cs="Arial"/>
                <w:i w:val="0"/>
                <w:iCs w:val="0"/>
                <w:color w:val="000000"/>
                <w:kern w:val="0"/>
                <w:sz w:val="20"/>
                <w:szCs w:val="20"/>
                <w:u w:val="none"/>
                <w:lang w:val="en-US" w:eastAsia="zh-CN" w:bidi="ar"/>
              </w:rPr>
              <w:t xml:space="preserve">637.12 </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302</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商品和服务支出</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default" w:ascii="宋体" w:hAnsi="宋体" w:eastAsia="宋体" w:cs="宋体"/>
                <w:color w:val="000000"/>
                <w:sz w:val="16"/>
                <w:szCs w:val="16"/>
                <w:lang w:val="en-US" w:eastAsia="zh-CN"/>
              </w:rPr>
            </w:pPr>
            <w:r>
              <w:rPr>
                <w:rFonts w:hint="default" w:ascii="Arial" w:hAnsi="Arial" w:eastAsia="宋体" w:cs="Arial"/>
                <w:i w:val="0"/>
                <w:iCs w:val="0"/>
                <w:color w:val="000000"/>
                <w:kern w:val="0"/>
                <w:sz w:val="20"/>
                <w:szCs w:val="20"/>
                <w:u w:val="none"/>
                <w:lang w:val="en-US" w:eastAsia="zh-CN" w:bidi="ar"/>
              </w:rPr>
              <w:t xml:space="preserve">104.77 </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307</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债务利息及费用支出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30101</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基本工资</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eastAsia="zh-CN"/>
              </w:rPr>
            </w:pPr>
            <w:r>
              <w:rPr>
                <w:rFonts w:hint="default" w:ascii="Arial" w:hAnsi="Arial" w:eastAsia="宋体" w:cs="Arial"/>
                <w:i w:val="0"/>
                <w:iCs w:val="0"/>
                <w:color w:val="000000"/>
                <w:kern w:val="0"/>
                <w:sz w:val="20"/>
                <w:szCs w:val="20"/>
                <w:u w:val="none"/>
                <w:lang w:val="en-US" w:eastAsia="zh-CN" w:bidi="ar"/>
              </w:rPr>
              <w:t xml:space="preserve">269.45 </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30201</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办公费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eastAsia="zh-CN"/>
              </w:rPr>
            </w:pPr>
            <w:r>
              <w:rPr>
                <w:rFonts w:hint="default" w:ascii="Arial" w:hAnsi="Arial" w:eastAsia="宋体" w:cs="Arial"/>
                <w:i w:val="0"/>
                <w:iCs w:val="0"/>
                <w:color w:val="000000"/>
                <w:kern w:val="0"/>
                <w:sz w:val="20"/>
                <w:szCs w:val="20"/>
                <w:u w:val="none"/>
                <w:lang w:val="en-US" w:eastAsia="zh-CN" w:bidi="ar"/>
              </w:rPr>
              <w:t xml:space="preserve">36.93 </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30701</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国内债务付息</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30102</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津贴补贴</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eastAsia="zh-CN"/>
              </w:rPr>
            </w:pPr>
            <w:r>
              <w:rPr>
                <w:rFonts w:hint="default" w:ascii="Arial" w:hAnsi="Arial" w:eastAsia="宋体" w:cs="Arial"/>
                <w:i w:val="0"/>
                <w:iCs w:val="0"/>
                <w:color w:val="000000"/>
                <w:kern w:val="0"/>
                <w:sz w:val="20"/>
                <w:szCs w:val="20"/>
                <w:u w:val="none"/>
                <w:lang w:val="en-US" w:eastAsia="zh-CN" w:bidi="ar"/>
              </w:rPr>
              <w:t xml:space="preserve">43.39 </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30202</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印刷费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eastAsia="zh-CN"/>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30702</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国外债务付息</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30103</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奖金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eastAsia="zh-CN"/>
              </w:rPr>
            </w:pPr>
            <w:r>
              <w:rPr>
                <w:rFonts w:hint="default" w:ascii="Arial" w:hAnsi="Arial" w:eastAsia="宋体" w:cs="Arial"/>
                <w:i w:val="0"/>
                <w:iCs w:val="0"/>
                <w:color w:val="000000"/>
                <w:kern w:val="0"/>
                <w:sz w:val="20"/>
                <w:szCs w:val="20"/>
                <w:u w:val="none"/>
                <w:lang w:val="en-US" w:eastAsia="zh-CN" w:bidi="ar"/>
              </w:rPr>
              <w:t xml:space="preserve">16.77 </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30203</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咨询费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eastAsia="zh-CN"/>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310</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资本性支出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30106</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伙食补助费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eastAsia="zh-CN"/>
              </w:rPr>
            </w:pPr>
            <w:r>
              <w:rPr>
                <w:rFonts w:hint="default" w:ascii="Arial" w:hAnsi="Arial" w:eastAsia="宋体" w:cs="Arial"/>
                <w:i w:val="0"/>
                <w:iCs w:val="0"/>
                <w:color w:val="000000"/>
                <w:kern w:val="0"/>
                <w:sz w:val="20"/>
                <w:szCs w:val="20"/>
                <w:u w:val="none"/>
                <w:lang w:val="en-US" w:eastAsia="zh-CN" w:bidi="ar"/>
              </w:rPr>
              <w:t xml:space="preserve"> </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30204</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手续费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eastAsia="zh-CN"/>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31001</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房屋建筑物购建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30107</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绩效工资</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eastAsia="zh-CN"/>
              </w:rPr>
            </w:pPr>
            <w:r>
              <w:rPr>
                <w:rFonts w:hint="default" w:ascii="Arial" w:hAnsi="Arial" w:eastAsia="宋体" w:cs="Arial"/>
                <w:i w:val="0"/>
                <w:iCs w:val="0"/>
                <w:color w:val="000000"/>
                <w:kern w:val="0"/>
                <w:sz w:val="20"/>
                <w:szCs w:val="20"/>
                <w:u w:val="none"/>
                <w:lang w:val="en-US" w:eastAsia="zh-CN" w:bidi="ar"/>
              </w:rPr>
              <w:t xml:space="preserve">79.44 </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30205</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水费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eastAsia="zh-CN"/>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31002</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办公设备购置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30108</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机关事业单位基本养老保险缴费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eastAsia="zh-CN"/>
              </w:rPr>
            </w:pPr>
            <w:r>
              <w:rPr>
                <w:rFonts w:hint="default" w:ascii="Arial" w:hAnsi="Arial" w:eastAsia="宋体" w:cs="Arial"/>
                <w:i w:val="0"/>
                <w:iCs w:val="0"/>
                <w:color w:val="000000"/>
                <w:kern w:val="0"/>
                <w:sz w:val="20"/>
                <w:szCs w:val="20"/>
                <w:u w:val="none"/>
                <w:lang w:val="en-US" w:eastAsia="zh-CN" w:bidi="ar"/>
              </w:rPr>
              <w:t xml:space="preserve">63.69 </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30206</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电费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eastAsia="zh-CN"/>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31003</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专用设备购置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30109</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职业年金缴费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eastAsia="zh-CN"/>
              </w:rPr>
            </w:pPr>
            <w:r>
              <w:rPr>
                <w:rFonts w:hint="default" w:ascii="Arial" w:hAnsi="Arial" w:eastAsia="宋体" w:cs="Arial"/>
                <w:i w:val="0"/>
                <w:iCs w:val="0"/>
                <w:color w:val="000000"/>
                <w:kern w:val="0"/>
                <w:sz w:val="20"/>
                <w:szCs w:val="20"/>
                <w:u w:val="none"/>
                <w:lang w:val="en-US" w:eastAsia="zh-CN" w:bidi="ar"/>
              </w:rPr>
              <w:t xml:space="preserve">10.55 </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30207</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邮电费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eastAsia="zh-CN"/>
              </w:rPr>
            </w:pPr>
            <w:r>
              <w:rPr>
                <w:rFonts w:hint="default" w:ascii="Arial" w:hAnsi="Arial" w:eastAsia="宋体" w:cs="Arial"/>
                <w:i w:val="0"/>
                <w:iCs w:val="0"/>
                <w:color w:val="000000"/>
                <w:kern w:val="0"/>
                <w:sz w:val="20"/>
                <w:szCs w:val="20"/>
                <w:u w:val="none"/>
                <w:lang w:val="en-US" w:eastAsia="zh-CN" w:bidi="ar"/>
              </w:rPr>
              <w:t xml:space="preserve">11.94 </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31005</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基础设施建设</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30110</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职工基本医疗保险缴费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eastAsia="zh-CN"/>
              </w:rPr>
            </w:pPr>
            <w:r>
              <w:rPr>
                <w:rFonts w:hint="default" w:ascii="Arial" w:hAnsi="Arial" w:eastAsia="宋体" w:cs="Arial"/>
                <w:i w:val="0"/>
                <w:iCs w:val="0"/>
                <w:color w:val="000000"/>
                <w:kern w:val="0"/>
                <w:sz w:val="20"/>
                <w:szCs w:val="20"/>
                <w:u w:val="none"/>
                <w:lang w:val="en-US" w:eastAsia="zh-CN" w:bidi="ar"/>
              </w:rPr>
              <w:t xml:space="preserve">22.56 </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30208</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取暖费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eastAsia="zh-CN"/>
              </w:rPr>
            </w:pPr>
            <w:r>
              <w:rPr>
                <w:rFonts w:hint="default" w:ascii="Arial" w:hAnsi="Arial" w:eastAsia="宋体" w:cs="Arial"/>
                <w:i w:val="0"/>
                <w:iCs w:val="0"/>
                <w:color w:val="000000"/>
                <w:kern w:val="0"/>
                <w:sz w:val="20"/>
                <w:szCs w:val="20"/>
                <w:u w:val="none"/>
                <w:lang w:val="en-US" w:eastAsia="zh-CN" w:bidi="ar"/>
              </w:rPr>
              <w:t xml:space="preserve">9.00 </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31006</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大型修缮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30111</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公务员医疗补助缴费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eastAsia="zh-CN"/>
              </w:rPr>
            </w:pPr>
            <w:r>
              <w:rPr>
                <w:rFonts w:hint="default" w:ascii="Arial" w:hAnsi="Arial" w:eastAsia="宋体" w:cs="Arial"/>
                <w:i w:val="0"/>
                <w:iCs w:val="0"/>
                <w:color w:val="000000"/>
                <w:kern w:val="0"/>
                <w:sz w:val="20"/>
                <w:szCs w:val="20"/>
                <w:u w:val="none"/>
                <w:lang w:val="en-US" w:eastAsia="zh-CN" w:bidi="ar"/>
              </w:rPr>
              <w:t xml:space="preserve"> </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30209</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物业管理费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eastAsia="zh-CN"/>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31007</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信息网络及软件购置更新</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30112</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其他社会保障缴费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eastAsia="zh-CN"/>
              </w:rPr>
            </w:pPr>
            <w:r>
              <w:rPr>
                <w:rFonts w:hint="default" w:ascii="Arial" w:hAnsi="Arial" w:eastAsia="宋体" w:cs="Arial"/>
                <w:i w:val="0"/>
                <w:iCs w:val="0"/>
                <w:color w:val="000000"/>
                <w:kern w:val="0"/>
                <w:sz w:val="20"/>
                <w:szCs w:val="20"/>
                <w:u w:val="none"/>
                <w:lang w:val="en-US" w:eastAsia="zh-CN" w:bidi="ar"/>
              </w:rPr>
              <w:t xml:space="preserve">2.10 </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30211</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差旅费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eastAsia="zh-CN"/>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31008</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物资储备</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30113</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住房公积金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eastAsia="zh-CN"/>
              </w:rPr>
            </w:pPr>
            <w:r>
              <w:rPr>
                <w:rFonts w:hint="default" w:ascii="Arial" w:hAnsi="Arial" w:eastAsia="宋体" w:cs="Arial"/>
                <w:i w:val="0"/>
                <w:iCs w:val="0"/>
                <w:color w:val="000000"/>
                <w:kern w:val="0"/>
                <w:sz w:val="20"/>
                <w:szCs w:val="20"/>
                <w:u w:val="none"/>
                <w:lang w:val="en-US" w:eastAsia="zh-CN" w:bidi="ar"/>
              </w:rPr>
              <w:t xml:space="preserve">34.04 </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30212</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因公出国（境）费用</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eastAsia="zh-CN"/>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31009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土地补偿</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30114</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医疗费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eastAsia="zh-CN"/>
              </w:rPr>
            </w:pPr>
            <w:r>
              <w:rPr>
                <w:rFonts w:hint="default" w:ascii="Arial" w:hAnsi="Arial" w:eastAsia="宋体" w:cs="Arial"/>
                <w:i w:val="0"/>
                <w:iCs w:val="0"/>
                <w:color w:val="000000"/>
                <w:kern w:val="0"/>
                <w:sz w:val="20"/>
                <w:szCs w:val="20"/>
                <w:u w:val="none"/>
                <w:lang w:val="en-US" w:eastAsia="zh-CN" w:bidi="ar"/>
              </w:rPr>
              <w:t xml:space="preserve"> </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30213</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维修（护）费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eastAsia="zh-CN"/>
              </w:rPr>
            </w:pPr>
            <w:r>
              <w:rPr>
                <w:rFonts w:hint="default" w:ascii="Arial" w:hAnsi="Arial" w:eastAsia="宋体" w:cs="Arial"/>
                <w:i w:val="0"/>
                <w:iCs w:val="0"/>
                <w:color w:val="000000"/>
                <w:kern w:val="0"/>
                <w:sz w:val="20"/>
                <w:szCs w:val="20"/>
                <w:u w:val="none"/>
                <w:lang w:val="en-US" w:eastAsia="zh-CN" w:bidi="ar"/>
              </w:rPr>
              <w:t xml:space="preserve">9.00 </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31010</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安置补助</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30199</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其他工资福利支出</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eastAsia="zh-CN"/>
              </w:rPr>
            </w:pPr>
            <w:r>
              <w:rPr>
                <w:rFonts w:hint="default" w:ascii="Arial" w:hAnsi="Arial" w:eastAsia="宋体" w:cs="Arial"/>
                <w:i w:val="0"/>
                <w:iCs w:val="0"/>
                <w:color w:val="000000"/>
                <w:kern w:val="0"/>
                <w:sz w:val="20"/>
                <w:szCs w:val="20"/>
                <w:u w:val="none"/>
                <w:lang w:val="en-US" w:eastAsia="zh-CN" w:bidi="ar"/>
              </w:rPr>
              <w:t xml:space="preserve">95.12 </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30214</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租赁费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eastAsia="zh-CN"/>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31011</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地上附着物和青苗补偿</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303</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对个人和家庭的补助</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eastAsia="zh-CN"/>
              </w:rPr>
            </w:pPr>
            <w:r>
              <w:rPr>
                <w:rFonts w:hint="default" w:ascii="Arial" w:hAnsi="Arial" w:eastAsia="宋体" w:cs="Arial"/>
                <w:i w:val="0"/>
                <w:iCs w:val="0"/>
                <w:color w:val="000000"/>
                <w:kern w:val="0"/>
                <w:sz w:val="20"/>
                <w:szCs w:val="20"/>
                <w:u w:val="none"/>
                <w:lang w:val="en-US" w:eastAsia="zh-CN" w:bidi="ar"/>
              </w:rPr>
              <w:t xml:space="preserve">28.24 </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30215</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会议费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eastAsia="zh-CN"/>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31012</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拆迁补偿</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30301</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离休费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eastAsia="zh-CN"/>
              </w:rPr>
            </w:pPr>
            <w:r>
              <w:rPr>
                <w:rFonts w:hint="default" w:ascii="Arial" w:hAnsi="Arial" w:eastAsia="宋体" w:cs="Arial"/>
                <w:i w:val="0"/>
                <w:iCs w:val="0"/>
                <w:color w:val="000000"/>
                <w:kern w:val="0"/>
                <w:sz w:val="20"/>
                <w:szCs w:val="20"/>
                <w:u w:val="none"/>
                <w:lang w:val="en-US" w:eastAsia="zh-CN" w:bidi="ar"/>
              </w:rPr>
              <w:t xml:space="preserve"> </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30216</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培训费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eastAsia="zh-CN"/>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31013</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公务用车购置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30302</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退休费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eastAsia="zh-CN"/>
              </w:rPr>
            </w:pPr>
            <w:r>
              <w:rPr>
                <w:rFonts w:hint="default" w:ascii="Arial" w:hAnsi="Arial" w:eastAsia="宋体" w:cs="Arial"/>
                <w:i w:val="0"/>
                <w:iCs w:val="0"/>
                <w:color w:val="000000"/>
                <w:kern w:val="0"/>
                <w:sz w:val="20"/>
                <w:szCs w:val="20"/>
                <w:u w:val="none"/>
                <w:lang w:val="en-US" w:eastAsia="zh-CN" w:bidi="ar"/>
              </w:rPr>
              <w:t xml:space="preserve">3.06 </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30217</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公务接待费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eastAsia="zh-CN"/>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31019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其他交通工具购置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30303</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退职（役）费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eastAsia="zh-CN"/>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30218</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专用材料费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eastAsia="zh-CN"/>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31021</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文物和陈列品购置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30304</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抚恤金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eastAsia="zh-CN"/>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30224</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被装购置费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eastAsia="zh-CN"/>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31022</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无形资产购置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30305</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生活补助</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eastAsia="zh-CN"/>
              </w:rPr>
            </w:pPr>
            <w:r>
              <w:rPr>
                <w:rFonts w:hint="default" w:ascii="Arial" w:hAnsi="Arial" w:eastAsia="宋体" w:cs="Arial"/>
                <w:i w:val="0"/>
                <w:iCs w:val="0"/>
                <w:color w:val="000000"/>
                <w:kern w:val="0"/>
                <w:sz w:val="20"/>
                <w:szCs w:val="20"/>
                <w:u w:val="none"/>
                <w:lang w:val="en-US" w:eastAsia="zh-CN" w:bidi="ar"/>
              </w:rPr>
              <w:t xml:space="preserve">24.18 </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30225</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专用燃料费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eastAsia="zh-CN"/>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31099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其他资本性支出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30306</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救济费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eastAsia="zh-CN"/>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30226</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劳务费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eastAsia="zh-CN"/>
              </w:rPr>
            </w:pPr>
            <w:r>
              <w:rPr>
                <w:rFonts w:hint="default" w:ascii="Arial" w:hAnsi="Arial" w:eastAsia="宋体" w:cs="Arial"/>
                <w:i w:val="0"/>
                <w:iCs w:val="0"/>
                <w:color w:val="000000"/>
                <w:kern w:val="0"/>
                <w:sz w:val="20"/>
                <w:szCs w:val="20"/>
                <w:u w:val="none"/>
                <w:lang w:val="en-US" w:eastAsia="zh-CN" w:bidi="ar"/>
              </w:rPr>
              <w:t xml:space="preserve">11.31 </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399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其他支出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30307</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医疗费补助</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eastAsia="zh-CN"/>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30227</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委托业务费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eastAsia="zh-CN"/>
              </w:rPr>
            </w:pPr>
            <w:r>
              <w:rPr>
                <w:rFonts w:hint="default" w:ascii="Arial" w:hAnsi="Arial" w:eastAsia="宋体" w:cs="Arial"/>
                <w:i w:val="0"/>
                <w:iCs w:val="0"/>
                <w:color w:val="000000"/>
                <w:kern w:val="0"/>
                <w:sz w:val="20"/>
                <w:szCs w:val="20"/>
                <w:u w:val="none"/>
                <w:lang w:val="en-US" w:eastAsia="zh-CN" w:bidi="ar"/>
              </w:rPr>
              <w:t xml:space="preserve">2.24 </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39906</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赠与</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30308</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助学金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eastAsia="zh-CN"/>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30228</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工会经费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eastAsia="zh-CN"/>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39907</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国家赔偿费用支出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30309</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奖励金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eastAsia="zh-CN"/>
              </w:rPr>
            </w:pPr>
            <w:r>
              <w:rPr>
                <w:rFonts w:hint="default" w:ascii="Arial" w:hAnsi="Arial" w:eastAsia="宋体" w:cs="Arial"/>
                <w:i w:val="0"/>
                <w:iCs w:val="0"/>
                <w:color w:val="000000"/>
                <w:kern w:val="0"/>
                <w:sz w:val="20"/>
                <w:szCs w:val="20"/>
                <w:u w:val="none"/>
                <w:lang w:val="en-US" w:eastAsia="zh-CN" w:bidi="ar"/>
              </w:rPr>
              <w:t xml:space="preserve">1.00 </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30229</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福利费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eastAsia="zh-CN"/>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39908</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对民间非营利组织和群众性自治组织补贴</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30310</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个人农业生产补贴</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eastAsia="zh-CN"/>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30231</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公务用车运行维护费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eastAsia="zh-CN"/>
              </w:rPr>
            </w:pPr>
            <w:r>
              <w:rPr>
                <w:rFonts w:hint="default" w:ascii="Arial" w:hAnsi="Arial" w:eastAsia="宋体" w:cs="Arial"/>
                <w:i w:val="0"/>
                <w:iCs w:val="0"/>
                <w:color w:val="000000"/>
                <w:kern w:val="0"/>
                <w:sz w:val="20"/>
                <w:szCs w:val="20"/>
                <w:u w:val="none"/>
                <w:lang w:val="en-US" w:eastAsia="zh-CN" w:bidi="ar"/>
              </w:rPr>
              <w:t xml:space="preserve">6.00 </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39999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其他支出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30311</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代缴社会保险费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eastAsia="zh-CN"/>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30239</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其他交通费用</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eastAsia="zh-CN"/>
              </w:rPr>
            </w:pPr>
            <w:r>
              <w:rPr>
                <w:rFonts w:hint="default" w:ascii="Arial" w:hAnsi="Arial" w:eastAsia="宋体" w:cs="Arial"/>
                <w:i w:val="0"/>
                <w:iCs w:val="0"/>
                <w:color w:val="000000"/>
                <w:kern w:val="0"/>
                <w:sz w:val="20"/>
                <w:szCs w:val="20"/>
                <w:u w:val="none"/>
                <w:lang w:val="en-US" w:eastAsia="zh-CN" w:bidi="ar"/>
              </w:rPr>
              <w:t xml:space="preserve">13.46 </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6"/>
                <w:szCs w:val="16"/>
              </w:rPr>
            </w:pP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16"/>
                <w:szCs w:val="16"/>
              </w:rPr>
            </w:pP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30399</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其他对个人和家庭的补助</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eastAsia="zh-CN"/>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30240</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税金及附加费用</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eastAsia="zh-CN"/>
              </w:rPr>
            </w:pPr>
            <w:r>
              <w:rPr>
                <w:rFonts w:hint="default" w:ascii="Arial" w:hAnsi="Arial" w:eastAsia="宋体" w:cs="Arial"/>
                <w:i w:val="0"/>
                <w:iCs w:val="0"/>
                <w:color w:val="000000"/>
                <w:kern w:val="0"/>
                <w:sz w:val="20"/>
                <w:szCs w:val="20"/>
                <w:u w:val="none"/>
                <w:lang w:val="en-US" w:eastAsia="zh-CN" w:bidi="ar"/>
              </w:rPr>
              <w:t xml:space="preserve"> </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6"/>
                <w:szCs w:val="16"/>
              </w:rPr>
            </w:pP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16"/>
                <w:szCs w:val="16"/>
              </w:rPr>
            </w:pP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6"/>
                <w:szCs w:val="16"/>
              </w:rPr>
            </w:pPr>
          </w:p>
        </w:tc>
        <w:tc>
          <w:tcPr>
            <w:tcW w:w="2477"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16"/>
                <w:szCs w:val="16"/>
              </w:rPr>
            </w:pPr>
          </w:p>
        </w:tc>
        <w:tc>
          <w:tcPr>
            <w:tcW w:w="1317"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16"/>
                <w:szCs w:val="16"/>
                <w:lang w:val="en-US" w:eastAsia="zh-CN"/>
              </w:rPr>
            </w:pPr>
          </w:p>
        </w:tc>
        <w:tc>
          <w:tcPr>
            <w:tcW w:w="913"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30299</w:t>
            </w:r>
          </w:p>
        </w:tc>
        <w:tc>
          <w:tcPr>
            <w:tcW w:w="2463"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 xml:space="preserve">  其他商品和服务支出</w:t>
            </w:r>
          </w:p>
        </w:tc>
        <w:tc>
          <w:tcPr>
            <w:tcW w:w="966" w:type="dxa"/>
            <w:tcBorders>
              <w:top w:val="nil"/>
              <w:left w:val="nil"/>
              <w:bottom w:val="single" w:color="auto"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eastAsia="zh-CN"/>
              </w:rPr>
            </w:pPr>
            <w:r>
              <w:rPr>
                <w:rFonts w:hint="default" w:ascii="Arial" w:hAnsi="Arial" w:eastAsia="宋体" w:cs="Arial"/>
                <w:i w:val="0"/>
                <w:iCs w:val="0"/>
                <w:color w:val="000000"/>
                <w:kern w:val="0"/>
                <w:sz w:val="20"/>
                <w:szCs w:val="20"/>
                <w:u w:val="none"/>
                <w:lang w:val="en-US" w:eastAsia="zh-CN" w:bidi="ar"/>
              </w:rPr>
              <w:t xml:space="preserve">4.89 </w:t>
            </w:r>
          </w:p>
        </w:tc>
        <w:tc>
          <w:tcPr>
            <w:tcW w:w="861"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6"/>
                <w:szCs w:val="16"/>
              </w:rPr>
            </w:pPr>
          </w:p>
        </w:tc>
        <w:tc>
          <w:tcPr>
            <w:tcW w:w="3028"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16"/>
                <w:szCs w:val="16"/>
              </w:rPr>
            </w:pPr>
          </w:p>
        </w:tc>
        <w:tc>
          <w:tcPr>
            <w:tcW w:w="800"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3728"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人员经费合计</w:t>
            </w:r>
          </w:p>
        </w:tc>
        <w:tc>
          <w:tcPr>
            <w:tcW w:w="131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sz w:val="16"/>
                <w:szCs w:val="16"/>
                <w:lang w:val="en-US" w:eastAsia="zh-CN"/>
              </w:rPr>
            </w:pPr>
            <w:r>
              <w:rPr>
                <w:rFonts w:hint="eastAsia" w:ascii="宋体" w:hAnsi="宋体" w:eastAsia="宋体" w:cs="宋体"/>
                <w:i w:val="0"/>
                <w:iCs w:val="0"/>
                <w:color w:val="000000"/>
                <w:kern w:val="0"/>
                <w:sz w:val="22"/>
                <w:szCs w:val="22"/>
                <w:u w:val="none"/>
                <w:lang w:val="en-US" w:eastAsia="zh-CN" w:bidi="ar"/>
              </w:rPr>
              <w:t>665.36</w:t>
            </w:r>
          </w:p>
        </w:tc>
        <w:tc>
          <w:tcPr>
            <w:tcW w:w="8231" w:type="dxa"/>
            <w:gridSpan w:val="5"/>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公用经费合计</w:t>
            </w:r>
          </w:p>
        </w:tc>
        <w:tc>
          <w:tcPr>
            <w:tcW w:w="80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color w:val="000000"/>
                <w:sz w:val="16"/>
                <w:szCs w:val="16"/>
                <w:lang w:val="en-US" w:eastAsia="zh-CN"/>
              </w:rPr>
            </w:pPr>
            <w:r>
              <w:rPr>
                <w:rFonts w:hint="eastAsia"/>
              </w:rPr>
              <w:t>104.77</w:t>
            </w:r>
          </w:p>
        </w:tc>
      </w:tr>
    </w:tbl>
    <w:p>
      <w:pPr>
        <w:widowControl/>
        <w:jc w:val="center"/>
        <w:textAlignment w:val="center"/>
        <w:sectPr>
          <w:pgSz w:w="16838" w:h="11906" w:orient="landscape"/>
          <w:pgMar w:top="1531" w:right="2098" w:bottom="1531" w:left="1984" w:header="851" w:footer="992" w:gutter="0"/>
          <w:cols w:space="425" w:num="1"/>
          <w:docGrid w:type="lines" w:linePitch="312" w:charSpace="0"/>
        </w:sectPr>
      </w:pPr>
    </w:p>
    <w:tbl>
      <w:tblPr>
        <w:tblStyle w:val="5"/>
        <w:tblW w:w="9220" w:type="dxa"/>
        <w:jc w:val="center"/>
        <w:tblLayout w:type="fixed"/>
        <w:tblCellMar>
          <w:top w:w="0" w:type="dxa"/>
          <w:left w:w="0" w:type="dxa"/>
          <w:bottom w:w="0" w:type="dxa"/>
          <w:right w:w="0" w:type="dxa"/>
        </w:tblCellMar>
      </w:tblPr>
      <w:tblGrid>
        <w:gridCol w:w="1267"/>
        <w:gridCol w:w="1686"/>
        <w:gridCol w:w="1565"/>
        <w:gridCol w:w="1565"/>
        <w:gridCol w:w="1565"/>
        <w:gridCol w:w="1572"/>
      </w:tblGrid>
      <w:tr>
        <w:tblPrEx>
          <w:tblCellMar>
            <w:top w:w="0" w:type="dxa"/>
            <w:left w:w="0" w:type="dxa"/>
            <w:bottom w:w="0" w:type="dxa"/>
            <w:right w:w="0" w:type="dxa"/>
          </w:tblCellMar>
        </w:tblPrEx>
        <w:trPr>
          <w:trHeight w:val="638" w:hRule="atLeast"/>
          <w:jc w:val="center"/>
        </w:trPr>
        <w:tc>
          <w:tcPr>
            <w:tcW w:w="9220" w:type="dxa"/>
            <w:gridSpan w:val="6"/>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黑体" w:hAnsi="宋体" w:eastAsia="黑体" w:cs="黑体"/>
                <w:color w:val="000000"/>
                <w:sz w:val="28"/>
                <w:szCs w:val="28"/>
              </w:rPr>
            </w:pPr>
            <w:r>
              <w:rPr>
                <w:sz w:val="28"/>
                <w:szCs w:val="28"/>
              </w:rPr>
              <w:br w:type="page"/>
            </w:r>
            <w:r>
              <w:rPr>
                <w:rFonts w:hint="eastAsia" w:ascii="黑体" w:hAnsi="宋体" w:eastAsia="黑体" w:cs="黑体"/>
                <w:color w:val="000000"/>
                <w:kern w:val="0"/>
                <w:sz w:val="28"/>
                <w:szCs w:val="28"/>
                <w:lang w:bidi="ar"/>
              </w:rPr>
              <w:t>一般公共预算财政拨款“三公”经费支出决算表</w:t>
            </w:r>
          </w:p>
        </w:tc>
      </w:tr>
      <w:tr>
        <w:tblPrEx>
          <w:tblCellMar>
            <w:top w:w="0" w:type="dxa"/>
            <w:left w:w="0" w:type="dxa"/>
            <w:bottom w:w="0" w:type="dxa"/>
            <w:right w:w="0" w:type="dxa"/>
          </w:tblCellMar>
        </w:tblPrEx>
        <w:trPr>
          <w:trHeight w:val="360" w:hRule="atLeast"/>
          <w:jc w:val="center"/>
        </w:trPr>
        <w:tc>
          <w:tcPr>
            <w:tcW w:w="1267"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68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72"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公开07表</w:t>
            </w:r>
          </w:p>
        </w:tc>
      </w:tr>
      <w:tr>
        <w:tblPrEx>
          <w:tblCellMar>
            <w:top w:w="0" w:type="dxa"/>
            <w:left w:w="0" w:type="dxa"/>
            <w:bottom w:w="0" w:type="dxa"/>
            <w:right w:w="0" w:type="dxa"/>
          </w:tblCellMar>
        </w:tblPrEx>
        <w:trPr>
          <w:trHeight w:val="360" w:hRule="atLeast"/>
          <w:jc w:val="center"/>
        </w:trPr>
        <w:tc>
          <w:tcPr>
            <w:tcW w:w="1267"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部门：</w:t>
            </w:r>
          </w:p>
        </w:tc>
        <w:tc>
          <w:tcPr>
            <w:tcW w:w="168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72"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金额单位：万元</w:t>
            </w:r>
          </w:p>
        </w:tc>
      </w:tr>
      <w:tr>
        <w:tblPrEx>
          <w:tblCellMar>
            <w:top w:w="0" w:type="dxa"/>
            <w:left w:w="0" w:type="dxa"/>
            <w:bottom w:w="0" w:type="dxa"/>
            <w:right w:w="0" w:type="dxa"/>
          </w:tblCellMar>
        </w:tblPrEx>
        <w:trPr>
          <w:trHeight w:val="417" w:hRule="atLeast"/>
          <w:jc w:val="center"/>
        </w:trPr>
        <w:tc>
          <w:tcPr>
            <w:tcW w:w="9220" w:type="dxa"/>
            <w:gridSpan w:val="6"/>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预算数</w:t>
            </w:r>
          </w:p>
        </w:tc>
      </w:tr>
      <w:tr>
        <w:tblPrEx>
          <w:tblCellMar>
            <w:top w:w="0" w:type="dxa"/>
            <w:left w:w="0" w:type="dxa"/>
            <w:bottom w:w="0" w:type="dxa"/>
            <w:right w:w="0" w:type="dxa"/>
          </w:tblCellMar>
        </w:tblPrEx>
        <w:trPr>
          <w:trHeight w:val="417" w:hRule="atLeast"/>
          <w:jc w:val="center"/>
        </w:trPr>
        <w:tc>
          <w:tcPr>
            <w:tcW w:w="1267" w:type="dxa"/>
            <w:vMerge w:val="restart"/>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合计</w:t>
            </w:r>
          </w:p>
        </w:tc>
        <w:tc>
          <w:tcPr>
            <w:tcW w:w="1686" w:type="dxa"/>
            <w:vMerge w:val="restart"/>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因公出国（境）费</w:t>
            </w:r>
          </w:p>
        </w:tc>
        <w:tc>
          <w:tcPr>
            <w:tcW w:w="4695" w:type="dxa"/>
            <w:gridSpan w:val="3"/>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公务用车购置及运行费</w:t>
            </w:r>
          </w:p>
        </w:tc>
        <w:tc>
          <w:tcPr>
            <w:tcW w:w="1572" w:type="dxa"/>
            <w:vMerge w:val="restart"/>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 w:val="20"/>
                <w:szCs w:val="21"/>
                <w:lang w:bidi="ar"/>
              </w:rPr>
              <w:t>公务接待费</w:t>
            </w:r>
          </w:p>
        </w:tc>
      </w:tr>
      <w:tr>
        <w:tblPrEx>
          <w:tblCellMar>
            <w:top w:w="0" w:type="dxa"/>
            <w:left w:w="0" w:type="dxa"/>
            <w:bottom w:w="0" w:type="dxa"/>
            <w:right w:w="0" w:type="dxa"/>
          </w:tblCellMar>
        </w:tblPrEx>
        <w:trPr>
          <w:trHeight w:val="417" w:hRule="atLeast"/>
          <w:jc w:val="center"/>
        </w:trPr>
        <w:tc>
          <w:tcPr>
            <w:tcW w:w="1267" w:type="dxa"/>
            <w:vMerge w:val="continue"/>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Cs w:val="22"/>
              </w:rPr>
            </w:pPr>
          </w:p>
        </w:tc>
        <w:tc>
          <w:tcPr>
            <w:tcW w:w="168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Cs w:val="22"/>
              </w:rPr>
            </w:pP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小计</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公务用车购置费</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公务用车运行费</w:t>
            </w:r>
          </w:p>
        </w:tc>
        <w:tc>
          <w:tcPr>
            <w:tcW w:w="1572" w:type="dxa"/>
            <w:vMerge w:val="continue"/>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jc w:val="center"/>
              <w:rPr>
                <w:rFonts w:ascii="黑体" w:hAnsi="黑体" w:eastAsia="黑体" w:cs="宋体"/>
                <w:color w:val="000000"/>
                <w:szCs w:val="22"/>
              </w:rPr>
            </w:pPr>
          </w:p>
        </w:tc>
      </w:tr>
      <w:tr>
        <w:tblPrEx>
          <w:tblCellMar>
            <w:top w:w="0" w:type="dxa"/>
            <w:left w:w="0" w:type="dxa"/>
            <w:bottom w:w="0" w:type="dxa"/>
            <w:right w:w="0" w:type="dxa"/>
          </w:tblCellMar>
        </w:tblPrEx>
        <w:trPr>
          <w:trHeight w:val="437" w:hRule="atLeast"/>
          <w:jc w:val="center"/>
        </w:trPr>
        <w:tc>
          <w:tcPr>
            <w:tcW w:w="1267" w:type="dxa"/>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1</w:t>
            </w:r>
          </w:p>
        </w:tc>
        <w:tc>
          <w:tcPr>
            <w:tcW w:w="168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2</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3</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4</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5</w:t>
            </w:r>
          </w:p>
        </w:tc>
        <w:tc>
          <w:tcPr>
            <w:tcW w:w="1572" w:type="dxa"/>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6</w:t>
            </w:r>
          </w:p>
        </w:tc>
      </w:tr>
      <w:tr>
        <w:tblPrEx>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Cs w:val="22"/>
                <w:lang w:val="en-US" w:eastAsia="zh-CN"/>
              </w:rPr>
            </w:pPr>
            <w:r>
              <w:rPr>
                <w:rFonts w:hint="eastAsia" w:ascii="宋体" w:hAnsi="宋体" w:eastAsia="宋体" w:cs="宋体"/>
                <w:color w:val="000000"/>
                <w:szCs w:val="22"/>
                <w:lang w:val="en-US" w:eastAsia="zh-CN"/>
              </w:rPr>
              <w:t>6.00</w:t>
            </w:r>
          </w:p>
        </w:tc>
        <w:tc>
          <w:tcPr>
            <w:tcW w:w="1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Cs w:val="22"/>
                <w:lang w:val="en-US" w:eastAsia="zh-CN"/>
              </w:rPr>
            </w:pPr>
            <w:r>
              <w:rPr>
                <w:rFonts w:hint="eastAsia" w:ascii="宋体" w:hAnsi="宋体" w:eastAsia="宋体" w:cs="宋体"/>
                <w:color w:val="000000"/>
                <w:szCs w:val="22"/>
                <w:lang w:val="en-US" w:eastAsia="zh-CN"/>
              </w:rPr>
              <w:t>6.00</w:t>
            </w: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Cs w:val="22"/>
                <w:lang w:val="en-US" w:eastAsia="zh-CN"/>
              </w:rPr>
            </w:pPr>
            <w:r>
              <w:rPr>
                <w:rFonts w:hint="eastAsia" w:ascii="宋体" w:hAnsi="宋体" w:eastAsia="宋体" w:cs="宋体"/>
                <w:color w:val="000000"/>
                <w:szCs w:val="22"/>
                <w:lang w:val="en-US" w:eastAsia="zh-CN"/>
              </w:rPr>
              <w:t>6.00</w:t>
            </w:r>
          </w:p>
        </w:tc>
        <w:tc>
          <w:tcPr>
            <w:tcW w:w="1572" w:type="dxa"/>
            <w:tcBorders>
              <w:top w:val="nil"/>
              <w:left w:val="nil"/>
              <w:bottom w:val="single" w:color="000000"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r>
        <w:tblPrEx>
          <w:tblCellMar>
            <w:top w:w="0" w:type="dxa"/>
            <w:left w:w="0" w:type="dxa"/>
            <w:bottom w:w="0" w:type="dxa"/>
            <w:right w:w="0" w:type="dxa"/>
          </w:tblCellMar>
        </w:tblPrEx>
        <w:trPr>
          <w:trHeight w:val="417" w:hRule="atLeast"/>
          <w:jc w:val="center"/>
        </w:trPr>
        <w:tc>
          <w:tcPr>
            <w:tcW w:w="9220" w:type="dxa"/>
            <w:gridSpan w:val="6"/>
            <w:tcBorders>
              <w:top w:val="single" w:color="000000"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决算数</w:t>
            </w:r>
          </w:p>
        </w:tc>
      </w:tr>
      <w:tr>
        <w:tblPrEx>
          <w:tblCellMar>
            <w:top w:w="0" w:type="dxa"/>
            <w:left w:w="0" w:type="dxa"/>
            <w:bottom w:w="0" w:type="dxa"/>
            <w:right w:w="0" w:type="dxa"/>
          </w:tblCellMar>
        </w:tblPrEx>
        <w:trPr>
          <w:trHeight w:val="417" w:hRule="atLeast"/>
          <w:jc w:val="center"/>
        </w:trPr>
        <w:tc>
          <w:tcPr>
            <w:tcW w:w="1267" w:type="dxa"/>
            <w:vMerge w:val="restart"/>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合计</w:t>
            </w:r>
          </w:p>
        </w:tc>
        <w:tc>
          <w:tcPr>
            <w:tcW w:w="1686" w:type="dxa"/>
            <w:vMerge w:val="restart"/>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因公出国（境）费</w:t>
            </w:r>
          </w:p>
        </w:tc>
        <w:tc>
          <w:tcPr>
            <w:tcW w:w="4695" w:type="dxa"/>
            <w:gridSpan w:val="3"/>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公务用车购置及运行费</w:t>
            </w:r>
          </w:p>
        </w:tc>
        <w:tc>
          <w:tcPr>
            <w:tcW w:w="1572" w:type="dxa"/>
            <w:vMerge w:val="restart"/>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公务接待费</w:t>
            </w:r>
          </w:p>
        </w:tc>
      </w:tr>
      <w:tr>
        <w:tblPrEx>
          <w:tblCellMar>
            <w:top w:w="0" w:type="dxa"/>
            <w:left w:w="0" w:type="dxa"/>
            <w:bottom w:w="0" w:type="dxa"/>
            <w:right w:w="0" w:type="dxa"/>
          </w:tblCellMar>
        </w:tblPrEx>
        <w:trPr>
          <w:trHeight w:val="417" w:hRule="atLeast"/>
          <w:jc w:val="center"/>
        </w:trPr>
        <w:tc>
          <w:tcPr>
            <w:tcW w:w="1267" w:type="dxa"/>
            <w:vMerge w:val="continue"/>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68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Cs w:val="22"/>
                <w:lang w:bidi="ar"/>
              </w:rPr>
              <w:t>小计</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Cs w:val="22"/>
                <w:lang w:bidi="ar"/>
              </w:rPr>
              <w:t>公务用车购置费</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Cs w:val="22"/>
                <w:lang w:bidi="ar"/>
              </w:rPr>
              <w:t>公务用车运行费</w:t>
            </w:r>
          </w:p>
        </w:tc>
        <w:tc>
          <w:tcPr>
            <w:tcW w:w="1572" w:type="dxa"/>
            <w:vMerge w:val="continue"/>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r>
      <w:tr>
        <w:tblPrEx>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7</w:t>
            </w:r>
          </w:p>
        </w:tc>
        <w:tc>
          <w:tcPr>
            <w:tcW w:w="168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8</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9</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10</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11</w:t>
            </w:r>
          </w:p>
        </w:tc>
        <w:tc>
          <w:tcPr>
            <w:tcW w:w="1572" w:type="dxa"/>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12</w:t>
            </w:r>
          </w:p>
        </w:tc>
      </w:tr>
      <w:tr>
        <w:tblPrEx>
          <w:tblCellMar>
            <w:top w:w="0" w:type="dxa"/>
            <w:left w:w="0" w:type="dxa"/>
            <w:bottom w:w="0" w:type="dxa"/>
            <w:right w:w="0" w:type="dxa"/>
          </w:tblCellMar>
        </w:tblPrEx>
        <w:trPr>
          <w:trHeight w:val="447" w:hRule="atLeast"/>
          <w:jc w:val="center"/>
        </w:trPr>
        <w:tc>
          <w:tcPr>
            <w:tcW w:w="1267" w:type="dxa"/>
            <w:tcBorders>
              <w:top w:val="nil"/>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Cs w:val="22"/>
                <w:lang w:val="en-US" w:eastAsia="zh-CN"/>
              </w:rPr>
            </w:pPr>
            <w:r>
              <w:rPr>
                <w:rFonts w:hint="eastAsia" w:ascii="宋体" w:hAnsi="宋体" w:eastAsia="宋体" w:cs="宋体"/>
                <w:color w:val="000000"/>
                <w:szCs w:val="22"/>
                <w:lang w:val="en-US" w:eastAsia="zh-CN"/>
              </w:rPr>
              <w:t>6.00</w:t>
            </w:r>
          </w:p>
        </w:tc>
        <w:tc>
          <w:tcPr>
            <w:tcW w:w="1686"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565"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Cs w:val="22"/>
                <w:lang w:val="en-US" w:eastAsia="zh-CN"/>
              </w:rPr>
            </w:pPr>
            <w:r>
              <w:rPr>
                <w:rFonts w:hint="eastAsia" w:ascii="宋体" w:hAnsi="宋体" w:eastAsia="宋体" w:cs="宋体"/>
                <w:color w:val="000000"/>
                <w:szCs w:val="22"/>
                <w:lang w:val="en-US" w:eastAsia="zh-CN"/>
              </w:rPr>
              <w:t>6.00</w:t>
            </w:r>
          </w:p>
        </w:tc>
        <w:tc>
          <w:tcPr>
            <w:tcW w:w="1565"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565"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Cs w:val="22"/>
                <w:lang w:val="en-US" w:eastAsia="zh-CN"/>
              </w:rPr>
            </w:pPr>
            <w:r>
              <w:rPr>
                <w:rFonts w:hint="eastAsia" w:ascii="宋体" w:hAnsi="宋体" w:eastAsia="宋体" w:cs="宋体"/>
                <w:color w:val="000000"/>
                <w:szCs w:val="22"/>
                <w:lang w:val="en-US" w:eastAsia="zh-CN"/>
              </w:rPr>
              <w:t>6.00</w:t>
            </w:r>
          </w:p>
        </w:tc>
        <w:tc>
          <w:tcPr>
            <w:tcW w:w="1572"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bl>
    <w:p>
      <w:r>
        <w:rPr>
          <w:rFonts w:hint="eastAsia" w:ascii="宋体" w:hAnsi="宋体" w:eastAsia="宋体" w:cs="宋体"/>
          <w:sz w:val="20"/>
          <w:szCs w:val="22"/>
        </w:rPr>
        <w:t>注：本表反映部门本年度“三公”经费支出预决算情况。其中：预算数为“三公”经费</w:t>
      </w:r>
      <w:r>
        <w:rPr>
          <w:rFonts w:hint="eastAsia" w:ascii="宋体" w:hAnsi="宋体" w:eastAsia="宋体" w:cs="宋体"/>
          <w:b/>
          <w:sz w:val="20"/>
          <w:szCs w:val="22"/>
        </w:rPr>
        <w:t>全年预算数</w:t>
      </w:r>
      <w:r>
        <w:rPr>
          <w:rFonts w:hint="eastAsia" w:ascii="宋体" w:hAnsi="宋体" w:eastAsia="宋体" w:cs="宋体"/>
          <w:sz w:val="20"/>
          <w:szCs w:val="22"/>
        </w:rPr>
        <w:t>，反映按规定程序调整后的预算数；决算数是包括当年一般公共预算财政拨款和以前年度结转资金安排的实际支出。</w:t>
      </w:r>
      <w:r>
        <w:rPr>
          <w:rFonts w:hint="eastAsia" w:ascii="仿宋_GB2312" w:hAnsi="仿宋_GB2312" w:eastAsia="仿宋_GB2312" w:cs="仿宋_GB2312"/>
          <w:sz w:val="20"/>
          <w:szCs w:val="22"/>
        </w:rPr>
        <w:tab/>
      </w:r>
      <w:r>
        <w:rPr>
          <w:sz w:val="20"/>
          <w:szCs w:val="22"/>
        </w:rPr>
        <w:tab/>
      </w:r>
      <w:r>
        <w:tab/>
      </w:r>
      <w:r>
        <w:tab/>
      </w:r>
      <w:r>
        <w:tab/>
      </w:r>
      <w:r>
        <w:tab/>
      </w:r>
      <w:r>
        <w:tab/>
      </w:r>
      <w:r>
        <w:tab/>
      </w:r>
      <w:r>
        <w:tab/>
      </w:r>
      <w:r>
        <w:tab/>
      </w:r>
      <w:r>
        <w:tab/>
      </w:r>
      <w:r>
        <w:br w:type="page"/>
      </w:r>
    </w:p>
    <w:tbl>
      <w:tblPr>
        <w:tblStyle w:val="5"/>
        <w:tblW w:w="9664" w:type="dxa"/>
        <w:jc w:val="center"/>
        <w:tblLayout w:type="fixed"/>
        <w:tblCellMar>
          <w:top w:w="0" w:type="dxa"/>
          <w:left w:w="0" w:type="dxa"/>
          <w:bottom w:w="0" w:type="dxa"/>
          <w:right w:w="0" w:type="dxa"/>
        </w:tblCellMar>
      </w:tblPr>
      <w:tblGrid>
        <w:gridCol w:w="967"/>
        <w:gridCol w:w="61"/>
        <w:gridCol w:w="61"/>
        <w:gridCol w:w="2051"/>
        <w:gridCol w:w="1006"/>
        <w:gridCol w:w="1169"/>
        <w:gridCol w:w="1169"/>
        <w:gridCol w:w="1006"/>
        <w:gridCol w:w="1169"/>
        <w:gridCol w:w="1005"/>
      </w:tblGrid>
      <w:tr>
        <w:tblPrEx>
          <w:tblCellMar>
            <w:top w:w="0" w:type="dxa"/>
            <w:left w:w="0" w:type="dxa"/>
            <w:bottom w:w="0" w:type="dxa"/>
            <w:right w:w="0" w:type="dxa"/>
          </w:tblCellMar>
        </w:tblPrEx>
        <w:trPr>
          <w:trHeight w:val="780" w:hRule="atLeast"/>
          <w:jc w:val="center"/>
        </w:trPr>
        <w:tc>
          <w:tcPr>
            <w:tcW w:w="9664" w:type="dxa"/>
            <w:gridSpan w:val="10"/>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黑体" w:hAnsi="宋体" w:eastAsia="黑体" w:cs="黑体"/>
                <w:color w:val="000000"/>
                <w:sz w:val="28"/>
                <w:szCs w:val="28"/>
              </w:rPr>
            </w:pPr>
            <w:r>
              <w:rPr>
                <w:rFonts w:hint="eastAsia" w:ascii="黑体" w:hAnsi="宋体" w:eastAsia="黑体" w:cs="黑体"/>
                <w:color w:val="000000"/>
                <w:kern w:val="0"/>
                <w:sz w:val="28"/>
                <w:szCs w:val="28"/>
                <w:lang w:bidi="ar"/>
              </w:rPr>
              <w:t>政府性基金预算财政拨款收入支出决算表</w:t>
            </w:r>
          </w:p>
        </w:tc>
      </w:tr>
      <w:tr>
        <w:tblPrEx>
          <w:tblCellMar>
            <w:top w:w="0" w:type="dxa"/>
            <w:left w:w="0" w:type="dxa"/>
            <w:bottom w:w="0" w:type="dxa"/>
            <w:right w:w="0" w:type="dxa"/>
          </w:tblCellMar>
        </w:tblPrEx>
        <w:trPr>
          <w:trHeight w:val="255" w:hRule="atLeast"/>
          <w:jc w:val="center"/>
        </w:trPr>
        <w:tc>
          <w:tcPr>
            <w:tcW w:w="967"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61"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61"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2051"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00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169"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169"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00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2174" w:type="dxa"/>
            <w:gridSpan w:val="2"/>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公开08表</w:t>
            </w:r>
          </w:p>
        </w:tc>
      </w:tr>
      <w:tr>
        <w:tblPrEx>
          <w:tblCellMar>
            <w:top w:w="0" w:type="dxa"/>
            <w:left w:w="0" w:type="dxa"/>
            <w:bottom w:w="0" w:type="dxa"/>
            <w:right w:w="0" w:type="dxa"/>
          </w:tblCellMar>
        </w:tblPrEx>
        <w:trPr>
          <w:trHeight w:val="255" w:hRule="atLeast"/>
          <w:jc w:val="center"/>
        </w:trPr>
        <w:tc>
          <w:tcPr>
            <w:tcW w:w="967"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部门：</w:t>
            </w:r>
          </w:p>
        </w:tc>
        <w:tc>
          <w:tcPr>
            <w:tcW w:w="61"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61"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2051"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00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169"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169"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00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2174" w:type="dxa"/>
            <w:gridSpan w:val="2"/>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金额单位：万元</w:t>
            </w:r>
          </w:p>
        </w:tc>
      </w:tr>
      <w:tr>
        <w:tblPrEx>
          <w:tblCellMar>
            <w:top w:w="0" w:type="dxa"/>
            <w:left w:w="0" w:type="dxa"/>
            <w:bottom w:w="0" w:type="dxa"/>
            <w:right w:w="0" w:type="dxa"/>
          </w:tblCellMar>
        </w:tblPrEx>
        <w:trPr>
          <w:trHeight w:val="308" w:hRule="atLeast"/>
          <w:jc w:val="center"/>
        </w:trPr>
        <w:tc>
          <w:tcPr>
            <w:tcW w:w="3140"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项目</w:t>
            </w:r>
          </w:p>
        </w:tc>
        <w:tc>
          <w:tcPr>
            <w:tcW w:w="1006"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年初结转和结余</w:t>
            </w:r>
          </w:p>
        </w:tc>
        <w:tc>
          <w:tcPr>
            <w:tcW w:w="1169"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本年收入</w:t>
            </w:r>
          </w:p>
        </w:tc>
        <w:tc>
          <w:tcPr>
            <w:tcW w:w="3344"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本年支出</w:t>
            </w:r>
          </w:p>
        </w:tc>
        <w:tc>
          <w:tcPr>
            <w:tcW w:w="1005"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年末结转和结余</w:t>
            </w:r>
          </w:p>
        </w:tc>
      </w:tr>
      <w:tr>
        <w:tblPrEx>
          <w:tblCellMar>
            <w:top w:w="0" w:type="dxa"/>
            <w:left w:w="0" w:type="dxa"/>
            <w:bottom w:w="0" w:type="dxa"/>
            <w:right w:w="0" w:type="dxa"/>
          </w:tblCellMar>
        </w:tblPrEx>
        <w:trPr>
          <w:trHeight w:val="312" w:hRule="atLeast"/>
          <w:jc w:val="center"/>
        </w:trPr>
        <w:tc>
          <w:tcPr>
            <w:tcW w:w="1089"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功能分类科目编码</w:t>
            </w:r>
          </w:p>
        </w:tc>
        <w:tc>
          <w:tcPr>
            <w:tcW w:w="2051"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科目名称</w:t>
            </w:r>
          </w:p>
        </w:tc>
        <w:tc>
          <w:tcPr>
            <w:tcW w:w="100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6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69"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小计</w:t>
            </w:r>
          </w:p>
        </w:tc>
        <w:tc>
          <w:tcPr>
            <w:tcW w:w="1006"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基本支出</w:t>
            </w:r>
          </w:p>
        </w:tc>
        <w:tc>
          <w:tcPr>
            <w:tcW w:w="1169"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项目支出</w:t>
            </w:r>
          </w:p>
        </w:tc>
        <w:tc>
          <w:tcPr>
            <w:tcW w:w="100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r>
      <w:tr>
        <w:tblPrEx>
          <w:tblCellMar>
            <w:top w:w="0" w:type="dxa"/>
            <w:left w:w="0" w:type="dxa"/>
            <w:bottom w:w="0" w:type="dxa"/>
            <w:right w:w="0" w:type="dxa"/>
          </w:tblCellMar>
        </w:tblPrEx>
        <w:trPr>
          <w:trHeight w:val="312" w:hRule="atLeast"/>
          <w:jc w:val="center"/>
        </w:trPr>
        <w:tc>
          <w:tcPr>
            <w:tcW w:w="1089"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2051"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Cs w:val="22"/>
              </w:rPr>
            </w:pPr>
          </w:p>
        </w:tc>
        <w:tc>
          <w:tcPr>
            <w:tcW w:w="100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6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6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00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6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00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r>
      <w:tr>
        <w:tblPrEx>
          <w:tblCellMar>
            <w:top w:w="0" w:type="dxa"/>
            <w:left w:w="0" w:type="dxa"/>
            <w:bottom w:w="0" w:type="dxa"/>
            <w:right w:w="0" w:type="dxa"/>
          </w:tblCellMar>
        </w:tblPrEx>
        <w:trPr>
          <w:trHeight w:val="312" w:hRule="atLeast"/>
          <w:jc w:val="center"/>
        </w:trPr>
        <w:tc>
          <w:tcPr>
            <w:tcW w:w="1089"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2051"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Cs w:val="22"/>
              </w:rPr>
            </w:pPr>
          </w:p>
        </w:tc>
        <w:tc>
          <w:tcPr>
            <w:tcW w:w="100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6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6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00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6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00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3140"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栏次</w:t>
            </w:r>
          </w:p>
        </w:tc>
        <w:tc>
          <w:tcPr>
            <w:tcW w:w="100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1</w:t>
            </w:r>
          </w:p>
        </w:tc>
        <w:tc>
          <w:tcPr>
            <w:tcW w:w="1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2</w:t>
            </w:r>
          </w:p>
        </w:tc>
        <w:tc>
          <w:tcPr>
            <w:tcW w:w="1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3</w:t>
            </w:r>
          </w:p>
        </w:tc>
        <w:tc>
          <w:tcPr>
            <w:tcW w:w="100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4</w:t>
            </w:r>
          </w:p>
        </w:tc>
        <w:tc>
          <w:tcPr>
            <w:tcW w:w="1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5</w:t>
            </w:r>
          </w:p>
        </w:tc>
        <w:tc>
          <w:tcPr>
            <w:tcW w:w="10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6</w:t>
            </w:r>
          </w:p>
        </w:tc>
      </w:tr>
      <w:tr>
        <w:tblPrEx>
          <w:tblCellMar>
            <w:top w:w="0" w:type="dxa"/>
            <w:left w:w="0" w:type="dxa"/>
            <w:bottom w:w="0" w:type="dxa"/>
            <w:right w:w="0" w:type="dxa"/>
          </w:tblCellMar>
        </w:tblPrEx>
        <w:trPr>
          <w:trHeight w:val="308" w:hRule="atLeast"/>
          <w:jc w:val="center"/>
        </w:trPr>
        <w:tc>
          <w:tcPr>
            <w:tcW w:w="3140"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合计</w:t>
            </w:r>
          </w:p>
        </w:tc>
        <w:tc>
          <w:tcPr>
            <w:tcW w:w="100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c>
          <w:tcPr>
            <w:tcW w:w="1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b/>
                <w:color w:val="000000"/>
                <w:szCs w:val="22"/>
                <w:lang w:val="en-US" w:eastAsia="zh-CN"/>
              </w:rPr>
            </w:pPr>
          </w:p>
        </w:tc>
        <w:tc>
          <w:tcPr>
            <w:tcW w:w="1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b/>
                <w:color w:val="000000"/>
                <w:szCs w:val="22"/>
                <w:lang w:val="en-US" w:eastAsia="zh-CN"/>
              </w:rPr>
            </w:pPr>
          </w:p>
        </w:tc>
        <w:tc>
          <w:tcPr>
            <w:tcW w:w="100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c>
          <w:tcPr>
            <w:tcW w:w="1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b/>
                <w:color w:val="000000"/>
                <w:szCs w:val="22"/>
                <w:lang w:val="en-US" w:eastAsia="zh-CN"/>
              </w:rPr>
            </w:pPr>
          </w:p>
        </w:tc>
        <w:tc>
          <w:tcPr>
            <w:tcW w:w="10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r>
      <w:tr>
        <w:tblPrEx>
          <w:tblCellMar>
            <w:top w:w="0" w:type="dxa"/>
            <w:left w:w="0" w:type="dxa"/>
            <w:bottom w:w="0" w:type="dxa"/>
            <w:right w:w="0" w:type="dxa"/>
          </w:tblCellMar>
        </w:tblPrEx>
        <w:trPr>
          <w:trHeight w:val="308" w:hRule="atLeast"/>
          <w:jc w:val="center"/>
        </w:trPr>
        <w:tc>
          <w:tcPr>
            <w:tcW w:w="1089"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宋体" w:hAnsi="宋体" w:eastAsia="宋体" w:cs="宋体"/>
                <w:color w:val="000000"/>
                <w:szCs w:val="22"/>
                <w:lang w:val="en-US" w:eastAsia="zh-CN"/>
              </w:rPr>
            </w:pPr>
            <w:r>
              <w:rPr>
                <w:rFonts w:hint="eastAsia" w:ascii="宋体" w:hAnsi="宋体" w:eastAsia="宋体" w:cs="宋体"/>
                <w:i w:val="0"/>
                <w:iCs w:val="0"/>
                <w:color w:val="000000"/>
                <w:kern w:val="0"/>
                <w:sz w:val="22"/>
                <w:szCs w:val="22"/>
                <w:u w:val="none"/>
                <w:lang w:val="en-US" w:eastAsia="zh-CN" w:bidi="ar"/>
              </w:rPr>
              <w:t>212</w:t>
            </w:r>
          </w:p>
        </w:tc>
        <w:tc>
          <w:tcPr>
            <w:tcW w:w="20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Cs w:val="22"/>
              </w:rPr>
            </w:pPr>
            <w:r>
              <w:rPr>
                <w:rFonts w:hint="eastAsia" w:ascii="宋体" w:hAnsi="宋体" w:eastAsia="宋体" w:cs="宋体"/>
                <w:i w:val="0"/>
                <w:iCs w:val="0"/>
                <w:color w:val="000000"/>
                <w:kern w:val="0"/>
                <w:sz w:val="22"/>
                <w:szCs w:val="22"/>
                <w:u w:val="none"/>
                <w:lang w:val="en-US" w:eastAsia="zh-CN" w:bidi="ar"/>
              </w:rPr>
              <w:t>城乡社区支出</w:t>
            </w:r>
          </w:p>
        </w:tc>
        <w:tc>
          <w:tcPr>
            <w:tcW w:w="100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Cs w:val="22"/>
              </w:rPr>
            </w:pPr>
          </w:p>
        </w:tc>
        <w:tc>
          <w:tcPr>
            <w:tcW w:w="1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color w:val="000000"/>
                <w:szCs w:val="22"/>
                <w:lang w:val="en-US" w:eastAsia="zh-CN"/>
              </w:rPr>
            </w:pPr>
            <w:r>
              <w:rPr>
                <w:rFonts w:hint="eastAsia" w:ascii="宋体" w:hAnsi="宋体" w:eastAsia="宋体" w:cs="宋体"/>
                <w:i w:val="0"/>
                <w:iCs w:val="0"/>
                <w:color w:val="000000"/>
                <w:kern w:val="0"/>
                <w:sz w:val="22"/>
                <w:szCs w:val="22"/>
                <w:u w:val="none"/>
                <w:lang w:val="en-US" w:eastAsia="zh-CN" w:bidi="ar"/>
              </w:rPr>
              <w:t>53.76</w:t>
            </w:r>
          </w:p>
        </w:tc>
        <w:tc>
          <w:tcPr>
            <w:tcW w:w="1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color w:val="000000"/>
                <w:szCs w:val="22"/>
                <w:lang w:val="en-US" w:eastAsia="zh-CN"/>
              </w:rPr>
            </w:pPr>
            <w:r>
              <w:rPr>
                <w:rFonts w:hint="eastAsia" w:ascii="宋体" w:hAnsi="宋体" w:eastAsia="宋体" w:cs="宋体"/>
                <w:i w:val="0"/>
                <w:iCs w:val="0"/>
                <w:color w:val="000000"/>
                <w:kern w:val="0"/>
                <w:sz w:val="22"/>
                <w:szCs w:val="22"/>
                <w:u w:val="none"/>
                <w:lang w:val="en-US" w:eastAsia="zh-CN" w:bidi="ar"/>
              </w:rPr>
              <w:t>53.76</w:t>
            </w:r>
          </w:p>
        </w:tc>
        <w:tc>
          <w:tcPr>
            <w:tcW w:w="100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Cs w:val="22"/>
              </w:rPr>
            </w:pPr>
          </w:p>
        </w:tc>
        <w:tc>
          <w:tcPr>
            <w:tcW w:w="1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color w:val="000000"/>
                <w:szCs w:val="22"/>
                <w:lang w:val="en-US" w:eastAsia="zh-CN"/>
              </w:rPr>
            </w:pPr>
            <w:r>
              <w:rPr>
                <w:rFonts w:hint="eastAsia" w:ascii="宋体" w:hAnsi="宋体" w:eastAsia="宋体" w:cs="宋体"/>
                <w:i w:val="0"/>
                <w:iCs w:val="0"/>
                <w:color w:val="000000"/>
                <w:kern w:val="0"/>
                <w:sz w:val="22"/>
                <w:szCs w:val="22"/>
                <w:u w:val="none"/>
                <w:lang w:val="en-US" w:eastAsia="zh-CN" w:bidi="ar"/>
              </w:rPr>
              <w:t>53.76</w:t>
            </w:r>
          </w:p>
        </w:tc>
        <w:tc>
          <w:tcPr>
            <w:tcW w:w="10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1089"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Cs w:val="22"/>
              </w:rPr>
            </w:pPr>
            <w:r>
              <w:rPr>
                <w:rFonts w:hint="eastAsia" w:ascii="宋体" w:hAnsi="宋体" w:eastAsia="宋体" w:cs="宋体"/>
                <w:i w:val="0"/>
                <w:iCs w:val="0"/>
                <w:color w:val="000000"/>
                <w:kern w:val="0"/>
                <w:sz w:val="22"/>
                <w:szCs w:val="22"/>
                <w:u w:val="none"/>
                <w:lang w:val="en-US" w:eastAsia="zh-CN" w:bidi="ar"/>
              </w:rPr>
              <w:t>21208</w:t>
            </w:r>
          </w:p>
        </w:tc>
        <w:tc>
          <w:tcPr>
            <w:tcW w:w="20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Cs w:val="22"/>
              </w:rPr>
            </w:pPr>
            <w:r>
              <w:rPr>
                <w:rFonts w:hint="eastAsia" w:ascii="宋体" w:hAnsi="宋体" w:eastAsia="宋体" w:cs="宋体"/>
                <w:i w:val="0"/>
                <w:iCs w:val="0"/>
                <w:color w:val="000000"/>
                <w:kern w:val="0"/>
                <w:sz w:val="22"/>
                <w:szCs w:val="22"/>
                <w:u w:val="none"/>
                <w:lang w:val="en-US" w:eastAsia="zh-CN" w:bidi="ar"/>
              </w:rPr>
              <w:t>国有土地使用权出让收入安排的支出</w:t>
            </w:r>
          </w:p>
        </w:tc>
        <w:tc>
          <w:tcPr>
            <w:tcW w:w="100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Cs w:val="22"/>
              </w:rPr>
            </w:pPr>
          </w:p>
        </w:tc>
        <w:tc>
          <w:tcPr>
            <w:tcW w:w="1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color w:val="000000"/>
                <w:szCs w:val="22"/>
                <w:lang w:val="en-US" w:eastAsia="zh-CN"/>
              </w:rPr>
            </w:pPr>
            <w:r>
              <w:rPr>
                <w:rFonts w:hint="eastAsia" w:ascii="宋体" w:hAnsi="宋体" w:eastAsia="宋体" w:cs="宋体"/>
                <w:color w:val="000000"/>
                <w:szCs w:val="22"/>
                <w:lang w:val="en-US" w:eastAsia="zh-CN"/>
              </w:rPr>
              <w:t>53.76</w:t>
            </w:r>
          </w:p>
        </w:tc>
        <w:tc>
          <w:tcPr>
            <w:tcW w:w="1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color w:val="000000"/>
                <w:szCs w:val="22"/>
                <w:lang w:val="en-US" w:eastAsia="zh-CN"/>
              </w:rPr>
            </w:pPr>
            <w:r>
              <w:rPr>
                <w:rFonts w:hint="eastAsia" w:ascii="宋体" w:hAnsi="宋体" w:eastAsia="宋体" w:cs="宋体"/>
                <w:color w:val="000000"/>
                <w:szCs w:val="22"/>
                <w:lang w:val="en-US" w:eastAsia="zh-CN"/>
              </w:rPr>
              <w:t>53.76</w:t>
            </w:r>
          </w:p>
        </w:tc>
        <w:tc>
          <w:tcPr>
            <w:tcW w:w="100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Cs w:val="22"/>
              </w:rPr>
            </w:pPr>
          </w:p>
        </w:tc>
        <w:tc>
          <w:tcPr>
            <w:tcW w:w="1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color w:val="000000"/>
                <w:szCs w:val="22"/>
                <w:lang w:val="en-US" w:eastAsia="zh-CN"/>
              </w:rPr>
            </w:pPr>
            <w:r>
              <w:rPr>
                <w:rFonts w:hint="eastAsia" w:ascii="宋体" w:hAnsi="宋体" w:eastAsia="宋体" w:cs="宋体"/>
                <w:color w:val="000000"/>
                <w:szCs w:val="22"/>
                <w:lang w:val="en-US" w:eastAsia="zh-CN"/>
              </w:rPr>
              <w:t>53.76</w:t>
            </w:r>
          </w:p>
        </w:tc>
        <w:tc>
          <w:tcPr>
            <w:tcW w:w="10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1089"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Cs w:val="22"/>
              </w:rPr>
            </w:pPr>
            <w:r>
              <w:rPr>
                <w:rFonts w:hint="eastAsia" w:ascii="宋体" w:hAnsi="宋体" w:eastAsia="宋体" w:cs="宋体"/>
                <w:i w:val="0"/>
                <w:iCs w:val="0"/>
                <w:color w:val="000000"/>
                <w:kern w:val="0"/>
                <w:sz w:val="22"/>
                <w:szCs w:val="22"/>
                <w:u w:val="none"/>
                <w:lang w:val="en-US" w:eastAsia="zh-CN" w:bidi="ar"/>
              </w:rPr>
              <w:t>2120801</w:t>
            </w:r>
          </w:p>
        </w:tc>
        <w:tc>
          <w:tcPr>
            <w:tcW w:w="20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Cs w:val="22"/>
              </w:rPr>
            </w:pPr>
            <w:r>
              <w:rPr>
                <w:rFonts w:hint="eastAsia" w:ascii="宋体" w:hAnsi="宋体" w:eastAsia="宋体" w:cs="宋体"/>
                <w:i w:val="0"/>
                <w:iCs w:val="0"/>
                <w:color w:val="000000"/>
                <w:kern w:val="0"/>
                <w:sz w:val="22"/>
                <w:szCs w:val="22"/>
                <w:u w:val="none"/>
                <w:lang w:val="en-US" w:eastAsia="zh-CN" w:bidi="ar"/>
              </w:rPr>
              <w:t xml:space="preserve">  征地和拆迁补偿支出</w:t>
            </w:r>
          </w:p>
        </w:tc>
        <w:tc>
          <w:tcPr>
            <w:tcW w:w="100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Cs w:val="22"/>
              </w:rPr>
            </w:pPr>
          </w:p>
        </w:tc>
        <w:tc>
          <w:tcPr>
            <w:tcW w:w="1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color w:val="000000"/>
                <w:szCs w:val="22"/>
                <w:lang w:val="en-US" w:eastAsia="zh-CN"/>
              </w:rPr>
            </w:pPr>
            <w:r>
              <w:rPr>
                <w:rFonts w:hint="eastAsia" w:ascii="宋体" w:hAnsi="宋体" w:eastAsia="宋体" w:cs="宋体"/>
                <w:i w:val="0"/>
                <w:iCs w:val="0"/>
                <w:color w:val="000000"/>
                <w:kern w:val="0"/>
                <w:sz w:val="22"/>
                <w:szCs w:val="22"/>
                <w:u w:val="none"/>
                <w:lang w:val="en-US" w:eastAsia="zh-CN" w:bidi="ar"/>
              </w:rPr>
              <w:t>29.50</w:t>
            </w:r>
          </w:p>
        </w:tc>
        <w:tc>
          <w:tcPr>
            <w:tcW w:w="1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color w:val="000000"/>
                <w:szCs w:val="22"/>
                <w:lang w:val="en-US" w:eastAsia="zh-CN"/>
              </w:rPr>
            </w:pPr>
            <w:r>
              <w:rPr>
                <w:rFonts w:hint="eastAsia" w:ascii="宋体" w:hAnsi="宋体" w:eastAsia="宋体" w:cs="宋体"/>
                <w:i w:val="0"/>
                <w:iCs w:val="0"/>
                <w:color w:val="000000"/>
                <w:kern w:val="0"/>
                <w:sz w:val="22"/>
                <w:szCs w:val="22"/>
                <w:u w:val="none"/>
                <w:lang w:val="en-US" w:eastAsia="zh-CN" w:bidi="ar"/>
              </w:rPr>
              <w:t>29.50</w:t>
            </w:r>
          </w:p>
        </w:tc>
        <w:tc>
          <w:tcPr>
            <w:tcW w:w="100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Cs w:val="22"/>
              </w:rPr>
            </w:pPr>
          </w:p>
        </w:tc>
        <w:tc>
          <w:tcPr>
            <w:tcW w:w="1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color w:val="000000"/>
                <w:szCs w:val="22"/>
                <w:lang w:val="en-US" w:eastAsia="zh-CN"/>
              </w:rPr>
            </w:pPr>
            <w:r>
              <w:rPr>
                <w:rFonts w:hint="eastAsia" w:ascii="宋体" w:hAnsi="宋体" w:eastAsia="宋体" w:cs="宋体"/>
                <w:i w:val="0"/>
                <w:iCs w:val="0"/>
                <w:color w:val="000000"/>
                <w:kern w:val="0"/>
                <w:sz w:val="22"/>
                <w:szCs w:val="22"/>
                <w:u w:val="none"/>
                <w:lang w:val="en-US" w:eastAsia="zh-CN" w:bidi="ar"/>
              </w:rPr>
              <w:t>29.50</w:t>
            </w:r>
          </w:p>
        </w:tc>
        <w:tc>
          <w:tcPr>
            <w:tcW w:w="10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1089"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Cs w:val="22"/>
              </w:rPr>
            </w:pPr>
            <w:r>
              <w:rPr>
                <w:rFonts w:hint="eastAsia" w:ascii="宋体" w:hAnsi="宋体" w:eastAsia="宋体" w:cs="宋体"/>
                <w:i w:val="0"/>
                <w:iCs w:val="0"/>
                <w:color w:val="000000"/>
                <w:kern w:val="0"/>
                <w:sz w:val="22"/>
                <w:szCs w:val="22"/>
                <w:u w:val="none"/>
                <w:lang w:val="en-US" w:eastAsia="zh-CN" w:bidi="ar"/>
              </w:rPr>
              <w:t>2120804</w:t>
            </w:r>
          </w:p>
        </w:tc>
        <w:tc>
          <w:tcPr>
            <w:tcW w:w="20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宋体" w:hAnsi="宋体" w:eastAsia="宋体" w:cs="宋体"/>
                <w:color w:val="000000"/>
                <w:szCs w:val="22"/>
                <w:lang w:val="en-US" w:eastAsia="zh-CN"/>
              </w:rPr>
            </w:pPr>
            <w:r>
              <w:rPr>
                <w:rFonts w:hint="eastAsia" w:ascii="宋体" w:hAnsi="宋体" w:eastAsia="宋体" w:cs="宋体"/>
                <w:i w:val="0"/>
                <w:iCs w:val="0"/>
                <w:color w:val="000000"/>
                <w:kern w:val="0"/>
                <w:sz w:val="22"/>
                <w:szCs w:val="22"/>
                <w:u w:val="none"/>
                <w:lang w:val="en-US" w:eastAsia="zh-CN" w:bidi="ar"/>
              </w:rPr>
              <w:t xml:space="preserve">  农村基础设施建设支出</w:t>
            </w:r>
          </w:p>
        </w:tc>
        <w:tc>
          <w:tcPr>
            <w:tcW w:w="100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Cs w:val="22"/>
              </w:rPr>
            </w:pPr>
          </w:p>
        </w:tc>
        <w:tc>
          <w:tcPr>
            <w:tcW w:w="1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color w:val="000000"/>
                <w:szCs w:val="22"/>
                <w:lang w:val="en-US"/>
              </w:rPr>
            </w:pPr>
            <w:r>
              <w:rPr>
                <w:rFonts w:hint="eastAsia" w:ascii="宋体" w:hAnsi="宋体" w:eastAsia="宋体" w:cs="宋体"/>
                <w:i w:val="0"/>
                <w:iCs w:val="0"/>
                <w:color w:val="000000"/>
                <w:kern w:val="0"/>
                <w:sz w:val="22"/>
                <w:szCs w:val="22"/>
                <w:u w:val="none"/>
                <w:lang w:val="en-US" w:eastAsia="zh-CN" w:bidi="ar"/>
              </w:rPr>
              <w:t>24.26</w:t>
            </w:r>
          </w:p>
        </w:tc>
        <w:tc>
          <w:tcPr>
            <w:tcW w:w="1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Cs w:val="22"/>
              </w:rPr>
            </w:pPr>
            <w:r>
              <w:rPr>
                <w:rFonts w:hint="eastAsia" w:ascii="宋体" w:hAnsi="宋体" w:eastAsia="宋体" w:cs="宋体"/>
                <w:i w:val="0"/>
                <w:iCs w:val="0"/>
                <w:color w:val="000000"/>
                <w:kern w:val="0"/>
                <w:sz w:val="22"/>
                <w:szCs w:val="22"/>
                <w:u w:val="none"/>
                <w:lang w:val="en-US" w:eastAsia="zh-CN" w:bidi="ar"/>
              </w:rPr>
              <w:t>24.26</w:t>
            </w:r>
          </w:p>
        </w:tc>
        <w:tc>
          <w:tcPr>
            <w:tcW w:w="100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Cs w:val="22"/>
              </w:rPr>
            </w:pPr>
          </w:p>
        </w:tc>
        <w:tc>
          <w:tcPr>
            <w:tcW w:w="1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Cs w:val="22"/>
              </w:rPr>
            </w:pPr>
            <w:r>
              <w:rPr>
                <w:rFonts w:hint="eastAsia" w:ascii="宋体" w:hAnsi="宋体" w:eastAsia="宋体" w:cs="宋体"/>
                <w:i w:val="0"/>
                <w:iCs w:val="0"/>
                <w:color w:val="000000"/>
                <w:kern w:val="0"/>
                <w:sz w:val="22"/>
                <w:szCs w:val="22"/>
                <w:u w:val="none"/>
                <w:lang w:val="en-US" w:eastAsia="zh-CN" w:bidi="ar"/>
              </w:rPr>
              <w:t>24.26</w:t>
            </w:r>
          </w:p>
        </w:tc>
        <w:tc>
          <w:tcPr>
            <w:tcW w:w="10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1089"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20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100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00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0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bl>
    <w:p>
      <w:pPr>
        <w:rPr>
          <w:b/>
          <w:sz w:val="20"/>
          <w:szCs w:val="22"/>
          <w:highlight w:val="yellow"/>
        </w:rPr>
      </w:pPr>
      <w:r>
        <w:rPr>
          <w:rFonts w:hint="eastAsia" w:ascii="宋体" w:hAnsi="宋体" w:eastAsia="宋体" w:cs="宋体"/>
          <w:sz w:val="20"/>
          <w:szCs w:val="22"/>
        </w:rPr>
        <w:t>注：本表反映部门本年度政府性基金预算财政拨款收入、支出及结转结余情况。</w:t>
      </w:r>
      <w:r>
        <w:rPr>
          <w:b/>
          <w:sz w:val="20"/>
          <w:szCs w:val="22"/>
          <w:highlight w:val="yellow"/>
        </w:rPr>
        <w:br w:type="page"/>
      </w:r>
    </w:p>
    <w:tbl>
      <w:tblPr>
        <w:tblStyle w:val="5"/>
        <w:tblW w:w="9064" w:type="dxa"/>
        <w:tblInd w:w="0" w:type="dxa"/>
        <w:tblLayout w:type="fixed"/>
        <w:tblCellMar>
          <w:top w:w="0" w:type="dxa"/>
          <w:left w:w="0" w:type="dxa"/>
          <w:bottom w:w="0" w:type="dxa"/>
          <w:right w:w="0" w:type="dxa"/>
        </w:tblCellMar>
      </w:tblPr>
      <w:tblGrid>
        <w:gridCol w:w="630"/>
        <w:gridCol w:w="661"/>
        <w:gridCol w:w="177"/>
        <w:gridCol w:w="2780"/>
        <w:gridCol w:w="1138"/>
        <w:gridCol w:w="296"/>
        <w:gridCol w:w="1421"/>
        <w:gridCol w:w="1417"/>
        <w:gridCol w:w="544"/>
      </w:tblGrid>
      <w:tr>
        <w:tblPrEx>
          <w:tblCellMar>
            <w:top w:w="0" w:type="dxa"/>
            <w:left w:w="0" w:type="dxa"/>
            <w:bottom w:w="0" w:type="dxa"/>
            <w:right w:w="0" w:type="dxa"/>
          </w:tblCellMar>
        </w:tblPrEx>
        <w:trPr>
          <w:gridAfter w:val="1"/>
          <w:wAfter w:w="544" w:type="dxa"/>
          <w:trHeight w:val="824" w:hRule="atLeast"/>
        </w:trPr>
        <w:tc>
          <w:tcPr>
            <w:tcW w:w="8520" w:type="dxa"/>
            <w:gridSpan w:val="8"/>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黑体" w:hAnsi="宋体" w:eastAsia="黑体" w:cs="黑体"/>
                <w:color w:val="000000"/>
                <w:sz w:val="28"/>
                <w:szCs w:val="28"/>
              </w:rPr>
            </w:pPr>
            <w:r>
              <w:rPr>
                <w:rFonts w:hint="eastAsia" w:ascii="黑体" w:hAnsi="宋体" w:eastAsia="黑体" w:cs="黑体"/>
                <w:color w:val="000000"/>
                <w:kern w:val="0"/>
                <w:sz w:val="28"/>
                <w:szCs w:val="28"/>
                <w:lang w:bidi="ar"/>
              </w:rPr>
              <w:t>国有资本经营预算财政拨款支出决算表</w:t>
            </w:r>
          </w:p>
        </w:tc>
      </w:tr>
      <w:tr>
        <w:tblPrEx>
          <w:tblCellMar>
            <w:top w:w="0" w:type="dxa"/>
            <w:left w:w="0" w:type="dxa"/>
            <w:bottom w:w="0" w:type="dxa"/>
            <w:right w:w="0" w:type="dxa"/>
          </w:tblCellMar>
        </w:tblPrEx>
        <w:trPr>
          <w:trHeight w:val="250" w:hRule="atLeast"/>
        </w:trPr>
        <w:tc>
          <w:tcPr>
            <w:tcW w:w="630"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6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7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918" w:type="dxa"/>
            <w:gridSpan w:val="2"/>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678" w:type="dxa"/>
            <w:gridSpan w:val="4"/>
            <w:vMerge w:val="restart"/>
            <w:tcBorders>
              <w:top w:val="nil"/>
              <w:left w:val="nil"/>
              <w:right w:val="nil"/>
            </w:tcBorders>
            <w:shd w:val="clear" w:color="auto" w:fill="auto"/>
            <w:noWrap/>
            <w:tcMar>
              <w:top w:w="15" w:type="dxa"/>
              <w:left w:w="15" w:type="dxa"/>
              <w:right w:w="15" w:type="dxa"/>
            </w:tcMar>
            <w:vAlign w:val="bottom"/>
          </w:tcPr>
          <w:p>
            <w:pPr>
              <w:widowControl/>
              <w:ind w:firstLine="1800" w:firstLineChars="900"/>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公开09表</w:t>
            </w:r>
          </w:p>
          <w:p>
            <w:pPr>
              <w:ind w:right="400" w:firstLine="1300" w:firstLineChars="650"/>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金额单位：万元</w:t>
            </w:r>
          </w:p>
        </w:tc>
      </w:tr>
      <w:tr>
        <w:tblPrEx>
          <w:tblCellMar>
            <w:top w:w="0" w:type="dxa"/>
            <w:left w:w="0" w:type="dxa"/>
            <w:bottom w:w="0" w:type="dxa"/>
            <w:right w:w="0" w:type="dxa"/>
          </w:tblCellMar>
        </w:tblPrEx>
        <w:trPr>
          <w:trHeight w:val="250" w:hRule="atLeast"/>
        </w:trPr>
        <w:tc>
          <w:tcPr>
            <w:tcW w:w="630" w:type="dxa"/>
            <w:tcBorders>
              <w:top w:val="nil"/>
              <w:left w:val="nil"/>
              <w:bottom w:val="nil"/>
              <w:right w:val="nil"/>
            </w:tcBorders>
            <w:shd w:val="clear" w:color="auto" w:fill="auto"/>
            <w:noWrap/>
            <w:tcMar>
              <w:top w:w="15" w:type="dxa"/>
              <w:left w:w="15" w:type="dxa"/>
              <w:right w:w="15" w:type="dxa"/>
            </w:tcMar>
            <w:vAlign w:val="bottom"/>
          </w:tcPr>
          <w:p>
            <w:pPr>
              <w:widowControl/>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部门：</w:t>
            </w:r>
          </w:p>
        </w:tc>
        <w:tc>
          <w:tcPr>
            <w:tcW w:w="6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7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918" w:type="dxa"/>
            <w:gridSpan w:val="2"/>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678" w:type="dxa"/>
            <w:gridSpan w:val="4"/>
            <w:vMerge w:val="continue"/>
            <w:tcBorders>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p>
        </w:tc>
      </w:tr>
      <w:tr>
        <w:tblPrEx>
          <w:tblCellMar>
            <w:top w:w="0" w:type="dxa"/>
            <w:left w:w="0" w:type="dxa"/>
            <w:bottom w:w="0" w:type="dxa"/>
            <w:right w:w="0" w:type="dxa"/>
          </w:tblCellMar>
        </w:tblPrEx>
        <w:trPr>
          <w:gridAfter w:val="1"/>
          <w:wAfter w:w="544" w:type="dxa"/>
          <w:trHeight w:val="302" w:hRule="atLeast"/>
        </w:trPr>
        <w:tc>
          <w:tcPr>
            <w:tcW w:w="4248"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科目</w:t>
            </w:r>
          </w:p>
        </w:tc>
        <w:tc>
          <w:tcPr>
            <w:tcW w:w="4272" w:type="dxa"/>
            <w:gridSpan w:val="4"/>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本年支出</w:t>
            </w:r>
          </w:p>
        </w:tc>
      </w:tr>
      <w:tr>
        <w:tblPrEx>
          <w:tblCellMar>
            <w:top w:w="0" w:type="dxa"/>
            <w:left w:w="0" w:type="dxa"/>
            <w:bottom w:w="0" w:type="dxa"/>
            <w:right w:w="0" w:type="dxa"/>
          </w:tblCellMar>
        </w:tblPrEx>
        <w:trPr>
          <w:gridAfter w:val="1"/>
          <w:wAfter w:w="544" w:type="dxa"/>
          <w:trHeight w:val="604" w:hRule="atLeast"/>
        </w:trPr>
        <w:tc>
          <w:tcPr>
            <w:tcW w:w="1291"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功能分类科目编码</w:t>
            </w:r>
          </w:p>
        </w:tc>
        <w:tc>
          <w:tcPr>
            <w:tcW w:w="295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科目名称</w:t>
            </w: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小计</w:t>
            </w: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基本支出</w:t>
            </w: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项目支出</w:t>
            </w:r>
          </w:p>
        </w:tc>
      </w:tr>
      <w:tr>
        <w:tblPrEx>
          <w:tblCellMar>
            <w:top w:w="0" w:type="dxa"/>
            <w:left w:w="0" w:type="dxa"/>
            <w:bottom w:w="0" w:type="dxa"/>
            <w:right w:w="0" w:type="dxa"/>
          </w:tblCellMar>
        </w:tblPrEx>
        <w:trPr>
          <w:gridAfter w:val="1"/>
          <w:wAfter w:w="544" w:type="dxa"/>
          <w:trHeight w:val="302" w:hRule="atLeast"/>
        </w:trPr>
        <w:tc>
          <w:tcPr>
            <w:tcW w:w="424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栏次</w:t>
            </w: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w:t>
            </w: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2</w:t>
            </w: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3</w:t>
            </w:r>
          </w:p>
        </w:tc>
      </w:tr>
      <w:tr>
        <w:tblPrEx>
          <w:tblCellMar>
            <w:top w:w="0" w:type="dxa"/>
            <w:left w:w="0" w:type="dxa"/>
            <w:bottom w:w="0" w:type="dxa"/>
            <w:right w:w="0" w:type="dxa"/>
          </w:tblCellMar>
        </w:tblPrEx>
        <w:trPr>
          <w:gridAfter w:val="1"/>
          <w:wAfter w:w="544" w:type="dxa"/>
          <w:trHeight w:val="302" w:hRule="atLeast"/>
        </w:trPr>
        <w:tc>
          <w:tcPr>
            <w:tcW w:w="424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合计</w:t>
            </w: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bl>
    <w:p>
      <w:pPr>
        <w:rPr>
          <w:rFonts w:ascii="黑体" w:hAnsi="黑体" w:eastAsia="黑体" w:cs="黑体"/>
          <w:sz w:val="56"/>
          <w:szCs w:val="72"/>
          <w:highlight w:val="none"/>
        </w:rPr>
      </w:pPr>
      <w:r>
        <w:rPr>
          <w:rFonts w:hint="eastAsia" w:ascii="宋体" w:hAnsi="宋体" w:eastAsia="宋体" w:cs="宋体"/>
        </w:rPr>
        <w:t>注：本表反映部门本年度国有资本经营预算财政拨款收入、支出及结转结余情况。</w:t>
      </w:r>
      <w:r>
        <w:rPr>
          <w:rFonts w:hint="eastAsia" w:ascii="宋体" w:hAnsi="宋体" w:eastAsia="宋体" w:cs="宋体"/>
          <w:b/>
          <w:highlight w:val="none"/>
        </w:rPr>
        <w:t>本部门本年度无相关支出情况，按要求以空表列示。</w:t>
      </w:r>
    </w:p>
    <w:p>
      <w:pPr>
        <w:rPr>
          <w:rFonts w:ascii="黑体" w:hAnsi="黑体" w:eastAsia="黑体" w:cs="黑体"/>
          <w:sz w:val="56"/>
          <w:szCs w:val="72"/>
        </w:rPr>
      </w:pPr>
    </w:p>
    <w:p>
      <w:pPr>
        <w:rPr>
          <w:rFonts w:ascii="黑体" w:hAnsi="黑体" w:eastAsia="黑体" w:cs="黑体"/>
          <w:sz w:val="56"/>
          <w:szCs w:val="72"/>
        </w:rPr>
      </w:pPr>
    </w:p>
    <w:p>
      <w:pPr>
        <w:rPr>
          <w:rFonts w:ascii="黑体" w:hAnsi="黑体" w:eastAsia="黑体" w:cs="黑体"/>
          <w:sz w:val="56"/>
          <w:szCs w:val="72"/>
        </w:rPr>
      </w:pPr>
    </w:p>
    <w:p>
      <w:pPr>
        <w:rPr>
          <w:rFonts w:ascii="黑体" w:hAnsi="黑体" w:eastAsia="黑体" w:cs="黑体"/>
          <w:sz w:val="56"/>
          <w:szCs w:val="72"/>
        </w:rPr>
      </w:pPr>
    </w:p>
    <w:p>
      <w:pPr>
        <w:rPr>
          <w:rFonts w:ascii="黑体" w:hAnsi="黑体" w:eastAsia="黑体" w:cs="黑体"/>
          <w:sz w:val="56"/>
          <w:szCs w:val="72"/>
        </w:rPr>
      </w:pPr>
    </w:p>
    <w:p>
      <w:pPr>
        <w:rPr>
          <w:rFonts w:ascii="黑体" w:hAnsi="黑体" w:eastAsia="黑体" w:cs="黑体"/>
          <w:sz w:val="56"/>
          <w:szCs w:val="72"/>
        </w:rPr>
      </w:pPr>
    </w:p>
    <w:p>
      <w:pPr>
        <w:tabs>
          <w:tab w:val="left" w:pos="235"/>
        </w:tabs>
        <w:spacing w:line="600" w:lineRule="exact"/>
        <w:ind w:firstLine="640" w:firstLineChars="200"/>
        <w:jc w:val="left"/>
        <w:rPr>
          <w:rFonts w:hint="eastAsia" w:ascii="仿宋_GB2312" w:hAnsi="Cambria" w:eastAsia="仿宋_GB2312" w:cs="Arial Black"/>
          <w:kern w:val="0"/>
          <w:sz w:val="32"/>
          <w:szCs w:val="32"/>
        </w:rPr>
        <w:sectPr>
          <w:pgSz w:w="11906" w:h="16838"/>
          <w:pgMar w:top="1984" w:right="1531" w:bottom="2098" w:left="1531" w:header="851" w:footer="992" w:gutter="0"/>
          <w:cols w:space="425" w:num="1"/>
          <w:docGrid w:type="lines" w:linePitch="312" w:charSpace="0"/>
        </w:sectPr>
      </w:pPr>
    </w:p>
    <w:p>
      <w:pPr>
        <w:tabs>
          <w:tab w:val="left" w:pos="235"/>
        </w:tabs>
        <w:spacing w:line="600" w:lineRule="exact"/>
        <w:ind w:firstLine="640" w:firstLineChars="200"/>
        <w:jc w:val="left"/>
        <w:rPr>
          <w:rFonts w:ascii="仿宋_GB2312" w:hAnsi="Cambria" w:eastAsia="仿宋_GB2312" w:cs="Arial Black"/>
          <w:kern w:val="0"/>
          <w:sz w:val="32"/>
          <w:szCs w:val="32"/>
        </w:rPr>
      </w:pPr>
      <w:r>
        <w:rPr>
          <w:sz w:val="32"/>
        </w:rPr>
        <mc:AlternateContent>
          <mc:Choice Requires="wps">
            <w:drawing>
              <wp:anchor distT="0" distB="0" distL="114300" distR="114300" simplePos="0" relativeHeight="251664384" behindDoc="0" locked="0" layoutInCell="1" allowOverlap="1">
                <wp:simplePos x="0" y="0"/>
                <wp:positionH relativeFrom="column">
                  <wp:posOffset>-993140</wp:posOffset>
                </wp:positionH>
                <wp:positionV relativeFrom="paragraph">
                  <wp:posOffset>-1353820</wp:posOffset>
                </wp:positionV>
                <wp:extent cx="7632700" cy="10695940"/>
                <wp:effectExtent l="0" t="0" r="2540" b="2540"/>
                <wp:wrapNone/>
                <wp:docPr id="3" name="矩形 3"/>
                <wp:cNvGraphicFramePr/>
                <a:graphic xmlns:a="http://schemas.openxmlformats.org/drawingml/2006/main">
                  <a:graphicData uri="http://schemas.microsoft.com/office/word/2010/wordprocessingShape">
                    <wps:wsp>
                      <wps:cNvSpPr/>
                      <wps:spPr>
                        <a:xfrm>
                          <a:off x="697865" y="1375410"/>
                          <a:ext cx="7632700" cy="1069594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8.2pt;margin-top:-106.6pt;height:842.2pt;width:601pt;z-index:251664384;v-text-anchor:middle;mso-width-relative:page;mso-height-relative:page;" fillcolor="#BDD7EE [1300]" filled="t" stroked="f" coordsize="21600,21600" o:gfxdata="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AaR&#10;7+fcAAAADwEAAA8AAAAAAAAAAQAgAAAAIgAAAGRycy9kb3ducmV2LnhtbFBLAQIUABQAAAAIAIdO&#10;4kBIxKP9kQIAABEFAAAOAAAAAAAAAAEAIAAAACsBAABkcnMvZTJvRG9jLnhtbFBLBQYAAAAABgAG&#10;AFkBAAAuBgAAAAA=&#10;">
                <v:fill on="t" focussize="0,0"/>
                <v:stroke on="f" weight="1pt" miterlimit="8" joinstyle="miter"/>
                <v:imagedata o:title=""/>
                <o:lock v:ext="edit" aspectratio="f"/>
              </v:rect>
            </w:pict>
          </mc:Fallback>
        </mc:AlternateContent>
      </w:r>
    </w:p>
    <w:sectPr>
      <w:pgSz w:w="11906" w:h="16838"/>
      <w:pgMar w:top="2098" w:right="1531" w:bottom="1984"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Arial Black">
    <w:panose1 w:val="020B0A04020102020204"/>
    <w:charset w:val="00"/>
    <w:family w:val="swiss"/>
    <w:pitch w:val="default"/>
    <w:sig w:usb0="00000287" w:usb1="00000000" w:usb2="00000000" w:usb3="00000000" w:csb0="2000009F" w:csb1="DFD70000"/>
  </w:font>
  <w:font w:name="Cambria">
    <w:panose1 w:val="02040503050406030204"/>
    <w:charset w:val="00"/>
    <w:family w:val="roman"/>
    <w:pitch w:val="default"/>
    <w:sig w:usb0="E00002FF" w:usb1="400004FF" w:usb2="00000000" w:usb3="00000000" w:csb0="2000019F" w:csb1="00000000"/>
  </w:font>
  <w:font w:name="Mongolian Baiti">
    <w:panose1 w:val="03000500000000000000"/>
    <w:charset w:val="00"/>
    <w:family w:val="script"/>
    <w:pitch w:val="default"/>
    <w:sig w:usb0="80000023" w:usb1="00000000" w:usb2="0002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5DB9A87"/>
    <w:multiLevelType w:val="singleLevel"/>
    <w:tmpl w:val="45DB9A87"/>
    <w:lvl w:ilvl="0" w:tentative="0">
      <w:start w:val="3"/>
      <w:numFmt w:val="chineseCounting"/>
      <w:suff w:val="nothing"/>
      <w:lvlText w:val="（%1）"/>
      <w:lvlJc w:val="left"/>
      <w:rPr>
        <w:rFonts w:hint="eastAsia"/>
      </w:rPr>
    </w:lvl>
  </w:abstractNum>
  <w:abstractNum w:abstractNumId="1">
    <w:nsid w:val="59950409"/>
    <w:multiLevelType w:val="singleLevel"/>
    <w:tmpl w:val="59950409"/>
    <w:lvl w:ilvl="0" w:tentative="0">
      <w:start w:val="1"/>
      <w:numFmt w:val="decimal"/>
      <w:suff w:val="space"/>
      <w:lvlText w:val="%1."/>
      <w:lvlJc w:val="left"/>
    </w:lvl>
  </w:abstractNum>
  <w:abstractNum w:abstractNumId="2">
    <w:nsid w:val="78C1413D"/>
    <w:multiLevelType w:val="singleLevel"/>
    <w:tmpl w:val="78C1413D"/>
    <w:lvl w:ilvl="0" w:tentative="0">
      <w:start w:val="1"/>
      <w:numFmt w:val="decimal"/>
      <w:suff w:val="space"/>
      <w:lvlText w:val="%1."/>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61A05"/>
    <w:rsid w:val="0018668E"/>
    <w:rsid w:val="001B73D2"/>
    <w:rsid w:val="001E62BF"/>
    <w:rsid w:val="00293E7B"/>
    <w:rsid w:val="002D1F4F"/>
    <w:rsid w:val="00366D90"/>
    <w:rsid w:val="003D678E"/>
    <w:rsid w:val="00723724"/>
    <w:rsid w:val="00801F66"/>
    <w:rsid w:val="009334BF"/>
    <w:rsid w:val="00EE5ABD"/>
    <w:rsid w:val="01994291"/>
    <w:rsid w:val="04145310"/>
    <w:rsid w:val="058B71E0"/>
    <w:rsid w:val="05D435BA"/>
    <w:rsid w:val="07C470B3"/>
    <w:rsid w:val="09E12740"/>
    <w:rsid w:val="0EA325C9"/>
    <w:rsid w:val="12B53C3F"/>
    <w:rsid w:val="14BE4DF7"/>
    <w:rsid w:val="17EB2D0C"/>
    <w:rsid w:val="298F56E8"/>
    <w:rsid w:val="2BF44B44"/>
    <w:rsid w:val="2F2A75ED"/>
    <w:rsid w:val="2FB96948"/>
    <w:rsid w:val="303E5E56"/>
    <w:rsid w:val="3327616A"/>
    <w:rsid w:val="34BE0531"/>
    <w:rsid w:val="34C45458"/>
    <w:rsid w:val="35C83C42"/>
    <w:rsid w:val="35E93E28"/>
    <w:rsid w:val="37BD32C2"/>
    <w:rsid w:val="38995613"/>
    <w:rsid w:val="42925E4B"/>
    <w:rsid w:val="43755B86"/>
    <w:rsid w:val="45346B32"/>
    <w:rsid w:val="48660211"/>
    <w:rsid w:val="49752067"/>
    <w:rsid w:val="4A9C625A"/>
    <w:rsid w:val="4D9E15EB"/>
    <w:rsid w:val="4F565509"/>
    <w:rsid w:val="50F80101"/>
    <w:rsid w:val="55863126"/>
    <w:rsid w:val="5C916D48"/>
    <w:rsid w:val="5D0C63C4"/>
    <w:rsid w:val="619F636B"/>
    <w:rsid w:val="65BE3337"/>
    <w:rsid w:val="68377FA1"/>
    <w:rsid w:val="6A0F3D2E"/>
    <w:rsid w:val="710C77C5"/>
    <w:rsid w:val="73D824BD"/>
    <w:rsid w:val="7B2E57E1"/>
    <w:rsid w:val="7BDA329F"/>
    <w:rsid w:val="7CAC3A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1"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character" w:default="1" w:styleId="7">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3">
    <w:name w:val="footer"/>
    <w:basedOn w:val="1"/>
    <w:unhideWhenUsed/>
    <w:qFormat/>
    <w:uiPriority w:val="99"/>
    <w:pPr>
      <w:tabs>
        <w:tab w:val="center" w:pos="4153"/>
        <w:tab w:val="right" w:pos="8306"/>
      </w:tabs>
      <w:snapToGrid w:val="0"/>
      <w:jc w:val="left"/>
    </w:pPr>
    <w:rPr>
      <w:sz w:val="18"/>
      <w:szCs w:val="18"/>
    </w:rPr>
  </w:style>
  <w:style w:type="paragraph" w:styleId="4">
    <w:name w:val="header"/>
    <w:basedOn w:val="1"/>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sz w:val="18"/>
      <w:szCs w:val="18"/>
    </w:rPr>
  </w:style>
  <w:style w:type="table" w:styleId="6">
    <w:name w:val="Table Grid"/>
    <w:qFormat/>
    <w:uiPriority w:val="1"/>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3.bmp"/><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33</Pages>
  <Words>1732</Words>
  <Characters>9876</Characters>
  <Lines>82</Lines>
  <Paragraphs>23</Paragraphs>
  <TotalTime>3</TotalTime>
  <ScaleCrop>false</ScaleCrop>
  <LinksUpToDate>false</LinksUpToDate>
  <CharactersWithSpaces>11585</CharactersWithSpaces>
  <Application>WPS Office_11.8.2.10972_F1E327BC-269C-435d-A152-05C5408002CA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2021-07-27T05:10:00Z</dcterms:created>
  <dc:creator>王明新TIAD</dc:creator>
  <cp:lastModifiedBy>Administrator</cp:lastModifiedBy>
  <dcterms:modified xsi:type="dcterms:W3CDTF">2022-08-29T03:47:17Z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2052-11.8.2.10972</vt:lpwstr>
  </property>
  <property fmtid="{D5CDD505-2E9C-101B-9397-08002B2CF9AE}" pid="3" name="ICV">
    <vt:lpwstr>C83F44F24DF84F958B7B8B93D5B92264</vt:lpwstr>
  </property>
</Properties>
</file>