
<file path=[Content_Types].xml><?xml version="1.0" encoding="utf-8"?>
<Types xmlns="http://schemas.openxmlformats.org/package/2006/content-types">
  <Default Extension="xml" ContentType="application/xml"/>
  <Default Extension="png" ContentType="image/pn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59264" behindDoc="1" locked="0" layoutInCell="1" allowOverlap="1">
            <wp:simplePos x="0" y="0"/>
            <wp:positionH relativeFrom="column">
              <wp:posOffset>-1092200</wp:posOffset>
            </wp:positionH>
            <wp:positionV relativeFrom="page">
              <wp:posOffset>-37465</wp:posOffset>
            </wp:positionV>
            <wp:extent cx="8778240" cy="10689590"/>
            <wp:effectExtent l="0" t="0" r="8890" b="8255"/>
            <wp:wrapNone/>
            <wp:docPr id="5" name="图片 5" descr="C:\Users\lenovo\Desktop\微信图片_20220830094600.png微信图片_20220830094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lenovo\Desktop\微信图片_20220830094600.png微信图片_20220830094600"/>
                    <pic:cNvPicPr>
                      <a:picLocks noChangeAspect="1"/>
                    </pic:cNvPicPr>
                  </pic:nvPicPr>
                  <pic:blipFill>
                    <a:blip r:embed="rId12"/>
                    <a:srcRect/>
                    <a:stretch>
                      <a:fillRect/>
                    </a:stretch>
                  </pic:blipFill>
                  <pic:spPr>
                    <a:xfrm>
                      <a:off x="0" y="0"/>
                      <a:ext cx="8778240" cy="10689590"/>
                    </a:xfrm>
                    <a:prstGeom prst="rect">
                      <a:avLst/>
                    </a:prstGeom>
                  </pic:spPr>
                </pic:pic>
              </a:graphicData>
            </a:graphic>
          </wp:anchor>
        </w:drawing>
      </w:r>
      <w:r>
        <w:br w:type="page"/>
      </w:r>
    </w:p>
    <w:p>
      <w:pPr>
        <w:rPr>
          <w:rFonts w:ascii="黑体" w:hAnsi="黑体" w:eastAsia="黑体" w:cs="黑体"/>
          <w:sz w:val="72"/>
          <w:szCs w:val="96"/>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rPr>
          <w:rFonts w:ascii="黑体" w:hAnsi="黑体" w:eastAsia="黑体" w:cs="黑体"/>
          <w:sz w:val="72"/>
          <w:szCs w:val="96"/>
        </w:rPr>
      </w:pPr>
      <w:r>
        <w:rPr>
          <w:rFonts w:hint="eastAsia" w:ascii="黑体" w:hAnsi="黑体" w:eastAsia="黑体" w:cs="黑体"/>
          <w:sz w:val="72"/>
          <w:szCs w:val="96"/>
        </w:rPr>
        <w:t>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pgSz w:w="11906" w:h="16838"/>
          <w:pgMar w:top="2098" w:right="1531" w:bottom="1984"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二〇二一年</w:t>
      </w:r>
      <w:r>
        <w:rPr>
          <w:rFonts w:hint="eastAsia" w:ascii="楷体_GB2312" w:hAnsi="楷体_GB2312" w:eastAsia="楷体_GB2312" w:cs="楷体_GB2312"/>
          <w:color w:val="000000" w:themeColor="text1"/>
          <w:kern w:val="0"/>
          <w:sz w:val="40"/>
          <w:szCs w:val="40"/>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w:t>
      </w:r>
      <w:r>
        <w:rPr>
          <w:rFonts w:hint="eastAsia"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4" w:type="first"/>
          <w:footerReference r:id="rId5" w:type="first"/>
          <w:headerReference r:id="rId3" w:type="default"/>
          <w:pgSz w:w="11906" w:h="16838"/>
          <w:pgMar w:top="2098" w:right="1531" w:bottom="1984" w:left="1531" w:header="851" w:footer="992" w:gutter="0"/>
          <w:cols w:space="0" w:num="1"/>
          <w:titlePg/>
          <w:docGrid w:type="lines" w:linePitch="312" w:charSpace="0"/>
        </w:sect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keepNext w:val="0"/>
        <w:keepLines w:val="0"/>
        <w:pageBreakBefore w:val="0"/>
        <w:widowControl/>
        <w:kinsoku/>
        <w:wordWrap/>
        <w:overflowPunct/>
        <w:topLinePunct w:val="0"/>
        <w:autoSpaceDE/>
        <w:autoSpaceDN/>
        <w:bidi w:val="0"/>
        <w:adjustRightInd/>
        <w:snapToGrid/>
        <w:spacing w:line="640" w:lineRule="exact"/>
        <w:ind w:firstLine="1273" w:firstLineChars="398"/>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keepNext w:val="0"/>
        <w:keepLines w:val="0"/>
        <w:pageBreakBefore w:val="0"/>
        <w:widowControl/>
        <w:kinsoku/>
        <w:wordWrap/>
        <w:overflowPunct/>
        <w:topLinePunct w:val="0"/>
        <w:autoSpaceDE/>
        <w:autoSpaceDN/>
        <w:bidi w:val="0"/>
        <w:adjustRightInd/>
        <w:snapToGrid/>
        <w:spacing w:line="640" w:lineRule="exact"/>
        <w:ind w:firstLine="1273" w:firstLineChars="398"/>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年部门决算情况说明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一、收入支出决算总体情况说明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二、收入决算情况说明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三、支出决算情况说明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八、政府采购情况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第三部分   名词解释</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 xml:space="preserve"> 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headerReference r:id="rId7" w:type="first"/>
          <w:footerReference r:id="rId9" w:type="first"/>
          <w:headerReference r:id="rId6" w:type="default"/>
          <w:footerReference r:id="rId8" w:type="default"/>
          <w:type w:val="continuous"/>
          <w:pgSz w:w="11906" w:h="16838"/>
          <w:pgMar w:top="2098" w:right="1531" w:bottom="1984"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60288" behindDoc="0" locked="0" layoutInCell="1" allowOverlap="1">
                <wp:simplePos x="0" y="0"/>
                <wp:positionH relativeFrom="column">
                  <wp:posOffset>-1088390</wp:posOffset>
                </wp:positionH>
                <wp:positionV relativeFrom="paragraph">
                  <wp:posOffset>1024890</wp:posOffset>
                </wp:positionV>
                <wp:extent cx="7793355" cy="3341370"/>
                <wp:effectExtent l="6350" t="6350" r="18415" b="2032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12700" cmpd="sng">
                          <a:solidFill>
                            <a:schemeClr val="bg1">
                              <a:lumMod val="65000"/>
                            </a:schemeClr>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660288;v-text-anchor:middle;mso-width-relative:page;mso-height-relative:page;" fillcolor="#7F7F7F [1612]" filled="t" stroked="t" coordsize="21600,21600" o:gfxdata="UEsDBAoAAAAAAIdO4kAAAAAAAAAAAAAAAAAEAAAAZHJzL1BLAwQUAAAACACHTuJAN/3mCNwAAAAN&#10;AQAADwAAAGRycy9kb3ducmV2LnhtbE2Py07DMBBF90j8gzVIbFBrB9E0hDhdIEDtqmqJBEsnHpKI&#10;eBzZ7uvv66xgN6N7dOdMsTqbgR3R+d6ShGQugCE1VvfUSqg+32cZMB8UaTVYQgkX9LAqb28KlWt7&#10;oh0e96FlsYR8riR0IYw5577p0Cg/tyNSzH6sMyrE1bVcO3WK5Wbgj0Kk3Kie4oVOjfjaYfO7PxgJ&#10;X+ux+n7YZh+bbrur3jaZry/OS3l/l4gXYAHP4Q+GST+qQxmdansg7dkgYZYsk6fIxiSdhgkRi8Uz&#10;sFpCmi1T4GXB/39RXgFQSwMEFAAAAAgAh07iQI/wWfigAgAAcQUAAA4AAABkcnMvZTJvRG9jLnht&#10;bK1US27bMBDdF+gdCO4b+Rs3RuTAjeGiQNoESIuuaYqyBPBXkraVHqC9QVfddN9z5Rx9pGTnu8ii&#10;FiAPZ54e38xweHrWKEm2wvna6Jz2j3qUCM1NUet1Tr98Xr55S4kPTBdMGi1yeiM8PZu9fnW6s1Mx&#10;MJWRhXAEJNpPdzanVQh2mmWeV0Ixf2Ss0AiWxikWsHTrrHBsB3Yls0Gvd5ztjCusM1x4D++iDdKO&#10;0b2E0JRlzcXC8I0SOrSsTkgWkJKvauvpLKktS8HDZVl6EYjMKTIN6Y1NYK/iO5udsunaMVvVvJPA&#10;XiLhUU6K1RqbHqgWLDCycfUTKlVzZ7wpwxE3KmsTSRVBFv3eo9pcV8yKlAtK7e2h6P7/0fJP2ytH&#10;6gInYTSkRDOFlt/++nn7++/tnx8kOlGinfVTIK8tsKF5ZxrA934PZ8y8KZ2K/8iJII4C3xwKLJpA&#10;OJyTyclwOB5TwhEbDkf94SS1ILv73Dof3gujSDRy6tDBVFi2vfABUgDdQ+JuloWwrKXs4JaHcYKX&#10;63OZZHm3XsEkW4YTMFnGJwHkRn00Rese9/CL+YC8wyf7QLJ6lm2Zft13HSTK6yRFeVKTHWo1mICf&#10;cGVRZ6/XSYA3si6i9Ih7oHJ+HJ8nKo+jzGdUPiCKtVkwX7WJpVD3idTIKTaybVi0QrNquu6uTHGD&#10;5jrTToi3fFmD6oL5cMUcRgL6cWmES7xKaZCU6SxKKuO+P+ePeJxURCnZYcSQ+7cNc4IS+UHjDJ/0&#10;RyPQhrQYjScDLNz9yOp+RG/UuUEP+7ieLE9mxAe5N0tn1FfcLfO4K0JMc+ydUx7cfnEe2tHH7cTF&#10;fJ5gmEN07EJfWx7JYze0mW+CKet03mKh2up09cMkptPR3Rpx1O+vE+ruppz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Df95gjcAAAADQEAAA8AAAAAAAAAAQAgAAAAIgAAAGRycy9kb3ducmV2Lnht&#10;bFBLAQIUABQAAAAIAIdO4kCP8Fn4oAIAAHEFAAAOAAAAAAAAAAEAIAAAACsBAABkcnMvZTJvRG9j&#10;LnhtbFBLBQYAAAAABgAGAFkBAAA9BgAAAAA=&#10;">
                <v:fill type="pattern" on="t" color2="#FFFFFF [3212]" o:title="5%" focussize="0,0" r:id="rId13"/>
                <v:stroke weight="1pt" color="#A6A6A6 [2092]"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600" w:lineRule="exact"/>
        <w:ind w:firstLine="608" w:firstLineChars="200"/>
        <w:rPr>
          <w:rFonts w:hint="eastAsia" w:ascii="仿宋_GB2312" w:hAnsi="仿宋_GB2312" w:eastAsia="仿宋_GB2312" w:cs="仿宋_GB2312"/>
          <w:bCs/>
          <w:spacing w:val="-8"/>
          <w:sz w:val="32"/>
          <w:szCs w:val="32"/>
        </w:rPr>
      </w:pPr>
      <w:r>
        <w:rPr>
          <w:rFonts w:hint="eastAsia" w:ascii="仿宋_GB2312" w:hAnsi="仿宋_GB2312" w:eastAsia="仿宋_GB2312" w:cs="仿宋_GB2312"/>
          <w:bCs/>
          <w:spacing w:val="-8"/>
          <w:sz w:val="32"/>
          <w:szCs w:val="32"/>
        </w:rPr>
        <w:t>（一）主管全区审计工作。负责对全区财政收支和依法属于审计监督范围的财务收支的真实、合法和效益进行审计监督，对公共资金、国有资产、国有资源和领导干部履行经济责任情况实行审计全覆盖，对领导干部实行自然资源资产离任审计，对国家、省、市和区委、区政府相关重大政策措施贯彻落实情况进行跟踪审计。对审计、专项审计调查和核查社会审计机构相关审计报告的结果承担责任，并负有督促被审计单位整改的责任。</w:t>
      </w:r>
    </w:p>
    <w:p>
      <w:pPr>
        <w:spacing w:line="600" w:lineRule="exact"/>
        <w:ind w:firstLine="608" w:firstLineChars="200"/>
        <w:rPr>
          <w:rFonts w:hint="eastAsia" w:ascii="仿宋_GB2312" w:hAnsi="仿宋_GB2312" w:eastAsia="仿宋_GB2312" w:cs="仿宋_GB2312"/>
          <w:bCs/>
          <w:spacing w:val="-8"/>
          <w:sz w:val="32"/>
          <w:szCs w:val="32"/>
        </w:rPr>
      </w:pPr>
      <w:r>
        <w:rPr>
          <w:rFonts w:hint="eastAsia" w:ascii="仿宋_GB2312" w:hAnsi="仿宋_GB2312" w:eastAsia="仿宋_GB2312" w:cs="仿宋_GB2312"/>
          <w:bCs/>
          <w:spacing w:val="-8"/>
          <w:sz w:val="32"/>
          <w:szCs w:val="32"/>
        </w:rPr>
        <w:t>(二)贯彻执行审计法律、法规和方针、政策。制定审计规范性文件并监督执行；制定并组织实施全区审计工作发展规划和专业领域审计工作规划；制定并组织实施全区年度审计计划，审核、调整年度审计项目计</w:t>
      </w:r>
      <w:r>
        <w:rPr>
          <w:rFonts w:hint="eastAsia" w:ascii="仿宋_GB2312" w:hAnsi="仿宋_GB2312" w:eastAsia="仿宋_GB2312" w:cs="仿宋_GB2312"/>
          <w:bCs/>
          <w:color w:val="auto"/>
          <w:spacing w:val="-8"/>
          <w:sz w:val="32"/>
          <w:szCs w:val="32"/>
          <w:highlight w:val="none"/>
        </w:rPr>
        <w:t>划；制定审计内容的标准和规范；参与制订满城区有关审计、财政经济方面的政府规章草案、制订审计规章制度并监督执行；对直接审计、调查和核查的事项依</w:t>
      </w:r>
      <w:r>
        <w:rPr>
          <w:rFonts w:hint="eastAsia" w:ascii="仿宋_GB2312" w:hAnsi="仿宋_GB2312" w:eastAsia="仿宋_GB2312" w:cs="仿宋_GB2312"/>
          <w:bCs/>
          <w:spacing w:val="-8"/>
          <w:sz w:val="32"/>
          <w:szCs w:val="32"/>
        </w:rPr>
        <w:t>法进行审计评价，作出审计决定或提出审计建议。</w:t>
      </w:r>
    </w:p>
    <w:p>
      <w:pPr>
        <w:spacing w:line="600" w:lineRule="exact"/>
        <w:ind w:firstLine="608" w:firstLineChars="200"/>
        <w:rPr>
          <w:rFonts w:hint="eastAsia" w:ascii="仿宋_GB2312" w:hAnsi="仿宋_GB2312" w:eastAsia="仿宋_GB2312" w:cs="仿宋_GB2312"/>
          <w:bCs/>
          <w:spacing w:val="-8"/>
          <w:sz w:val="32"/>
          <w:szCs w:val="32"/>
        </w:rPr>
      </w:pPr>
      <w:r>
        <w:rPr>
          <w:rFonts w:hint="eastAsia" w:ascii="仿宋_GB2312" w:hAnsi="仿宋_GB2312" w:eastAsia="仿宋_GB2312" w:cs="仿宋_GB2312"/>
          <w:bCs/>
          <w:spacing w:val="-8"/>
          <w:sz w:val="32"/>
          <w:szCs w:val="32"/>
        </w:rPr>
        <w:t xml:space="preserve">（三）向中共保定市满城区委审计委员会提出年度区本级预算执行和其他财政支出情况审计报告。向区长提出年度区本级预算执行和其他财政收支情况的审计结果报告。组织起草区政府向区人大常委会提出的区本级预算执行和其他财政收支情况审计工作报告、审计查出问题整改情况报告。向区委、区政府报告对其他事项的审计和专项审计调查情况及结果。依法向社会公布审计结果。向被审计单位通报审计情况和审计结果。    </w:t>
      </w:r>
    </w:p>
    <w:p>
      <w:pPr>
        <w:spacing w:line="600" w:lineRule="exact"/>
        <w:ind w:firstLine="608" w:firstLineChars="200"/>
        <w:rPr>
          <w:rFonts w:hint="eastAsia" w:ascii="仿宋_GB2312" w:hAnsi="仿宋_GB2312" w:eastAsia="仿宋_GB2312" w:cs="仿宋_GB2312"/>
          <w:bCs/>
          <w:spacing w:val="-8"/>
          <w:sz w:val="32"/>
          <w:szCs w:val="32"/>
        </w:rPr>
      </w:pPr>
      <w:r>
        <w:rPr>
          <w:rFonts w:hint="eastAsia" w:ascii="仿宋_GB2312" w:hAnsi="仿宋_GB2312" w:eastAsia="仿宋_GB2312" w:cs="仿宋_GB2312"/>
          <w:bCs/>
          <w:spacing w:val="-8"/>
          <w:sz w:val="32"/>
          <w:szCs w:val="32"/>
        </w:rPr>
        <w:t>（四）直接审计下列事项，出具审计报告，在法定职权范围内作出审计决定。</w:t>
      </w:r>
    </w:p>
    <w:p>
      <w:pPr>
        <w:spacing w:line="600" w:lineRule="exact"/>
        <w:ind w:firstLine="608" w:firstLineChars="200"/>
        <w:rPr>
          <w:rFonts w:hint="eastAsia" w:ascii="仿宋_GB2312" w:hAnsi="仿宋_GB2312" w:eastAsia="仿宋_GB2312" w:cs="仿宋_GB2312"/>
          <w:bCs/>
          <w:spacing w:val="-8"/>
          <w:sz w:val="32"/>
          <w:szCs w:val="32"/>
        </w:rPr>
      </w:pPr>
      <w:r>
        <w:rPr>
          <w:rFonts w:hint="eastAsia" w:ascii="仿宋_GB2312" w:hAnsi="仿宋_GB2312" w:eastAsia="仿宋_GB2312" w:cs="仿宋_GB2312"/>
          <w:bCs/>
          <w:spacing w:val="-8"/>
          <w:sz w:val="32"/>
          <w:szCs w:val="32"/>
        </w:rPr>
        <w:t>1、国家、省、市和区有关重大政策措施贯彻落实情况。</w:t>
      </w:r>
    </w:p>
    <w:p>
      <w:pPr>
        <w:spacing w:line="600" w:lineRule="exact"/>
        <w:ind w:firstLine="608" w:firstLineChars="200"/>
        <w:rPr>
          <w:rFonts w:hint="eastAsia" w:ascii="仿宋_GB2312" w:hAnsi="仿宋_GB2312" w:eastAsia="仿宋_GB2312" w:cs="仿宋_GB2312"/>
          <w:bCs/>
          <w:spacing w:val="-8"/>
          <w:sz w:val="32"/>
          <w:szCs w:val="32"/>
        </w:rPr>
      </w:pPr>
      <w:r>
        <w:rPr>
          <w:rFonts w:hint="eastAsia" w:ascii="仿宋_GB2312" w:hAnsi="仿宋_GB2312" w:eastAsia="仿宋_GB2312" w:cs="仿宋_GB2312"/>
          <w:bCs/>
          <w:spacing w:val="-8"/>
          <w:sz w:val="32"/>
          <w:szCs w:val="32"/>
        </w:rPr>
        <w:t>2、区本级预算执行情况和其他财政收支，区直各部门（含所属单位）预算执行情况、决算草案和其他财政收支。</w:t>
      </w:r>
    </w:p>
    <w:p>
      <w:pPr>
        <w:spacing w:line="600" w:lineRule="exact"/>
        <w:ind w:firstLine="608" w:firstLineChars="200"/>
        <w:rPr>
          <w:rFonts w:hint="eastAsia" w:ascii="仿宋_GB2312" w:hAnsi="仿宋_GB2312" w:eastAsia="仿宋_GB2312" w:cs="仿宋_GB2312"/>
          <w:bCs/>
          <w:spacing w:val="-8"/>
          <w:sz w:val="32"/>
          <w:szCs w:val="32"/>
        </w:rPr>
      </w:pPr>
      <w:r>
        <w:rPr>
          <w:rFonts w:hint="eastAsia" w:ascii="仿宋_GB2312" w:hAnsi="仿宋_GB2312" w:eastAsia="仿宋_GB2312" w:cs="仿宋_GB2312"/>
          <w:bCs/>
          <w:spacing w:val="-8"/>
          <w:sz w:val="32"/>
          <w:szCs w:val="32"/>
        </w:rPr>
        <w:t>3、乡（镇）政府预算执行情况、决算和其他财政收支。</w:t>
      </w:r>
    </w:p>
    <w:p>
      <w:pPr>
        <w:spacing w:line="600" w:lineRule="exact"/>
        <w:ind w:firstLine="608" w:firstLineChars="200"/>
        <w:rPr>
          <w:rFonts w:hint="eastAsia" w:ascii="仿宋_GB2312" w:hAnsi="仿宋_GB2312" w:eastAsia="仿宋_GB2312" w:cs="仿宋_GB2312"/>
          <w:bCs/>
          <w:spacing w:val="-8"/>
          <w:sz w:val="32"/>
          <w:szCs w:val="32"/>
        </w:rPr>
      </w:pPr>
      <w:r>
        <w:rPr>
          <w:rFonts w:hint="eastAsia" w:ascii="仿宋_GB2312" w:hAnsi="仿宋_GB2312" w:eastAsia="仿宋_GB2312" w:cs="仿宋_GB2312"/>
          <w:bCs/>
          <w:spacing w:val="-8"/>
          <w:sz w:val="32"/>
          <w:szCs w:val="32"/>
        </w:rPr>
        <w:t>4、使用区级财政资金的事业单位和社会团体的财务收支。</w:t>
      </w:r>
    </w:p>
    <w:p>
      <w:pPr>
        <w:spacing w:line="600" w:lineRule="exact"/>
        <w:ind w:firstLine="608" w:firstLineChars="200"/>
        <w:rPr>
          <w:rFonts w:hint="eastAsia" w:ascii="仿宋_GB2312" w:hAnsi="仿宋_GB2312" w:eastAsia="仿宋_GB2312" w:cs="仿宋_GB2312"/>
          <w:bCs/>
          <w:spacing w:val="-8"/>
          <w:sz w:val="32"/>
          <w:szCs w:val="32"/>
        </w:rPr>
      </w:pPr>
      <w:r>
        <w:rPr>
          <w:rFonts w:hint="eastAsia" w:ascii="仿宋_GB2312" w:hAnsi="仿宋_GB2312" w:eastAsia="仿宋_GB2312" w:cs="仿宋_GB2312"/>
          <w:bCs/>
          <w:spacing w:val="-8"/>
          <w:sz w:val="32"/>
          <w:szCs w:val="32"/>
        </w:rPr>
        <w:t>5、区投资和以区投资为主的建设项目的预算执行情况和决算，区公共工程项目的资金管理使用和建设运营情况。</w:t>
      </w:r>
    </w:p>
    <w:p>
      <w:pPr>
        <w:spacing w:line="600" w:lineRule="exact"/>
        <w:ind w:firstLine="608" w:firstLineChars="200"/>
        <w:rPr>
          <w:rFonts w:hint="eastAsia" w:ascii="仿宋_GB2312" w:hAnsi="仿宋_GB2312" w:eastAsia="仿宋_GB2312" w:cs="仿宋_GB2312"/>
          <w:bCs/>
          <w:spacing w:val="-8"/>
          <w:sz w:val="32"/>
          <w:szCs w:val="32"/>
        </w:rPr>
      </w:pPr>
      <w:r>
        <w:rPr>
          <w:rFonts w:hint="eastAsia" w:ascii="仿宋_GB2312" w:hAnsi="仿宋_GB2312" w:eastAsia="仿宋_GB2312" w:cs="仿宋_GB2312"/>
          <w:bCs/>
          <w:spacing w:val="-8"/>
          <w:sz w:val="32"/>
          <w:szCs w:val="32"/>
        </w:rPr>
        <w:t>6、自然资源管理、污染防治和生态保护与修复情况。</w:t>
      </w:r>
    </w:p>
    <w:p>
      <w:pPr>
        <w:spacing w:line="600" w:lineRule="exact"/>
        <w:ind w:firstLine="608" w:firstLineChars="200"/>
        <w:rPr>
          <w:rFonts w:hint="eastAsia" w:ascii="仿宋_GB2312" w:hAnsi="仿宋_GB2312" w:eastAsia="仿宋_GB2312" w:cs="仿宋_GB2312"/>
          <w:bCs/>
          <w:spacing w:val="-8"/>
          <w:sz w:val="32"/>
          <w:szCs w:val="32"/>
        </w:rPr>
      </w:pPr>
      <w:r>
        <w:rPr>
          <w:rFonts w:hint="eastAsia" w:ascii="仿宋_GB2312" w:hAnsi="仿宋_GB2312" w:eastAsia="仿宋_GB2312" w:cs="仿宋_GB2312"/>
          <w:bCs/>
          <w:spacing w:val="-8"/>
          <w:sz w:val="32"/>
          <w:szCs w:val="32"/>
        </w:rPr>
        <w:t>7、对中央、省、市财政安排我区的项目投资进行审计监督，对区重点建设项目的实施情况进行跟踪审计。</w:t>
      </w:r>
    </w:p>
    <w:p>
      <w:pPr>
        <w:spacing w:line="600" w:lineRule="exact"/>
        <w:ind w:firstLine="608" w:firstLineChars="200"/>
        <w:rPr>
          <w:rFonts w:hint="eastAsia" w:ascii="仿宋_GB2312" w:hAnsi="仿宋_GB2312" w:eastAsia="仿宋_GB2312" w:cs="仿宋_GB2312"/>
          <w:bCs/>
          <w:spacing w:val="-8"/>
          <w:sz w:val="32"/>
          <w:szCs w:val="32"/>
        </w:rPr>
      </w:pPr>
      <w:r>
        <w:rPr>
          <w:rFonts w:hint="eastAsia" w:ascii="仿宋_GB2312" w:hAnsi="仿宋_GB2312" w:eastAsia="仿宋_GB2312" w:cs="仿宋_GB2312"/>
          <w:bCs/>
          <w:spacing w:val="-8"/>
          <w:sz w:val="32"/>
          <w:szCs w:val="32"/>
        </w:rPr>
        <w:t>8、区属国有和国有资本占控股或者主导地位的企业境内外</w:t>
      </w:r>
    </w:p>
    <w:p>
      <w:pPr>
        <w:spacing w:line="600" w:lineRule="exact"/>
        <w:ind w:firstLine="608" w:firstLineChars="200"/>
        <w:rPr>
          <w:rFonts w:hint="eastAsia" w:ascii="仿宋_GB2312" w:hAnsi="仿宋_GB2312" w:eastAsia="仿宋_GB2312" w:cs="仿宋_GB2312"/>
          <w:bCs/>
          <w:spacing w:val="-8"/>
          <w:sz w:val="32"/>
          <w:szCs w:val="32"/>
        </w:rPr>
      </w:pPr>
      <w:r>
        <w:rPr>
          <w:rFonts w:hint="eastAsia" w:ascii="仿宋_GB2312" w:hAnsi="仿宋_GB2312" w:eastAsia="仿宋_GB2312" w:cs="仿宋_GB2312"/>
          <w:bCs/>
          <w:spacing w:val="-8"/>
          <w:sz w:val="32"/>
          <w:szCs w:val="32"/>
        </w:rPr>
        <w:t>资产、负债和损益以及区驻外非经营性机构的财务收支。</w:t>
      </w:r>
    </w:p>
    <w:p>
      <w:pPr>
        <w:spacing w:line="600" w:lineRule="exact"/>
        <w:ind w:firstLine="608" w:firstLineChars="200"/>
        <w:rPr>
          <w:rFonts w:hint="eastAsia" w:ascii="仿宋_GB2312" w:hAnsi="仿宋_GB2312" w:eastAsia="仿宋_GB2312" w:cs="仿宋_GB2312"/>
          <w:bCs/>
          <w:spacing w:val="-8"/>
          <w:sz w:val="32"/>
          <w:szCs w:val="32"/>
        </w:rPr>
      </w:pPr>
      <w:r>
        <w:rPr>
          <w:rFonts w:hint="eastAsia" w:ascii="仿宋_GB2312" w:hAnsi="仿宋_GB2312" w:eastAsia="仿宋_GB2312" w:cs="仿宋_GB2312"/>
          <w:bCs/>
          <w:spacing w:val="-8"/>
          <w:sz w:val="32"/>
          <w:szCs w:val="32"/>
        </w:rPr>
        <w:t>9、有关社会保障基金、社会捐赠资金和其他基金、资金的</w:t>
      </w:r>
    </w:p>
    <w:p>
      <w:pPr>
        <w:spacing w:line="600" w:lineRule="exact"/>
        <w:ind w:firstLine="608" w:firstLineChars="200"/>
        <w:rPr>
          <w:rFonts w:hint="eastAsia" w:ascii="仿宋_GB2312" w:hAnsi="仿宋_GB2312" w:eastAsia="仿宋_GB2312" w:cs="仿宋_GB2312"/>
          <w:bCs/>
          <w:spacing w:val="-8"/>
          <w:sz w:val="32"/>
          <w:szCs w:val="32"/>
        </w:rPr>
      </w:pPr>
      <w:r>
        <w:rPr>
          <w:rFonts w:hint="eastAsia" w:ascii="仿宋_GB2312" w:hAnsi="仿宋_GB2312" w:eastAsia="仿宋_GB2312" w:cs="仿宋_GB2312"/>
          <w:bCs/>
          <w:spacing w:val="-8"/>
          <w:sz w:val="32"/>
          <w:szCs w:val="32"/>
        </w:rPr>
        <w:t>财务收支；国际组织和外国政府援助、贷款项目。</w:t>
      </w:r>
    </w:p>
    <w:p>
      <w:pPr>
        <w:spacing w:line="600" w:lineRule="exact"/>
        <w:ind w:firstLine="608" w:firstLineChars="200"/>
        <w:rPr>
          <w:rFonts w:hint="eastAsia" w:ascii="仿宋_GB2312" w:hAnsi="仿宋_GB2312" w:eastAsia="仿宋_GB2312" w:cs="仿宋_GB2312"/>
          <w:bCs/>
          <w:spacing w:val="-8"/>
          <w:sz w:val="32"/>
          <w:szCs w:val="32"/>
        </w:rPr>
      </w:pPr>
      <w:r>
        <w:rPr>
          <w:rFonts w:hint="eastAsia" w:ascii="仿宋_GB2312" w:hAnsi="仿宋_GB2312" w:eastAsia="仿宋_GB2312" w:cs="仿宋_GB2312"/>
          <w:bCs/>
          <w:spacing w:val="-8"/>
          <w:sz w:val="32"/>
          <w:szCs w:val="32"/>
        </w:rPr>
        <w:t>10、法律法规规定的其他事项。</w:t>
      </w:r>
    </w:p>
    <w:p>
      <w:pPr>
        <w:spacing w:line="600" w:lineRule="exact"/>
        <w:ind w:firstLine="608" w:firstLineChars="200"/>
        <w:rPr>
          <w:rFonts w:hint="eastAsia" w:ascii="仿宋_GB2312" w:hAnsi="仿宋_GB2312" w:eastAsia="仿宋_GB2312" w:cs="仿宋_GB2312"/>
          <w:bCs/>
          <w:spacing w:val="-8"/>
          <w:sz w:val="32"/>
          <w:szCs w:val="32"/>
        </w:rPr>
      </w:pPr>
      <w:r>
        <w:rPr>
          <w:rFonts w:hint="eastAsia" w:ascii="仿宋_GB2312" w:hAnsi="仿宋_GB2312" w:eastAsia="仿宋_GB2312" w:cs="仿宋_GB2312"/>
          <w:bCs/>
          <w:spacing w:val="-8"/>
          <w:sz w:val="32"/>
          <w:szCs w:val="32"/>
        </w:rPr>
        <w:t>（五）按规定对区管党政主要领导干部、区属国有及国有控股企业领导人及依法属于区级审计机构审计监督对象的其他单位主要负责人实施经济责任审计和自然资源资产离任审计。</w:t>
      </w:r>
    </w:p>
    <w:p>
      <w:pPr>
        <w:spacing w:line="600" w:lineRule="exact"/>
        <w:ind w:firstLine="608" w:firstLineChars="200"/>
        <w:rPr>
          <w:rFonts w:hint="eastAsia" w:ascii="仿宋_GB2312" w:hAnsi="仿宋_GB2312" w:eastAsia="仿宋_GB2312" w:cs="仿宋_GB2312"/>
          <w:bCs/>
          <w:spacing w:val="-8"/>
          <w:sz w:val="32"/>
          <w:szCs w:val="32"/>
        </w:rPr>
      </w:pPr>
      <w:r>
        <w:rPr>
          <w:rFonts w:hint="eastAsia" w:ascii="仿宋_GB2312" w:hAnsi="仿宋_GB2312" w:eastAsia="仿宋_GB2312" w:cs="仿宋_GB2312"/>
          <w:bCs/>
          <w:spacing w:val="-8"/>
          <w:sz w:val="32"/>
          <w:szCs w:val="32"/>
        </w:rPr>
        <w:t>（六）组织实施对财经法律法规、规章、政策和宏观调控措施执行情况、财政预算管理及国有资产管理使用、重点建设项目的实施情况、与财政收支有关的特定事项进行专项审计调查或跟踪审计。</w:t>
      </w:r>
    </w:p>
    <w:p>
      <w:pPr>
        <w:spacing w:line="600" w:lineRule="exact"/>
        <w:ind w:firstLine="608" w:firstLineChars="200"/>
        <w:rPr>
          <w:rFonts w:hint="eastAsia" w:ascii="仿宋_GB2312" w:hAnsi="仿宋_GB2312" w:eastAsia="仿宋_GB2312" w:cs="仿宋_GB2312"/>
          <w:bCs/>
          <w:spacing w:val="-8"/>
          <w:sz w:val="32"/>
          <w:szCs w:val="32"/>
        </w:rPr>
      </w:pPr>
      <w:r>
        <w:rPr>
          <w:rFonts w:hint="eastAsia" w:ascii="仿宋_GB2312" w:hAnsi="仿宋_GB2312" w:eastAsia="仿宋_GB2312" w:cs="仿宋_GB2312"/>
          <w:bCs/>
          <w:spacing w:val="-8"/>
          <w:sz w:val="32"/>
          <w:szCs w:val="32"/>
        </w:rPr>
        <w:t>（七）依法检查审计决定执行情况，督促整改审计查出的问题，依法办理被审计单位对审计决定提请行政复议、行政诉讼或区政府裁决中的有关事项，协助配合有关部门查处相关重大案件。</w:t>
      </w:r>
    </w:p>
    <w:p>
      <w:pPr>
        <w:spacing w:line="600" w:lineRule="exact"/>
        <w:ind w:firstLine="608" w:firstLineChars="200"/>
        <w:rPr>
          <w:rFonts w:hint="eastAsia" w:ascii="仿宋_GB2312" w:hAnsi="仿宋_GB2312" w:eastAsia="仿宋_GB2312" w:cs="仿宋_GB2312"/>
          <w:bCs/>
          <w:spacing w:val="-8"/>
          <w:sz w:val="32"/>
          <w:szCs w:val="32"/>
        </w:rPr>
      </w:pPr>
      <w:r>
        <w:rPr>
          <w:rFonts w:hint="eastAsia" w:ascii="仿宋_GB2312" w:hAnsi="仿宋_GB2312" w:eastAsia="仿宋_GB2312" w:cs="仿宋_GB2312"/>
          <w:bCs/>
          <w:spacing w:val="-8"/>
          <w:sz w:val="32"/>
          <w:szCs w:val="32"/>
        </w:rPr>
        <w:t>（八）指导和监督内部审计工作，核查社会审计机构对依法属于审计监督对象的单位出具的相关审计报告。</w:t>
      </w:r>
    </w:p>
    <w:p>
      <w:pPr>
        <w:keepNext/>
        <w:keepLines/>
        <w:spacing w:line="580" w:lineRule="exact"/>
        <w:ind w:firstLine="608" w:firstLineChars="200"/>
        <w:jc w:val="left"/>
        <w:outlineLvl w:val="0"/>
        <w:rPr>
          <w:rFonts w:hint="eastAsia" w:ascii="仿宋_GB2312" w:hAnsi="仿宋_GB2312" w:eastAsia="仿宋_GB2312" w:cs="仿宋_GB2312"/>
          <w:bCs/>
          <w:spacing w:val="-8"/>
          <w:sz w:val="32"/>
          <w:szCs w:val="32"/>
        </w:rPr>
      </w:pPr>
      <w:r>
        <w:rPr>
          <w:rFonts w:hint="eastAsia" w:ascii="仿宋_GB2312" w:hAnsi="仿宋_GB2312" w:eastAsia="仿宋_GB2312" w:cs="仿宋_GB2312"/>
          <w:bCs/>
          <w:spacing w:val="-8"/>
          <w:sz w:val="32"/>
          <w:szCs w:val="32"/>
        </w:rPr>
        <w:t>（九）完成区委、区政府和审计署、省和市审计部门交办的其他任务。</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从决算编报单位构成看，纳入20</w:t>
      </w:r>
      <w:r>
        <w:rPr>
          <w:rFonts w:ascii="仿宋_GB2312" w:hAnsi="Calibri" w:eastAsia="仿宋_GB2312" w:cs="Arial Black"/>
          <w:kern w:val="0"/>
          <w:sz w:val="32"/>
          <w:szCs w:val="32"/>
        </w:rPr>
        <w:t>20</w:t>
      </w:r>
      <w:r>
        <w:rPr>
          <w:rFonts w:hint="eastAsia" w:ascii="仿宋_GB2312" w:hAnsi="Calibri" w:eastAsia="仿宋_GB2312" w:cs="Arial Black"/>
          <w:kern w:val="0"/>
          <w:sz w:val="32"/>
          <w:szCs w:val="32"/>
        </w:rPr>
        <w:t>年度本部门决算汇编范围的独立核算单位（以下简称“单位”）共</w:t>
      </w:r>
      <w:r>
        <w:rPr>
          <w:rFonts w:hint="eastAsia" w:ascii="仿宋_GB2312" w:hAnsi="Calibri" w:eastAsia="仿宋_GB2312" w:cs="Arial Black"/>
          <w:kern w:val="0"/>
          <w:sz w:val="32"/>
          <w:szCs w:val="32"/>
          <w:lang w:val="en-US" w:eastAsia="zh-CN"/>
        </w:rPr>
        <w:t>1</w:t>
      </w:r>
      <w:r>
        <w:rPr>
          <w:rFonts w:hint="eastAsia" w:ascii="仿宋_GB2312" w:hAnsi="Calibri" w:eastAsia="仿宋_GB2312" w:cs="Arial Black"/>
          <w:kern w:val="0"/>
          <w:sz w:val="32"/>
          <w:szCs w:val="32"/>
        </w:rPr>
        <w:t>个，具体情况如下：</w:t>
      </w:r>
    </w:p>
    <w:tbl>
      <w:tblPr>
        <w:tblStyle w:val="6"/>
        <w:tblpPr w:leftFromText="180" w:rightFromText="180" w:vertAnchor="text" w:horzAnchor="page" w:tblpXSpec="center" w:tblpY="10"/>
        <w:tblOverlap w:val="never"/>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3426"/>
        <w:gridCol w:w="2404"/>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968"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序号</w:t>
            </w:r>
          </w:p>
        </w:tc>
        <w:tc>
          <w:tcPr>
            <w:tcW w:w="3426"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单位名称</w:t>
            </w:r>
          </w:p>
        </w:tc>
        <w:tc>
          <w:tcPr>
            <w:tcW w:w="2404"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单位基本性质</w:t>
            </w:r>
          </w:p>
        </w:tc>
        <w:tc>
          <w:tcPr>
            <w:tcW w:w="2622"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68"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1</w:t>
            </w:r>
          </w:p>
        </w:tc>
        <w:tc>
          <w:tcPr>
            <w:tcW w:w="3426" w:type="dxa"/>
            <w:vAlign w:val="top"/>
          </w:tcPr>
          <w:p>
            <w:pPr>
              <w:spacing w:line="560" w:lineRule="exact"/>
              <w:rPr>
                <w:rFonts w:hint="default" w:ascii="仿宋_GB2312" w:hAnsi="Calibri" w:eastAsia="仿宋_GB2312" w:cs="ArialUnicodeMS"/>
                <w:kern w:val="0"/>
                <w:sz w:val="28"/>
                <w:szCs w:val="28"/>
                <w:lang w:val="en-US" w:eastAsia="zh-CN" w:bidi="ar-SA"/>
              </w:rPr>
            </w:pPr>
            <w:r>
              <w:rPr>
                <w:rFonts w:hint="eastAsia" w:ascii="仿宋_GB2312" w:hAnsi="Calibri" w:eastAsia="仿宋_GB2312" w:cs="ArialUnicodeMS"/>
                <w:kern w:val="0"/>
                <w:sz w:val="28"/>
                <w:szCs w:val="28"/>
                <w:lang w:val="en-US" w:eastAsia="zh-CN"/>
              </w:rPr>
              <w:t>保定市满城区审计局</w:t>
            </w:r>
          </w:p>
        </w:tc>
        <w:tc>
          <w:tcPr>
            <w:tcW w:w="2404" w:type="dxa"/>
            <w:vAlign w:val="top"/>
          </w:tcPr>
          <w:p>
            <w:pPr>
              <w:spacing w:line="560" w:lineRule="exact"/>
              <w:jc w:val="center"/>
              <w:rPr>
                <w:rFonts w:ascii="仿宋_GB2312" w:hAnsi="Calibri" w:eastAsia="仿宋_GB2312" w:cs="ArialUnicodeMS"/>
                <w:kern w:val="0"/>
                <w:sz w:val="28"/>
                <w:szCs w:val="28"/>
                <w:highlight w:val="none"/>
                <w:lang w:val="en-US" w:eastAsia="zh-CN" w:bidi="ar-SA"/>
              </w:rPr>
            </w:pPr>
            <w:r>
              <w:rPr>
                <w:rFonts w:hint="eastAsia" w:ascii="仿宋_GB2312" w:hAnsi="Calibri" w:eastAsia="仿宋_GB2312" w:cs="ArialUnicodeMS"/>
                <w:kern w:val="0"/>
                <w:sz w:val="28"/>
                <w:szCs w:val="28"/>
                <w:highlight w:val="none"/>
              </w:rPr>
              <w:t>行政单位</w:t>
            </w:r>
          </w:p>
        </w:tc>
        <w:tc>
          <w:tcPr>
            <w:tcW w:w="2622" w:type="dxa"/>
            <w:vAlign w:val="top"/>
          </w:tcPr>
          <w:p>
            <w:pPr>
              <w:spacing w:line="560" w:lineRule="exact"/>
              <w:jc w:val="center"/>
              <w:rPr>
                <w:rFonts w:ascii="仿宋_GB2312" w:hAnsi="Calibri" w:eastAsia="仿宋_GB2312" w:cs="ArialUnicodeMS"/>
                <w:kern w:val="0"/>
                <w:sz w:val="28"/>
                <w:szCs w:val="28"/>
                <w:highlight w:val="none"/>
                <w:lang w:val="en-US" w:eastAsia="zh-CN" w:bidi="ar-SA"/>
              </w:rPr>
            </w:pPr>
            <w:r>
              <w:rPr>
                <w:rFonts w:hint="eastAsia" w:ascii="仿宋_GB2312" w:hAnsi="Calibri" w:eastAsia="仿宋_GB2312" w:cs="ArialUnicodeMS"/>
                <w:kern w:val="0"/>
                <w:sz w:val="28"/>
                <w:szCs w:val="28"/>
                <w:highlight w:val="none"/>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9420" w:type="dxa"/>
            <w:gridSpan w:val="4"/>
            <w:tcBorders>
              <w:top w:val="single" w:color="auto" w:sz="4" w:space="0"/>
              <w:left w:val="nil"/>
              <w:bottom w:val="nil"/>
              <w:right w:val="nil"/>
            </w:tcBorders>
          </w:tcPr>
          <w:p>
            <w:pPr>
              <w:spacing w:line="560" w:lineRule="exact"/>
              <w:jc w:val="left"/>
              <w:rPr>
                <w:rFonts w:ascii="仿宋_GB2312" w:hAnsi="Calibri" w:eastAsia="仿宋_GB2312" w:cs="Arial Black"/>
                <w:kern w:val="0"/>
                <w:sz w:val="28"/>
                <w:szCs w:val="28"/>
              </w:rPr>
            </w:pPr>
            <w:r>
              <w:rPr>
                <w:rFonts w:hint="eastAsia" w:ascii="仿宋_GB2312" w:hAnsi="Calibri" w:eastAsia="仿宋_GB2312" w:cs="Arial Black"/>
                <w:kern w:val="0"/>
                <w:sz w:val="28"/>
                <w:szCs w:val="28"/>
              </w:rPr>
              <w:t>注：1、单位基本性质分为行政单位、参公事业单位、财政补助事业单位、经费自理事业单位四类。</w:t>
            </w:r>
          </w:p>
          <w:p>
            <w:pPr>
              <w:spacing w:line="560" w:lineRule="exact"/>
              <w:ind w:firstLine="560" w:firstLineChars="200"/>
              <w:jc w:val="left"/>
              <w:rPr>
                <w:rFonts w:ascii="仿宋_GB2312" w:hAnsi="Calibri" w:eastAsia="仿宋_GB2312" w:cs="Arial Black"/>
                <w:kern w:val="0"/>
                <w:sz w:val="28"/>
                <w:szCs w:val="28"/>
              </w:rPr>
            </w:pPr>
            <w:r>
              <w:rPr>
                <w:rFonts w:hint="eastAsia" w:ascii="仿宋_GB2312" w:hAnsi="Calibri" w:eastAsia="仿宋_GB2312" w:cs="Arial Black"/>
                <w:kern w:val="0"/>
                <w:sz w:val="28"/>
                <w:szCs w:val="28"/>
              </w:rPr>
              <w:t>2、经费形式分为财政拨款、财政性资金基本保证、财政性资金定额或定项补助、财政性资金零补助四类。</w:t>
            </w: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1440" w:firstLineChars="200"/>
        <w:rPr>
          <w:rFonts w:ascii="黑体" w:hAnsi="黑体" w:eastAsia="黑体" w:cs="黑体"/>
          <w:sz w:val="56"/>
          <w:szCs w:val="72"/>
        </w:rPr>
      </w:pPr>
      <w:r>
        <w:rPr>
          <w:sz w:val="72"/>
        </w:rPr>
        <mc:AlternateContent>
          <mc:Choice Requires="wps">
            <w:drawing>
              <wp:anchor distT="0" distB="0" distL="114300" distR="114300" simplePos="0" relativeHeight="251662336"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233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251663360" behindDoc="0" locked="0" layoutInCell="1" allowOverlap="1">
                <wp:simplePos x="0" y="0"/>
                <wp:positionH relativeFrom="column">
                  <wp:posOffset>-1028065</wp:posOffset>
                </wp:positionH>
                <wp:positionV relativeFrom="paragraph">
                  <wp:posOffset>-2637155</wp:posOffset>
                </wp:positionV>
                <wp:extent cx="7793355" cy="3341370"/>
                <wp:effectExtent l="6350" t="6350" r="18415" b="20320"/>
                <wp:wrapNone/>
                <wp:docPr id="2" name="文本框 2"/>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12700" cmpd="sng">
                          <a:solidFill>
                            <a:schemeClr val="bg1">
                              <a:lumMod val="65000"/>
                            </a:schemeClr>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2020年部门决算情况说明</w:t>
                            </w:r>
                          </w:p>
                          <w:p>
                            <w:pPr>
                              <w:widowControl/>
                              <w:jc w:val="center"/>
                              <w:rPr>
                                <w14:textOutline w14:w="9525" w14:cap="flat" w14:cmpd="sng" w14:algn="ctr">
                                  <w14:solidFill>
                                    <w14:schemeClr w14:val="tx1">
                                      <w14:lumMod w14:val="50000"/>
                                      <w14:lumOff w14:val="50000"/>
                                    </w14:schemeClr>
                                  </w14:solidFill>
                                  <w14:prstDash w14:val="solid"/>
                                  <w14:round/>
                                </w14:textOutline>
                              </w:rPr>
                            </w:pP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95pt;margin-top:-207.65pt;height:263.1pt;width:613.65pt;z-index:251663360;v-text-anchor:middle;mso-width-relative:page;mso-height-relative:page;" fillcolor="#7F7F7F [1612]" filled="t" stroked="t" coordsize="21600,21600" o:gfxdata="UEsDBAoAAAAAAIdO4kAAAAAAAAAAAAAAAAAEAAAAZHJzL1BLAwQUAAAACACHTuJAvBcO0d0AAAAO&#10;AQAADwAAAGRycy9kb3ducmV2LnhtbE2Py07DMBBF90j8gzVIbFBrG9ooTeN0gQDRVdUSCZZO7MYR&#10;sR3Z7uvvma7K7o7m6M6ZcnW2AznqEHvvBPApA6Jd61XvOgH11/skBxKTdEoO3mkBFx1hVd3flbJQ&#10;/uS2+rhLHcESFwspwKQ0FpTG1mgr49SP2uFu74OVCcfQURXkCcvtQJ8Zy6iVvcMLRo761ej2d3ew&#10;Ar4/x/rnaZN/rM1mW7+t89hcQhTi8YGzJZCkz+kGw1Uf1aFCp8YfnIpkEDDhGV8gi2nG5y9ArgzL&#10;5jMgDSbOFkCrkv5/o/oDUEsDBBQAAAAIAIdO4kBZpDN4ngIAAG0FAAAOAAAAZHJzL2Uyb0RvYy54&#10;bWytVEtu2zAU3BfoHQjuG/kbN0bkwI3hokDaBEiLrmmKsgTwV5K2nB6gvUFX3XTfc+UcHVKy811k&#10;UQuQH/lGw3nzSJ6e7ZQkW+F8bXRO+0c9SoTmpqj1OqdfPi/fvKXEB6YLJo0WOb0Rnp7NXr86bexU&#10;DExlZCEcAYn208bmtArBTrPM80oo5o+MFRrJ0jjFAoZunRWONWBXMhv0esdZY1xhneHCe8wu2iTt&#10;GN1LCE1Z1lwsDN8ooUPL6oRkASX5qraezpLashQ8XJalF4HInKLSkN5YBPEqvrPZKZuuHbNVzTsJ&#10;7CUSHtWkWK2x6IFqwQIjG1c/oVI1d8abMhxxo7K2kOQIquj3HnlzXTErUi2w2tuD6f7/0fJP2ytH&#10;6iKnA0o0U2j47a+ft7//3v75QQbRnsb6KVDXFriwe2d22DT7eY/JWPWudCr+ox6CPMy9OZgrdoFw&#10;TE4mJ8PheEwJR244HPWHk2R/dve5dT68F0aRGOTUoXvJVLa98AFSAN1D4mqWhbCspezglodxgpfr&#10;c5lkebdeISRbhu5PlvFJALlRH03RTo97+MV6QN7hU3wgWT3Ltky/7rsOEuV1kqI8qUkDrwYT8BOu&#10;LDz2ep0EeCPrIkqPuAcq58fxeaLyOMp8RuUDoujNgvmqLSyluk+kRk2xkW3DYhR2q13X3ZUpbtBc&#10;Z9rT4S1f1qC6YD5cMYfjAP24MMIlXqU0KMp0ESWVcd+fm4947FJkKWlwvFD7tw1zghL5QWP/nvRH&#10;I9CGNBiNJwMM3P3M6n5Gb9S5QQ/7uJosT2HEB7kPS2fUV9wr87gqUkxzrJ1THtx+cB7aY4+biYv5&#10;PMFwBtGxC31teSSP3dBmvgmmrNN+i0a17nT+4RSm3dHdGPGY3x8n1N0tOfs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vBcO0d0AAAAOAQAADwAAAAAAAAABACAAAAAiAAAAZHJzL2Rvd25yZXYueG1s&#10;UEsBAhQAFAAAAAgAh07iQFmkM3ieAgAAbQUAAA4AAAAAAAAAAQAgAAAALAEAAGRycy9lMm9Eb2Mu&#10;eG1sUEsFBgAAAAAGAAYAWQEAADwGAAAAAA==&#10;">
                <v:fill type="pattern" on="t" color2="#FFFFFF [3212]" o:title="5%" focussize="0,0" r:id="rId13"/>
                <v:stroke weight="1pt" color="#A6A6A6 [2092]"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2020年部门决算情况说明</w:t>
                      </w:r>
                    </w:p>
                    <w:p>
                      <w:pPr>
                        <w:widowControl/>
                        <w:jc w:val="center"/>
                        <w:rPr>
                          <w14:textOutline w14:w="9525" w14:cap="flat" w14:cmpd="sng" w14:algn="ctr">
                            <w14:solidFill>
                              <w14:schemeClr w14:val="tx1">
                                <w14:lumMod w14:val="50000"/>
                                <w14:lumOff w14:val="50000"/>
                              </w14:schemeClr>
                            </w14:solidFill>
                            <w14:prstDash w14:val="solid"/>
                            <w14:round/>
                          </w14:textOutline>
                        </w:rPr>
                      </w:pPr>
                    </w:p>
                    <w:p/>
                  </w:txbxContent>
                </v:textbox>
              </v:shape>
            </w:pict>
          </mc:Fallback>
        </mc:AlternateContent>
      </w:r>
    </w:p>
    <w:p>
      <w:pPr>
        <w:jc w:val="center"/>
        <w:rPr>
          <w:rFonts w:ascii="黑体" w:hAnsi="黑体" w:eastAsia="黑体" w:cs="黑体"/>
          <w:sz w:val="56"/>
          <w:szCs w:val="72"/>
        </w:rPr>
      </w:pPr>
    </w:p>
    <w:p>
      <w:pPr>
        <w:keepNext/>
        <w:keepLines/>
        <w:snapToGrid w:val="0"/>
        <w:spacing w:line="600" w:lineRule="exact"/>
        <w:ind w:firstLine="420" w:firstLineChars="200"/>
        <w:outlineLvl w:val="1"/>
        <w:rPr>
          <w:rFonts w:ascii="黑体" w:hAnsi="Calibri" w:eastAsia="黑体" w:cs="Times New Roman"/>
          <w:sz w:val="32"/>
          <w:szCs w:val="32"/>
        </w:rPr>
      </w:pPr>
      <w:r>
        <w:br w:type="page"/>
      </w: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600" w:lineRule="exact"/>
        <w:ind w:firstLine="640" w:firstLineChars="200"/>
        <w:rPr>
          <w:rFonts w:ascii="黑体" w:hAnsi="Calibri" w:eastAsia="黑体" w:cs="Times New Roman"/>
          <w:sz w:val="32"/>
          <w:szCs w:val="32"/>
          <w:highlight w:val="none"/>
        </w:rPr>
      </w:pPr>
      <w:r>
        <w:rPr>
          <w:rFonts w:hint="eastAsia" w:ascii="仿宋_GB2312" w:hAnsi="Times New Roman" w:eastAsia="仿宋_GB2312" w:cs="Wingdings"/>
          <w:sz w:val="32"/>
          <w:szCs w:val="32"/>
          <w:highlight w:val="none"/>
        </w:rPr>
        <w:t>本部门2020年度收、支总计（含结转和结余）</w:t>
      </w:r>
      <w:r>
        <w:rPr>
          <w:rFonts w:hint="eastAsia" w:ascii="仿宋_GB2312" w:hAnsi="Times New Roman" w:eastAsia="仿宋_GB2312" w:cs="Wingdings"/>
          <w:sz w:val="32"/>
          <w:szCs w:val="32"/>
          <w:highlight w:val="none"/>
          <w:lang w:val="en-US" w:eastAsia="zh-CN"/>
        </w:rPr>
        <w:t>637.08</w:t>
      </w:r>
      <w:r>
        <w:rPr>
          <w:rFonts w:hint="eastAsia" w:ascii="仿宋_GB2312" w:hAnsi="Times New Roman" w:eastAsia="仿宋_GB2312" w:cs="Wingdings"/>
          <w:sz w:val="32"/>
          <w:szCs w:val="32"/>
          <w:highlight w:val="none"/>
        </w:rPr>
        <w:t>万元。与2019年度决算相比，收支各增加</w:t>
      </w:r>
      <w:r>
        <w:rPr>
          <w:rFonts w:hint="eastAsia" w:ascii="仿宋_GB2312" w:hAnsi="Times New Roman" w:eastAsia="仿宋_GB2312" w:cs="Wingdings"/>
          <w:sz w:val="32"/>
          <w:szCs w:val="32"/>
          <w:highlight w:val="none"/>
          <w:lang w:val="en-US" w:eastAsia="zh-CN"/>
        </w:rPr>
        <w:t>183.58</w:t>
      </w:r>
      <w:r>
        <w:rPr>
          <w:rFonts w:hint="eastAsia" w:ascii="仿宋_GB2312" w:hAnsi="Times New Roman" w:eastAsia="仿宋_GB2312" w:cs="Wingdings"/>
          <w:sz w:val="32"/>
          <w:szCs w:val="32"/>
          <w:highlight w:val="none"/>
        </w:rPr>
        <w:t>万元，增长</w:t>
      </w:r>
      <w:r>
        <w:rPr>
          <w:rFonts w:hint="eastAsia" w:ascii="仿宋_GB2312" w:hAnsi="Times New Roman" w:eastAsia="仿宋_GB2312" w:cs="Wingdings"/>
          <w:sz w:val="32"/>
          <w:szCs w:val="32"/>
          <w:highlight w:val="none"/>
          <w:lang w:val="en-US" w:eastAsia="zh-CN"/>
        </w:rPr>
        <w:t>28.82</w:t>
      </w:r>
      <w:r>
        <w:rPr>
          <w:rFonts w:hint="eastAsia" w:ascii="仿宋_GB2312" w:hAnsi="Times New Roman" w:eastAsia="仿宋_GB2312" w:cs="Wingdings"/>
          <w:sz w:val="32"/>
          <w:szCs w:val="32"/>
          <w:highlight w:val="none"/>
        </w:rPr>
        <w:t>%，主要原因是</w:t>
      </w:r>
      <w:r>
        <w:rPr>
          <w:rFonts w:hint="eastAsia" w:ascii="仿宋_GB2312" w:hAnsi="Times New Roman" w:eastAsia="仿宋_GB2312" w:cs="DengXian-Regular"/>
          <w:sz w:val="32"/>
          <w:szCs w:val="32"/>
          <w:lang w:val="en-US" w:eastAsia="zh-CN"/>
        </w:rPr>
        <w:t>本年度审计项目资金，审计经费增加</w:t>
      </w:r>
      <w:r>
        <w:rPr>
          <w:rFonts w:hint="eastAsia" w:ascii="仿宋_GB2312" w:hAnsi="Times New Roman" w:eastAsia="仿宋_GB2312" w:cs="Wingdings"/>
          <w:sz w:val="32"/>
          <w:szCs w:val="32"/>
          <w:highlight w:val="none"/>
        </w:rPr>
        <w:t>。</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600" w:lineRule="exact"/>
        <w:ind w:firstLine="640" w:firstLineChars="200"/>
        <w:rPr>
          <w:rFonts w:ascii="黑体" w:hAnsi="Calibri" w:eastAsia="黑体" w:cs="Times New Roman"/>
          <w:sz w:val="32"/>
          <w:szCs w:val="32"/>
        </w:rPr>
      </w:pPr>
      <w:r>
        <w:rPr>
          <w:rFonts w:hint="eastAsia" w:ascii="仿宋_GB2312" w:hAnsi="Times New Roman" w:eastAsia="仿宋_GB2312" w:cs="Wingdings"/>
          <w:sz w:val="32"/>
          <w:szCs w:val="32"/>
        </w:rPr>
        <w:t>本部门2020年度本年收入合计</w:t>
      </w:r>
      <w:r>
        <w:rPr>
          <w:rFonts w:hint="eastAsia" w:ascii="仿宋_GB2312" w:hAnsi="Times New Roman" w:eastAsia="仿宋_GB2312" w:cs="Wingdings"/>
          <w:sz w:val="32"/>
          <w:szCs w:val="32"/>
          <w:lang w:val="en-US" w:eastAsia="zh-CN"/>
        </w:rPr>
        <w:t>637.08</w:t>
      </w:r>
      <w:r>
        <w:rPr>
          <w:rFonts w:hint="eastAsia" w:ascii="仿宋_GB2312" w:hAnsi="Times New Roman" w:eastAsia="仿宋_GB2312" w:cs="Wingdings"/>
          <w:sz w:val="32"/>
          <w:szCs w:val="32"/>
        </w:rPr>
        <w:t>万元，其中：财政拨款收入</w:t>
      </w:r>
      <w:r>
        <w:rPr>
          <w:rFonts w:hint="eastAsia" w:ascii="仿宋_GB2312" w:hAnsi="Times New Roman" w:eastAsia="仿宋_GB2312" w:cs="Wingdings"/>
          <w:sz w:val="32"/>
          <w:szCs w:val="32"/>
          <w:lang w:val="en-US" w:eastAsia="zh-CN"/>
        </w:rPr>
        <w:t>637.08</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100</w:t>
      </w:r>
      <w:r>
        <w:rPr>
          <w:rFonts w:hint="eastAsia" w:ascii="仿宋_GB2312" w:hAnsi="Times New Roman" w:eastAsia="仿宋_GB2312" w:cs="Wingdings"/>
          <w:sz w:val="32"/>
          <w:szCs w:val="32"/>
        </w:rPr>
        <w:t>%；事业收入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%；经营收入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%；其他收入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w:t>
      </w:r>
    </w:p>
    <w:p>
      <w:pPr>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600" w:lineRule="exact"/>
        <w:ind w:firstLine="640" w:firstLineChars="200"/>
        <w:rPr>
          <w:rFonts w:ascii="黑体" w:hAnsi="Calibri" w:eastAsia="黑体" w:cs="Times New Roman"/>
          <w:b/>
          <w:bCs/>
          <w:sz w:val="32"/>
          <w:szCs w:val="32"/>
        </w:rPr>
      </w:pPr>
      <w:r>
        <w:rPr>
          <w:rFonts w:hint="eastAsia" w:ascii="仿宋_GB2312" w:hAnsi="Times New Roman" w:eastAsia="仿宋_GB2312" w:cs="Wingdings"/>
          <w:sz w:val="32"/>
          <w:szCs w:val="32"/>
        </w:rPr>
        <w:t>本部门2020年度本年支出合计</w:t>
      </w:r>
      <w:r>
        <w:rPr>
          <w:rFonts w:hint="eastAsia" w:ascii="仿宋_GB2312" w:hAnsi="Times New Roman" w:eastAsia="仿宋_GB2312" w:cs="Wingdings"/>
          <w:sz w:val="32"/>
          <w:szCs w:val="32"/>
          <w:lang w:val="en-US" w:eastAsia="zh-CN"/>
        </w:rPr>
        <w:t>637.08</w:t>
      </w:r>
      <w:r>
        <w:rPr>
          <w:rFonts w:hint="eastAsia" w:ascii="仿宋_GB2312" w:hAnsi="Times New Roman" w:eastAsia="仿宋_GB2312" w:cs="Wingdings"/>
          <w:sz w:val="32"/>
          <w:szCs w:val="32"/>
        </w:rPr>
        <w:t>万元，其中：基本支出</w:t>
      </w:r>
      <w:r>
        <w:rPr>
          <w:rFonts w:hint="eastAsia" w:ascii="仿宋_GB2312" w:hAnsi="Times New Roman" w:eastAsia="仿宋_GB2312" w:cs="Wingdings"/>
          <w:sz w:val="32"/>
          <w:szCs w:val="32"/>
          <w:lang w:val="en-US" w:eastAsia="zh-CN"/>
        </w:rPr>
        <w:t>637.08</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100</w:t>
      </w:r>
      <w:r>
        <w:rPr>
          <w:rFonts w:hint="eastAsia" w:ascii="仿宋_GB2312" w:hAnsi="Times New Roman" w:eastAsia="仿宋_GB2312" w:cs="Wingdings"/>
          <w:sz w:val="32"/>
          <w:szCs w:val="32"/>
        </w:rPr>
        <w:t>%；项目支出</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%；经营支出</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（一）财政拨款收支与2019年度决算对比情况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本部门2020年度财政拨款收支均为一般公共预算财政拨款，其中本年收入</w:t>
      </w:r>
      <w:r>
        <w:rPr>
          <w:rFonts w:hint="eastAsia" w:ascii="仿宋_GB2312" w:hAnsi="Times New Roman" w:eastAsia="仿宋_GB2312" w:cs="Wingdings"/>
          <w:sz w:val="32"/>
          <w:szCs w:val="32"/>
          <w:lang w:val="en-US" w:eastAsia="zh-CN"/>
        </w:rPr>
        <w:t>637.08</w:t>
      </w:r>
      <w:r>
        <w:rPr>
          <w:rFonts w:hint="eastAsia" w:ascii="仿宋_GB2312" w:hAnsi="Times New Roman" w:eastAsia="仿宋_GB2312" w:cs="Wingdings"/>
          <w:sz w:val="32"/>
          <w:szCs w:val="32"/>
        </w:rPr>
        <w:t>万元,比2019年度增加</w:t>
      </w:r>
      <w:r>
        <w:rPr>
          <w:rFonts w:hint="eastAsia" w:ascii="仿宋_GB2312" w:hAnsi="Times New Roman" w:eastAsia="仿宋_GB2312" w:cs="Wingdings"/>
          <w:sz w:val="32"/>
          <w:szCs w:val="32"/>
          <w:lang w:val="en-US" w:eastAsia="zh-CN"/>
        </w:rPr>
        <w:t>183.58</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28.82</w:t>
      </w:r>
      <w:r>
        <w:rPr>
          <w:rFonts w:hint="eastAsia" w:ascii="仿宋_GB2312" w:hAnsi="Times New Roman" w:eastAsia="仿宋_GB2312" w:cs="Wingdings"/>
          <w:sz w:val="32"/>
          <w:szCs w:val="32"/>
        </w:rPr>
        <w:t>%，主要是</w:t>
      </w:r>
      <w:r>
        <w:rPr>
          <w:rFonts w:hint="eastAsia" w:ascii="仿宋_GB2312" w:hAnsi="Times New Roman" w:eastAsia="仿宋_GB2312" w:cs="DengXian-Regular"/>
          <w:sz w:val="32"/>
          <w:szCs w:val="32"/>
          <w:lang w:val="en-US" w:eastAsia="zh-CN"/>
        </w:rPr>
        <w:t>本年度审计项目资金，审计经费增加</w:t>
      </w:r>
      <w:r>
        <w:rPr>
          <w:rFonts w:hint="eastAsia" w:ascii="仿宋_GB2312" w:hAnsi="Times New Roman" w:eastAsia="仿宋_GB2312" w:cs="Wingdings"/>
          <w:sz w:val="32"/>
          <w:szCs w:val="32"/>
        </w:rPr>
        <w:t>；本年支出</w:t>
      </w:r>
      <w:r>
        <w:rPr>
          <w:rFonts w:hint="eastAsia" w:ascii="仿宋_GB2312" w:hAnsi="Times New Roman" w:eastAsia="仿宋_GB2312" w:cs="Wingdings"/>
          <w:sz w:val="32"/>
          <w:szCs w:val="32"/>
          <w:lang w:val="en-US" w:eastAsia="zh-CN"/>
        </w:rPr>
        <w:t>637.08</w:t>
      </w:r>
      <w:r>
        <w:rPr>
          <w:rFonts w:hint="eastAsia" w:ascii="仿宋_GB2312" w:hAnsi="Times New Roman" w:eastAsia="仿宋_GB2312" w:cs="Wingdings"/>
          <w:sz w:val="32"/>
          <w:szCs w:val="32"/>
        </w:rPr>
        <w:t>万元，增加</w:t>
      </w:r>
      <w:r>
        <w:rPr>
          <w:rFonts w:hint="eastAsia" w:ascii="仿宋_GB2312" w:hAnsi="Times New Roman" w:eastAsia="仿宋_GB2312" w:cs="Wingdings"/>
          <w:sz w:val="32"/>
          <w:szCs w:val="32"/>
          <w:lang w:val="en-US" w:eastAsia="zh-CN"/>
        </w:rPr>
        <w:t>183.58</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28.82</w:t>
      </w:r>
      <w:r>
        <w:rPr>
          <w:rFonts w:hint="eastAsia" w:ascii="仿宋_GB2312" w:hAnsi="Times New Roman" w:eastAsia="仿宋_GB2312" w:cs="Wingdings"/>
          <w:sz w:val="32"/>
          <w:szCs w:val="32"/>
        </w:rPr>
        <w:t>%，主要是</w:t>
      </w:r>
      <w:r>
        <w:rPr>
          <w:rFonts w:hint="eastAsia" w:ascii="仿宋_GB2312" w:hAnsi="Times New Roman" w:eastAsia="仿宋_GB2312" w:cs="DengXian-Regular"/>
          <w:sz w:val="32"/>
          <w:szCs w:val="32"/>
          <w:lang w:val="en-US" w:eastAsia="zh-CN"/>
        </w:rPr>
        <w:t>本年度审计项目资金，审计经费增加</w:t>
      </w:r>
      <w:r>
        <w:rPr>
          <w:rFonts w:hint="eastAsia" w:ascii="仿宋_GB2312" w:hAnsi="Times New Roman" w:eastAsia="仿宋_GB2312" w:cs="DengXian-Regular"/>
          <w:sz w:val="32"/>
          <w:szCs w:val="32"/>
        </w:rPr>
        <w:t>。</w:t>
      </w:r>
      <w:r>
        <w:rPr>
          <w:rFonts w:hint="eastAsia" w:ascii="仿宋_GB2312" w:hAnsi="Times New Roman" w:eastAsia="仿宋_GB2312" w:cs="Wingdings"/>
          <w:sz w:val="32"/>
          <w:szCs w:val="32"/>
        </w:rPr>
        <w:t>。</w:t>
      </w:r>
    </w:p>
    <w:p>
      <w:pPr>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（二）财政拨款收支与年初预算数对比情况</w:t>
      </w:r>
    </w:p>
    <w:p>
      <w:pPr>
        <w:adjustRightInd w:val="0"/>
        <w:snapToGrid w:val="0"/>
        <w:spacing w:line="600" w:lineRule="exact"/>
        <w:ind w:firstLine="640" w:firstLineChars="200"/>
        <w:rPr>
          <w:rFonts w:ascii="仿宋_GB2312" w:hAnsi="Times New Roman" w:eastAsia="仿宋_GB2312" w:cs="Wingdings"/>
          <w:sz w:val="32"/>
          <w:szCs w:val="32"/>
        </w:rPr>
      </w:pP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本部门2020年度一般公共预算财政拨款收入</w:t>
      </w:r>
      <w:r>
        <w:rPr>
          <w:rFonts w:hint="eastAsia" w:ascii="仿宋_GB2312" w:hAnsi="Times New Roman" w:eastAsia="仿宋_GB2312" w:cs="Wingdings"/>
          <w:sz w:val="32"/>
          <w:szCs w:val="32"/>
          <w:lang w:val="en-US" w:eastAsia="zh-CN"/>
        </w:rPr>
        <w:t>637.08</w:t>
      </w:r>
      <w:r>
        <w:rPr>
          <w:rFonts w:hint="eastAsia" w:ascii="仿宋_GB2312" w:hAnsi="Times New Roman" w:eastAsia="仿宋_GB2312" w:cs="Wingdings"/>
          <w:sz w:val="32"/>
          <w:szCs w:val="32"/>
        </w:rPr>
        <w:t>万元，完成年初预算的</w:t>
      </w:r>
      <w:r>
        <w:rPr>
          <w:rFonts w:hint="eastAsia" w:ascii="仿宋_GB2312" w:hAnsi="Times New Roman" w:eastAsia="仿宋_GB2312" w:cs="Wingdings"/>
          <w:sz w:val="32"/>
          <w:szCs w:val="32"/>
          <w:lang w:val="en-US" w:eastAsia="zh-CN"/>
        </w:rPr>
        <w:t>106.25</w:t>
      </w:r>
      <w:r>
        <w:rPr>
          <w:rFonts w:hint="eastAsia" w:ascii="仿宋_GB2312" w:hAnsi="Times New Roman" w:eastAsia="仿宋_GB2312" w:cs="Wingdings"/>
          <w:sz w:val="32"/>
          <w:szCs w:val="32"/>
        </w:rPr>
        <w:t>%,比年初预算</w:t>
      </w:r>
      <w:r>
        <w:rPr>
          <w:rFonts w:hint="eastAsia" w:ascii="仿宋_GB2312" w:hAnsi="Times New Roman" w:eastAsia="仿宋_GB2312" w:cs="Wingdings"/>
          <w:sz w:val="32"/>
          <w:szCs w:val="32"/>
          <w:lang w:val="en-US" w:eastAsia="zh-CN"/>
        </w:rPr>
        <w:t>增加37.47</w:t>
      </w:r>
      <w:r>
        <w:rPr>
          <w:rFonts w:hint="eastAsia" w:ascii="仿宋_GB2312" w:hAnsi="Times New Roman" w:eastAsia="仿宋_GB2312" w:cs="Wingdings"/>
          <w:sz w:val="32"/>
          <w:szCs w:val="32"/>
        </w:rPr>
        <w:t>万元，决算数</w:t>
      </w:r>
      <w:r>
        <w:rPr>
          <w:rFonts w:hint="eastAsia" w:ascii="仿宋_GB2312" w:hAnsi="Times New Roman" w:eastAsia="仿宋_GB2312" w:cs="Wingdings"/>
          <w:sz w:val="32"/>
          <w:szCs w:val="32"/>
          <w:lang w:val="en-US" w:eastAsia="zh-CN"/>
        </w:rPr>
        <w:t>大</w:t>
      </w:r>
      <w:r>
        <w:rPr>
          <w:rFonts w:hint="eastAsia" w:ascii="仿宋_GB2312" w:hAnsi="Times New Roman" w:eastAsia="仿宋_GB2312" w:cs="Wingdings"/>
          <w:sz w:val="32"/>
          <w:szCs w:val="32"/>
        </w:rPr>
        <w:t>于预算数主要原因是</w:t>
      </w:r>
      <w:r>
        <w:rPr>
          <w:rFonts w:hint="eastAsia" w:ascii="仿宋_GB2312" w:hAnsi="Times New Roman" w:eastAsia="仿宋_GB2312" w:cs="DengXian-Regular"/>
          <w:sz w:val="32"/>
          <w:szCs w:val="32"/>
          <w:lang w:val="en-US" w:eastAsia="zh-CN"/>
        </w:rPr>
        <w:t>审计经费增加</w:t>
      </w:r>
      <w:r>
        <w:rPr>
          <w:rFonts w:hint="eastAsia" w:ascii="仿宋_GB2312" w:hAnsi="Times New Roman" w:eastAsia="仿宋_GB2312" w:cs="Wingdings"/>
          <w:sz w:val="32"/>
          <w:szCs w:val="32"/>
        </w:rPr>
        <w:t>；本年支出</w:t>
      </w:r>
      <w:r>
        <w:rPr>
          <w:rFonts w:hint="eastAsia" w:ascii="仿宋_GB2312" w:hAnsi="Times New Roman" w:eastAsia="仿宋_GB2312" w:cs="Wingdings"/>
          <w:sz w:val="32"/>
          <w:szCs w:val="32"/>
          <w:lang w:val="en-US" w:eastAsia="zh-CN"/>
        </w:rPr>
        <w:t>637.08</w:t>
      </w:r>
      <w:r>
        <w:rPr>
          <w:rFonts w:hint="eastAsia" w:ascii="仿宋_GB2312" w:hAnsi="Times New Roman" w:eastAsia="仿宋_GB2312" w:cs="Wingdings"/>
          <w:sz w:val="32"/>
          <w:szCs w:val="32"/>
        </w:rPr>
        <w:t>万元，完成年初预算的</w:t>
      </w:r>
      <w:r>
        <w:rPr>
          <w:rFonts w:hint="eastAsia" w:ascii="仿宋_GB2312" w:hAnsi="Times New Roman" w:eastAsia="仿宋_GB2312" w:cs="Wingdings"/>
          <w:sz w:val="32"/>
          <w:szCs w:val="32"/>
          <w:lang w:val="en-US" w:eastAsia="zh-CN"/>
        </w:rPr>
        <w:t>106.25</w:t>
      </w:r>
      <w:r>
        <w:rPr>
          <w:rFonts w:hint="eastAsia" w:ascii="仿宋_GB2312" w:hAnsi="Times New Roman" w:eastAsia="仿宋_GB2312" w:cs="Wingdings"/>
          <w:sz w:val="32"/>
          <w:szCs w:val="32"/>
        </w:rPr>
        <w:t>%,比年初预算</w:t>
      </w:r>
      <w:r>
        <w:rPr>
          <w:rFonts w:hint="eastAsia" w:ascii="仿宋_GB2312" w:hAnsi="Times New Roman" w:eastAsia="仿宋_GB2312" w:cs="Wingdings"/>
          <w:sz w:val="32"/>
          <w:szCs w:val="32"/>
          <w:lang w:val="en-US" w:eastAsia="zh-CN"/>
        </w:rPr>
        <w:t>增加37.47</w:t>
      </w:r>
      <w:r>
        <w:rPr>
          <w:rFonts w:hint="eastAsia" w:ascii="仿宋_GB2312" w:hAnsi="Times New Roman" w:eastAsia="仿宋_GB2312" w:cs="Wingdings"/>
          <w:sz w:val="32"/>
          <w:szCs w:val="32"/>
        </w:rPr>
        <w:t>万元，决算数</w:t>
      </w:r>
      <w:r>
        <w:rPr>
          <w:rFonts w:hint="eastAsia" w:ascii="仿宋_GB2312" w:hAnsi="Times New Roman" w:eastAsia="仿宋_GB2312" w:cs="Wingdings"/>
          <w:sz w:val="32"/>
          <w:szCs w:val="32"/>
          <w:lang w:val="en-US" w:eastAsia="zh-CN"/>
        </w:rPr>
        <w:t>大</w:t>
      </w:r>
      <w:r>
        <w:rPr>
          <w:rFonts w:hint="eastAsia" w:ascii="仿宋_GB2312" w:hAnsi="Times New Roman" w:eastAsia="仿宋_GB2312" w:cs="Wingdings"/>
          <w:sz w:val="32"/>
          <w:szCs w:val="32"/>
        </w:rPr>
        <w:t>于预算数主要原因是</w:t>
      </w:r>
      <w:r>
        <w:rPr>
          <w:rFonts w:hint="eastAsia" w:ascii="仿宋_GB2312" w:hAnsi="Times New Roman" w:eastAsia="仿宋_GB2312" w:cs="DengXian-Regular"/>
          <w:sz w:val="32"/>
          <w:szCs w:val="32"/>
          <w:lang w:val="en-US" w:eastAsia="zh-CN"/>
        </w:rPr>
        <w:t>审计经费增加</w:t>
      </w:r>
      <w:r>
        <w:rPr>
          <w:rFonts w:hint="eastAsia" w:ascii="仿宋_GB2312" w:hAnsi="Times New Roman" w:eastAsia="仿宋_GB2312" w:cs="Wingdings"/>
          <w:sz w:val="32"/>
          <w:szCs w:val="32"/>
        </w:rPr>
        <w:t>。</w:t>
      </w:r>
    </w:p>
    <w:p>
      <w:pPr>
        <w:numPr>
          <w:ilvl w:val="0"/>
          <w:numId w:val="1"/>
        </w:num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财政拨款支出决算结构情况。</w:t>
      </w:r>
    </w:p>
    <w:p>
      <w:pPr>
        <w:adjustRightInd w:val="0"/>
        <w:snapToGrid w:val="0"/>
        <w:spacing w:line="600" w:lineRule="exact"/>
        <w:ind w:firstLine="640" w:firstLineChars="200"/>
        <w:rPr>
          <w:rFonts w:ascii="楷体_GB2312" w:hAnsi="Times New Roman" w:eastAsia="楷体_GB2312" w:cs="Mongolian Baiti"/>
          <w:b/>
          <w:bCs/>
          <w:sz w:val="32"/>
          <w:szCs w:val="32"/>
        </w:rPr>
      </w:pPr>
      <w:r>
        <w:rPr>
          <w:rFonts w:hint="eastAsia" w:ascii="仿宋_GB2312" w:hAnsi="Times New Roman" w:eastAsia="仿宋_GB2312" w:cs="Wingdings"/>
          <w:sz w:val="32"/>
          <w:szCs w:val="32"/>
        </w:rPr>
        <w:t>2020 年度财政拨款支出</w:t>
      </w:r>
      <w:r>
        <w:rPr>
          <w:rFonts w:hint="eastAsia" w:ascii="仿宋_GB2312" w:hAnsi="Times New Roman" w:eastAsia="仿宋_GB2312" w:cs="Wingdings"/>
          <w:sz w:val="32"/>
          <w:szCs w:val="32"/>
          <w:lang w:val="en-US" w:eastAsia="zh-CN"/>
        </w:rPr>
        <w:t>637.08</w:t>
      </w:r>
      <w:r>
        <w:rPr>
          <w:rFonts w:hint="eastAsia" w:ascii="仿宋_GB2312" w:hAnsi="Times New Roman" w:eastAsia="仿宋_GB2312" w:cs="Wingdings"/>
          <w:sz w:val="32"/>
          <w:szCs w:val="32"/>
        </w:rPr>
        <w:t>万元，主要用于以下方面：一般公共服务（类）支出</w:t>
      </w:r>
      <w:r>
        <w:rPr>
          <w:rFonts w:hint="eastAsia" w:ascii="仿宋_GB2312" w:hAnsi="Times New Roman" w:eastAsia="仿宋_GB2312" w:cs="Wingdings"/>
          <w:sz w:val="32"/>
          <w:szCs w:val="32"/>
          <w:lang w:val="en-US" w:eastAsia="zh-CN"/>
        </w:rPr>
        <w:t>556.61</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87.37</w:t>
      </w:r>
      <w:r>
        <w:rPr>
          <w:rFonts w:hint="eastAsia" w:ascii="仿宋_GB2312" w:hAnsi="Times New Roman" w:eastAsia="仿宋_GB2312" w:cs="Wingdings"/>
          <w:sz w:val="32"/>
          <w:szCs w:val="32"/>
        </w:rPr>
        <w:t>%，；社会保障和就业（类）支出</w:t>
      </w:r>
      <w:r>
        <w:rPr>
          <w:rFonts w:hint="eastAsia" w:ascii="仿宋_GB2312" w:hAnsi="Times New Roman" w:eastAsia="仿宋_GB2312" w:cs="Wingdings"/>
          <w:sz w:val="32"/>
          <w:szCs w:val="32"/>
          <w:lang w:val="en-US" w:eastAsia="zh-CN"/>
        </w:rPr>
        <w:t>53.22</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8.35</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val="en-US" w:eastAsia="zh-CN"/>
        </w:rPr>
        <w:t>卫生健康（类）支出13.66万元，占2.14%；</w:t>
      </w:r>
      <w:r>
        <w:rPr>
          <w:rFonts w:hint="eastAsia" w:ascii="仿宋_GB2312" w:hAnsi="Times New Roman" w:eastAsia="仿宋_GB2312" w:cs="Wingdings"/>
          <w:sz w:val="32"/>
          <w:szCs w:val="32"/>
        </w:rPr>
        <w:t>住房保障（类）支出</w:t>
      </w:r>
      <w:r>
        <w:rPr>
          <w:rFonts w:hint="eastAsia" w:ascii="仿宋_GB2312" w:hAnsi="Times New Roman" w:eastAsia="仿宋_GB2312" w:cs="Wingdings"/>
          <w:sz w:val="32"/>
          <w:szCs w:val="32"/>
          <w:lang w:val="en-US" w:eastAsia="zh-CN"/>
        </w:rPr>
        <w:t>13.60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2.13</w:t>
      </w:r>
      <w:r>
        <w:rPr>
          <w:rFonts w:hint="eastAsia" w:ascii="仿宋_GB2312" w:hAnsi="Times New Roman" w:eastAsia="仿宋_GB2312" w:cs="Wingdings"/>
          <w:sz w:val="32"/>
          <w:szCs w:val="32"/>
        </w:rPr>
        <w:t>%。</w:t>
      </w:r>
    </w:p>
    <w:p>
      <w:p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（四）一般公共预算基本支出决算情况说明</w:t>
      </w:r>
    </w:p>
    <w:p>
      <w:pPr>
        <w:adjustRightInd w:val="0"/>
        <w:snapToGrid w:val="0"/>
        <w:spacing w:line="600" w:lineRule="exact"/>
        <w:ind w:firstLine="640" w:firstLineChars="200"/>
        <w:rPr>
          <w:rFonts w:hint="eastAsia" w:ascii="仿宋_GB2312" w:hAnsi="Times New Roman" w:eastAsia="仿宋_GB2312" w:cs="Wingdings"/>
          <w:sz w:val="32"/>
          <w:szCs w:val="32"/>
        </w:rPr>
      </w:pPr>
      <w:r>
        <w:rPr>
          <w:rFonts w:hint="eastAsia" w:ascii="仿宋_GB2312" w:hAnsi="Times New Roman" w:eastAsia="仿宋_GB2312" w:cs="Wingdings"/>
          <w:sz w:val="32"/>
          <w:szCs w:val="32"/>
        </w:rPr>
        <w:t>2020 年度财政拨款基本支出</w:t>
      </w:r>
      <w:r>
        <w:rPr>
          <w:rFonts w:hint="eastAsia" w:ascii="仿宋_GB2312" w:hAnsi="Times New Roman" w:eastAsia="仿宋_GB2312" w:cs="Wingdings"/>
          <w:sz w:val="32"/>
          <w:szCs w:val="32"/>
          <w:lang w:val="en-US" w:eastAsia="zh-CN"/>
        </w:rPr>
        <w:t>637.08</w:t>
      </w:r>
      <w:r>
        <w:rPr>
          <w:rFonts w:hint="eastAsia" w:ascii="仿宋_GB2312" w:hAnsi="Times New Roman" w:eastAsia="仿宋_GB2312" w:cs="Wingdings"/>
          <w:sz w:val="32"/>
          <w:szCs w:val="32"/>
        </w:rPr>
        <w:t xml:space="preserve">万元，其中：人员经费 </w:t>
      </w:r>
      <w:r>
        <w:rPr>
          <w:rFonts w:hint="eastAsia" w:ascii="仿宋_GB2312" w:hAnsi="Times New Roman" w:eastAsia="仿宋_GB2312" w:cs="Wingdings"/>
          <w:sz w:val="32"/>
          <w:szCs w:val="32"/>
          <w:lang w:val="en-US" w:eastAsia="zh-CN"/>
        </w:rPr>
        <w:t>278.32</w:t>
      </w:r>
      <w:r>
        <w:rPr>
          <w:rFonts w:hint="eastAsia" w:ascii="仿宋_GB2312" w:hAnsi="Times New Roman" w:eastAsia="仿宋_GB2312" w:cs="Wingdings"/>
          <w:sz w:val="32"/>
          <w:szCs w:val="32"/>
        </w:rPr>
        <w:t>万元，主要包括基本工资、津贴补贴、奖金、绩效工资、机关事业单位基本养老保险缴费、职业年金缴费、职工基本医疗保险缴费、住房公积金</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生活补助；公用经费</w:t>
      </w:r>
      <w:r>
        <w:rPr>
          <w:rFonts w:hint="eastAsia" w:ascii="仿宋_GB2312" w:hAnsi="Times New Roman" w:eastAsia="仿宋_GB2312" w:cs="Wingdings"/>
          <w:sz w:val="32"/>
          <w:szCs w:val="32"/>
          <w:lang w:val="en-US" w:eastAsia="zh-CN"/>
        </w:rPr>
        <w:t>358.77</w:t>
      </w:r>
      <w:r>
        <w:rPr>
          <w:rFonts w:hint="eastAsia" w:ascii="仿宋_GB2312" w:hAnsi="Times New Roman" w:eastAsia="仿宋_GB2312" w:cs="Wingdings"/>
          <w:sz w:val="32"/>
          <w:szCs w:val="32"/>
        </w:rPr>
        <w:t>万元，主要包括办公费、水费、电费、邮电费、差旅费、委托业务费、公务用车运行维护费、其他交通费用</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办公设备购置。</w:t>
      </w:r>
    </w:p>
    <w:p>
      <w:pPr>
        <w:adjustRightInd w:val="0"/>
        <w:snapToGrid w:val="0"/>
        <w:spacing w:line="600" w:lineRule="exact"/>
        <w:ind w:firstLine="640" w:firstLineChars="200"/>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（一）“三公”经费财政拨款支出决算总体情况说明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本部门2020年度“三公”经费财政拨款支出预算为</w:t>
      </w:r>
      <w:r>
        <w:rPr>
          <w:rFonts w:hint="eastAsia" w:ascii="仿宋_GB2312" w:hAnsi="Times New Roman" w:eastAsia="仿宋_GB2312" w:cs="Wingdings"/>
          <w:sz w:val="32"/>
          <w:szCs w:val="32"/>
          <w:lang w:val="en-US" w:eastAsia="zh-CN"/>
        </w:rPr>
        <w:t>2.58</w:t>
      </w:r>
      <w:r>
        <w:rPr>
          <w:rFonts w:hint="eastAsia" w:ascii="仿宋_GB2312" w:hAnsi="Times New Roman" w:eastAsia="仿宋_GB2312" w:cs="Wingdings"/>
          <w:sz w:val="32"/>
          <w:szCs w:val="32"/>
        </w:rPr>
        <w:t>万元，支出决算为</w:t>
      </w:r>
      <w:r>
        <w:rPr>
          <w:rFonts w:hint="eastAsia" w:ascii="仿宋_GB2312" w:hAnsi="Times New Roman" w:eastAsia="仿宋_GB2312" w:cs="Wingdings"/>
          <w:sz w:val="32"/>
          <w:szCs w:val="32"/>
          <w:lang w:val="en-US" w:eastAsia="zh-CN"/>
        </w:rPr>
        <w:t>2.50</w:t>
      </w:r>
      <w:r>
        <w:rPr>
          <w:rFonts w:hint="eastAsia" w:ascii="仿宋_GB2312" w:hAnsi="Times New Roman" w:eastAsia="仿宋_GB2312" w:cs="Wingdings"/>
          <w:sz w:val="32"/>
          <w:szCs w:val="32"/>
        </w:rPr>
        <w:t>元，完成预算的</w:t>
      </w:r>
      <w:r>
        <w:rPr>
          <w:rFonts w:hint="eastAsia" w:ascii="仿宋_GB2312" w:hAnsi="Times New Roman" w:eastAsia="仿宋_GB2312" w:cs="Wingdings"/>
          <w:sz w:val="32"/>
          <w:szCs w:val="32"/>
          <w:lang w:val="en-US" w:eastAsia="zh-CN"/>
        </w:rPr>
        <w:t>96.90</w:t>
      </w:r>
      <w:r>
        <w:rPr>
          <w:rFonts w:hint="eastAsia" w:ascii="仿宋_GB2312" w:hAnsi="Times New Roman" w:eastAsia="仿宋_GB2312" w:cs="Wingdings"/>
          <w:sz w:val="32"/>
          <w:szCs w:val="32"/>
        </w:rPr>
        <w:t>%,较预算减少</w:t>
      </w:r>
      <w:r>
        <w:rPr>
          <w:rFonts w:hint="eastAsia" w:ascii="仿宋_GB2312" w:hAnsi="Times New Roman" w:eastAsia="仿宋_GB2312" w:cs="Wingdings"/>
          <w:sz w:val="32"/>
          <w:szCs w:val="32"/>
          <w:lang w:val="en-US" w:eastAsia="zh-CN"/>
        </w:rPr>
        <w:t>0.08</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3.10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未支出公务招待费</w:t>
      </w:r>
      <w:r>
        <w:rPr>
          <w:rFonts w:hint="eastAsia" w:ascii="仿宋_GB2312" w:hAnsi="Times New Roman" w:eastAsia="仿宋_GB2312" w:cs="Wingdings"/>
          <w:sz w:val="32"/>
          <w:szCs w:val="32"/>
        </w:rPr>
        <w:t>；较2019年度增加</w:t>
      </w:r>
      <w:r>
        <w:rPr>
          <w:rFonts w:hint="eastAsia" w:ascii="仿宋_GB2312" w:hAnsi="Times New Roman" w:eastAsia="仿宋_GB2312" w:cs="Wingdings"/>
          <w:sz w:val="32"/>
          <w:szCs w:val="32"/>
          <w:lang w:val="en-US" w:eastAsia="zh-CN"/>
        </w:rPr>
        <w:t>1.02</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68.92</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审计项目增加，所需车辆运行费增加</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（二）“三公”经费财政拨款支出决算具体情况说明</w:t>
      </w:r>
    </w:p>
    <w:p>
      <w:pPr>
        <w:numPr>
          <w:ilvl w:val="0"/>
          <w:numId w:val="2"/>
        </w:numPr>
        <w:adjustRightInd w:val="0"/>
        <w:snapToGrid w:val="0"/>
        <w:spacing w:line="580" w:lineRule="exact"/>
        <w:ind w:firstLine="643" w:firstLineChars="200"/>
        <w:rPr>
          <w:rFonts w:hint="eastAsia" w:ascii="楷体_GB2312" w:hAnsi="Times New Roman" w:eastAsia="楷体_GB2312" w:cs="DengXian-Bold"/>
          <w:b/>
          <w:bCs/>
          <w:sz w:val="32"/>
          <w:szCs w:val="32"/>
        </w:rPr>
      </w:pPr>
      <w:r>
        <w:rPr>
          <w:rFonts w:hint="eastAsia" w:ascii="楷体_GB2312" w:hAnsi="Times New Roman" w:eastAsia="楷体_GB2312" w:cs="Mongolian Baiti"/>
          <w:b/>
          <w:bCs/>
          <w:sz w:val="32"/>
          <w:szCs w:val="32"/>
        </w:rPr>
        <w:t>1.因公出国（境）费</w:t>
      </w:r>
      <w:r>
        <w:rPr>
          <w:rFonts w:hint="eastAsia" w:ascii="楷体_GB2312" w:hAnsi="Times New Roman" w:eastAsia="楷体_GB2312" w:cs="Mongolian Baiti"/>
          <w:b/>
          <w:bCs/>
          <w:sz w:val="32"/>
          <w:szCs w:val="32"/>
          <w:lang w:eastAsia="zh-CN"/>
        </w:rPr>
        <w:t>。</w:t>
      </w:r>
      <w:r>
        <w:rPr>
          <w:rFonts w:hint="eastAsia" w:ascii="仿宋_GB2312" w:hAnsi="仿宋_GB2312" w:eastAsia="仿宋_GB2312" w:cs="仿宋_GB2312"/>
          <w:b w:val="0"/>
          <w:bCs w:val="0"/>
          <w:sz w:val="32"/>
          <w:szCs w:val="32"/>
        </w:rPr>
        <w:t>本部门2020</w:t>
      </w:r>
      <w:r>
        <w:rPr>
          <w:rFonts w:hint="eastAsia" w:ascii="仿宋_GB2312" w:hAnsi="仿宋_GB2312" w:eastAsia="仿宋_GB2312" w:cs="仿宋_GB2312"/>
          <w:b w:val="0"/>
          <w:bCs w:val="0"/>
          <w:sz w:val="32"/>
          <w:szCs w:val="32"/>
          <w:lang w:val="en-US" w:eastAsia="zh-CN"/>
        </w:rPr>
        <w:t>年因公出国（境）费</w:t>
      </w:r>
      <w:r>
        <w:rPr>
          <w:rFonts w:hint="eastAsia" w:ascii="仿宋_GB2312" w:hAnsi="仿宋_GB2312" w:eastAsia="仿宋_GB2312" w:cs="仿宋_GB2312"/>
          <w:b w:val="0"/>
          <w:bCs w:val="0"/>
          <w:sz w:val="32"/>
          <w:szCs w:val="32"/>
        </w:rPr>
        <w:t>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万元，完成预算的</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w:t>
      </w:r>
      <w:r>
        <w:rPr>
          <w:rFonts w:hint="eastAsia" w:ascii="仿宋_GB2312" w:hAnsi="Times New Roman" w:eastAsia="仿宋_GB2312" w:cs="Wingdings"/>
          <w:sz w:val="32"/>
          <w:szCs w:val="32"/>
        </w:rPr>
        <w:t>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人、参加其他单位组织的因公出国（境）团组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个、无本单位组织的出国（境）团组。</w:t>
      </w:r>
      <w:r>
        <w:rPr>
          <w:rFonts w:hint="eastAsia" w:ascii="仿宋_GB2312" w:hAnsi="Times New Roman" w:eastAsia="仿宋_GB2312" w:cs="DengXian-Regular"/>
          <w:sz w:val="32"/>
          <w:szCs w:val="32"/>
        </w:rPr>
        <w:t>因公出国（境）费支出较预算增加0万元，增长0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；较上年增加0万元，增长0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w:t>
      </w:r>
    </w:p>
    <w:p>
      <w:pPr>
        <w:adjustRightInd w:val="0"/>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2.公务用车购置及运行维护费</w:t>
      </w:r>
      <w:r>
        <w:rPr>
          <w:rFonts w:hint="eastAsia" w:ascii="楷体_GB2312" w:hAnsi="Times New Roman" w:eastAsia="楷体_GB2312" w:cs="Mongolian Baiti"/>
          <w:b/>
          <w:bCs/>
          <w:sz w:val="32"/>
          <w:szCs w:val="32"/>
          <w:lang w:eastAsia="zh-CN"/>
        </w:rPr>
        <w:t>。</w:t>
      </w:r>
      <w:r>
        <w:rPr>
          <w:rFonts w:hint="eastAsia" w:ascii="仿宋_GB2312" w:hAnsi="仿宋_GB2312" w:eastAsia="仿宋_GB2312" w:cs="仿宋_GB2312"/>
          <w:b w:val="0"/>
          <w:bCs w:val="0"/>
          <w:sz w:val="32"/>
          <w:szCs w:val="32"/>
          <w:lang w:eastAsia="zh-CN"/>
        </w:rPr>
        <w:t>本部门2020</w:t>
      </w:r>
      <w:r>
        <w:rPr>
          <w:rFonts w:hint="eastAsia" w:ascii="仿宋_GB2312" w:hAnsi="仿宋_GB2312" w:eastAsia="仿宋_GB2312" w:cs="仿宋_GB2312"/>
          <w:b w:val="0"/>
          <w:bCs w:val="0"/>
          <w:sz w:val="32"/>
          <w:szCs w:val="32"/>
          <w:lang w:val="en-US" w:eastAsia="zh-CN"/>
        </w:rPr>
        <w:t>年</w:t>
      </w:r>
      <w:r>
        <w:rPr>
          <w:rFonts w:hint="eastAsia" w:ascii="仿宋_GB2312" w:hAnsi="仿宋_GB2312" w:eastAsia="仿宋_GB2312" w:cs="仿宋_GB2312"/>
          <w:b w:val="0"/>
          <w:bCs w:val="0"/>
          <w:sz w:val="32"/>
          <w:szCs w:val="32"/>
        </w:rPr>
        <w:t>公务用车购置及运行维护费</w:t>
      </w:r>
      <w:r>
        <w:rPr>
          <w:rFonts w:hint="eastAsia" w:ascii="仿宋_GB2312" w:hAnsi="仿宋_GB2312" w:eastAsia="仿宋_GB2312" w:cs="仿宋_GB2312"/>
          <w:b w:val="0"/>
          <w:bCs w:val="0"/>
          <w:sz w:val="32"/>
          <w:szCs w:val="32"/>
          <w:lang w:eastAsia="zh-CN"/>
        </w:rPr>
        <w:t>支出</w:t>
      </w:r>
      <w:r>
        <w:rPr>
          <w:rFonts w:hint="eastAsia" w:ascii="仿宋_GB2312" w:hAnsi="仿宋_GB2312" w:eastAsia="仿宋_GB2312" w:cs="仿宋_GB2312"/>
          <w:b w:val="0"/>
          <w:bCs w:val="0"/>
          <w:sz w:val="32"/>
          <w:szCs w:val="32"/>
          <w:lang w:val="en-US" w:eastAsia="zh-CN"/>
        </w:rPr>
        <w:t>2.50</w:t>
      </w:r>
      <w:r>
        <w:rPr>
          <w:rFonts w:hint="eastAsia" w:ascii="仿宋_GB2312" w:hAnsi="仿宋_GB2312" w:eastAsia="仿宋_GB2312" w:cs="仿宋_GB2312"/>
          <w:b w:val="0"/>
          <w:bCs w:val="0"/>
          <w:sz w:val="32"/>
          <w:szCs w:val="32"/>
          <w:lang w:eastAsia="zh-CN"/>
        </w:rPr>
        <w:t>万元，完成预算的</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与年初预算持平</w:t>
      </w:r>
      <w:r>
        <w:rPr>
          <w:rFonts w:hint="eastAsia" w:ascii="仿宋_GB2312" w:hAnsi="Times New Roman" w:eastAsia="仿宋_GB2312" w:cs="Wingdings"/>
          <w:sz w:val="32"/>
          <w:szCs w:val="32"/>
        </w:rPr>
        <w:t>；较上年</w:t>
      </w:r>
      <w:r>
        <w:rPr>
          <w:rFonts w:hint="eastAsia" w:ascii="仿宋_GB2312" w:hAnsi="Times New Roman" w:eastAsia="仿宋_GB2312" w:cs="Wingdings"/>
          <w:sz w:val="32"/>
          <w:szCs w:val="32"/>
          <w:lang w:val="en-US" w:eastAsia="zh-CN"/>
        </w:rPr>
        <w:t>增加1.02</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68.92</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审计项目增加，所需车辆运行费增加</w:t>
      </w:r>
      <w:r>
        <w:rPr>
          <w:rFonts w:hint="eastAsia" w:ascii="仿宋_GB2312" w:hAnsi="Times New Roman" w:eastAsia="仿宋_GB2312" w:cs="Wingdings"/>
          <w:sz w:val="32"/>
          <w:szCs w:val="32"/>
        </w:rPr>
        <w:t>。</w:t>
      </w:r>
      <w:r>
        <w:rPr>
          <w:rFonts w:hint="eastAsia" w:ascii="仿宋_GB2312" w:hAnsi="Times New Roman" w:eastAsia="仿宋_GB2312" w:cs="Mongolian Baiti"/>
          <w:b/>
          <w:bCs/>
          <w:sz w:val="32"/>
          <w:szCs w:val="32"/>
        </w:rPr>
        <w:t>其中：</w:t>
      </w:r>
    </w:p>
    <w:p>
      <w:pPr>
        <w:adjustRightInd w:val="0"/>
        <w:snapToGrid w:val="0"/>
        <w:spacing w:line="580" w:lineRule="exact"/>
        <w:ind w:firstLine="643" w:firstLineChars="200"/>
        <w:rPr>
          <w:rFonts w:hint="eastAsia" w:ascii="仿宋_GB2312" w:hAnsi="Times New Roman" w:eastAsia="仿宋_GB2312" w:cs="DengXian-Regular"/>
          <w:sz w:val="32"/>
          <w:szCs w:val="32"/>
        </w:rPr>
      </w:pPr>
      <w:r>
        <w:rPr>
          <w:rFonts w:hint="eastAsia" w:ascii="仿宋_GB2312" w:hAnsi="Times New Roman" w:eastAsia="仿宋_GB2312" w:cs="Wingdings"/>
          <w:b/>
          <w:sz w:val="32"/>
          <w:szCs w:val="32"/>
        </w:rPr>
        <w:t>公务用车购置费支出：</w:t>
      </w:r>
      <w:r>
        <w:rPr>
          <w:rFonts w:hint="eastAsia" w:ascii="仿宋_GB2312" w:hAnsi="Times New Roman" w:eastAsia="仿宋_GB2312" w:cs="Wingdings"/>
          <w:sz w:val="32"/>
          <w:szCs w:val="32"/>
        </w:rPr>
        <w:t>本部门2020年度公务用车购置量</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辆，发生“公务用车购置”经费支出</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w:t>
      </w:r>
      <w:r>
        <w:rPr>
          <w:rFonts w:hint="eastAsia" w:ascii="仿宋_GB2312" w:hAnsi="Times New Roman" w:eastAsia="仿宋_GB2312" w:cs="DengXian-Regular"/>
          <w:sz w:val="32"/>
          <w:szCs w:val="32"/>
        </w:rPr>
        <w:t>公务用车购置费支出较预算增加0万元，增长0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；较上年增加0万元，增长0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公务用车运行维护费支出：</w:t>
      </w:r>
      <w:r>
        <w:rPr>
          <w:rFonts w:hint="eastAsia" w:ascii="仿宋_GB2312" w:hAnsi="Times New Roman" w:eastAsia="仿宋_GB2312" w:cs="Wingdings"/>
          <w:sz w:val="32"/>
          <w:szCs w:val="32"/>
        </w:rPr>
        <w:t>本部门2020年度单位公务用车保有量</w:t>
      </w:r>
      <w:r>
        <w:rPr>
          <w:rFonts w:hint="eastAsia" w:ascii="仿宋_GB2312" w:hAnsi="Times New Roman" w:eastAsia="仿宋_GB2312" w:cs="Wingdings"/>
          <w:sz w:val="32"/>
          <w:szCs w:val="32"/>
          <w:lang w:val="en-US" w:eastAsia="zh-CN"/>
        </w:rPr>
        <w:t>1</w:t>
      </w:r>
      <w:r>
        <w:rPr>
          <w:rFonts w:hint="eastAsia" w:ascii="仿宋_GB2312" w:hAnsi="Times New Roman" w:eastAsia="仿宋_GB2312" w:cs="Wingdings"/>
          <w:sz w:val="32"/>
          <w:szCs w:val="32"/>
        </w:rPr>
        <w:t>辆</w:t>
      </w:r>
      <w:r>
        <w:rPr>
          <w:rFonts w:hint="eastAsia" w:ascii="仿宋_GB2312" w:hAnsi="Times New Roman" w:eastAsia="仿宋_GB2312" w:cs="Wingdings"/>
          <w:sz w:val="32"/>
          <w:szCs w:val="32"/>
          <w:lang w:val="en-US" w:eastAsia="zh-CN"/>
        </w:rPr>
        <w:t>,发生运行维护费支出2.50万元</w:t>
      </w:r>
      <w:r>
        <w:rPr>
          <w:rFonts w:hint="eastAsia" w:ascii="仿宋_GB2312" w:hAnsi="Times New Roman" w:eastAsia="仿宋_GB2312" w:cs="Wingdings"/>
          <w:sz w:val="32"/>
          <w:szCs w:val="32"/>
        </w:rPr>
        <w:t>。公车运行维护费支出较预算增加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val="en-US" w:eastAsia="zh-CN"/>
        </w:rPr>
        <w:t>与年初预算持平</w:t>
      </w:r>
      <w:r>
        <w:rPr>
          <w:rFonts w:hint="eastAsia" w:ascii="仿宋_GB2312" w:hAnsi="Times New Roman" w:eastAsia="仿宋_GB2312" w:cs="Wingdings"/>
          <w:sz w:val="32"/>
          <w:szCs w:val="32"/>
        </w:rPr>
        <w:t>；较上年</w:t>
      </w:r>
      <w:r>
        <w:rPr>
          <w:rFonts w:hint="eastAsia" w:ascii="仿宋_GB2312" w:hAnsi="Times New Roman" w:eastAsia="仿宋_GB2312" w:cs="Wingdings"/>
          <w:sz w:val="32"/>
          <w:szCs w:val="32"/>
          <w:lang w:val="en-US" w:eastAsia="zh-CN"/>
        </w:rPr>
        <w:t>增加1.02</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68.92</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审计项目增加，所需车辆运行费增加</w:t>
      </w:r>
      <w:r>
        <w:rPr>
          <w:rFonts w:hint="eastAsia" w:ascii="仿宋_GB2312" w:hAnsi="Times New Roman" w:eastAsia="仿宋_GB2312" w:cs="Wingdings"/>
          <w:sz w:val="32"/>
          <w:szCs w:val="32"/>
        </w:rPr>
        <w:t>。</w:t>
      </w:r>
    </w:p>
    <w:p>
      <w:pPr>
        <w:adjustRightInd w:val="0"/>
        <w:snapToGrid w:val="0"/>
        <w:spacing w:line="58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3.公务接待费</w:t>
      </w:r>
      <w:r>
        <w:rPr>
          <w:rFonts w:hint="eastAsia" w:ascii="楷体_GB2312" w:hAnsi="Times New Roman" w:eastAsia="楷体_GB2312" w:cs="Mongolian Baiti"/>
          <w:b/>
          <w:bCs/>
          <w:sz w:val="32"/>
          <w:szCs w:val="32"/>
          <w:lang w:eastAsia="zh-CN"/>
        </w:rPr>
        <w:t>。</w:t>
      </w:r>
      <w:r>
        <w:rPr>
          <w:rFonts w:hint="eastAsia" w:ascii="仿宋_GB2312" w:hAnsi="仿宋_GB2312" w:eastAsia="仿宋_GB2312" w:cs="仿宋_GB2312"/>
          <w:b w:val="0"/>
          <w:bCs w:val="0"/>
          <w:sz w:val="32"/>
          <w:szCs w:val="32"/>
        </w:rPr>
        <w:t>本部门2020年</w:t>
      </w:r>
      <w:r>
        <w:rPr>
          <w:rFonts w:hint="eastAsia" w:ascii="仿宋_GB2312" w:hAnsi="仿宋_GB2312" w:eastAsia="仿宋_GB2312" w:cs="仿宋_GB2312"/>
          <w:b w:val="0"/>
          <w:bCs w:val="0"/>
          <w:sz w:val="32"/>
          <w:szCs w:val="32"/>
          <w:lang w:val="en-US" w:eastAsia="zh-CN"/>
        </w:rPr>
        <w:t>公务接待费</w:t>
      </w:r>
      <w:r>
        <w:rPr>
          <w:rFonts w:hint="eastAsia" w:ascii="仿宋_GB2312" w:hAnsi="仿宋_GB2312" w:eastAsia="仿宋_GB2312" w:cs="仿宋_GB2312"/>
          <w:b w:val="0"/>
          <w:bCs w:val="0"/>
          <w:sz w:val="32"/>
          <w:szCs w:val="32"/>
        </w:rPr>
        <w:t>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万元，完成预算的</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发生</w:t>
      </w:r>
      <w:r>
        <w:rPr>
          <w:rFonts w:hint="eastAsia" w:ascii="仿宋_GB2312" w:hAnsi="Times New Roman" w:eastAsia="仿宋_GB2312" w:cs="Wingdings"/>
          <w:sz w:val="32"/>
          <w:szCs w:val="32"/>
        </w:rPr>
        <w:t>公务接待共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批次、</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人次。</w:t>
      </w:r>
      <w:r>
        <w:rPr>
          <w:rFonts w:hint="eastAsia" w:ascii="仿宋_GB2312" w:hAnsi="Times New Roman" w:eastAsia="仿宋_GB2312" w:cs="DengXian-Regular"/>
          <w:sz w:val="32"/>
          <w:szCs w:val="32"/>
        </w:rPr>
        <w:t>公务接待费支出较预算减少0万元，降低0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；较上年度减少0万元，降低0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p>
    <w:p>
      <w:pPr>
        <w:adjustRightInd w:val="0"/>
        <w:snapToGrid w:val="0"/>
        <w:spacing w:line="60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adjustRightInd w:val="0"/>
        <w:snapToGrid w:val="0"/>
        <w:spacing w:line="580" w:lineRule="exact"/>
        <w:ind w:firstLine="640" w:firstLineChars="200"/>
        <w:rPr>
          <w:rFonts w:hint="default"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我单位本年度没有项目支出，不需进行项目绩效评价。</w:t>
      </w:r>
    </w:p>
    <w:p>
      <w:pPr>
        <w:numPr>
          <w:ilvl w:val="0"/>
          <w:numId w:val="2"/>
        </w:numPr>
        <w:adjustRightInd w:val="0"/>
        <w:snapToGrid w:val="0"/>
        <w:spacing w:line="600" w:lineRule="exact"/>
        <w:ind w:left="0" w:leftChars="0"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部门决算中项目绩效自评结果。</w:t>
      </w:r>
    </w:p>
    <w:p>
      <w:pPr>
        <w:adjustRightInd w:val="0"/>
        <w:snapToGrid w:val="0"/>
        <w:spacing w:line="580" w:lineRule="exact"/>
        <w:ind w:firstLine="640" w:firstLineChars="200"/>
        <w:rPr>
          <w:rFonts w:hint="eastAsia" w:ascii="楷体_GB2312" w:hAnsi="楷体_GB2312" w:eastAsia="楷体_GB2312" w:cs="楷体_GB2312"/>
          <w:b/>
          <w:bCs/>
          <w:sz w:val="32"/>
          <w:szCs w:val="32"/>
          <w:lang w:val="en-US" w:eastAsia="zh-CN"/>
        </w:rPr>
      </w:pPr>
      <w:r>
        <w:rPr>
          <w:rFonts w:hint="eastAsia" w:ascii="仿宋_GB2312" w:hAnsi="Times New Roman" w:eastAsia="仿宋_GB2312" w:cs="DengXian-Regular"/>
          <w:sz w:val="32"/>
          <w:szCs w:val="32"/>
          <w:lang w:val="en-US" w:eastAsia="zh-CN"/>
        </w:rPr>
        <w:t>我单位本年度没有项目支出，不需进行项目绩效评价。</w:t>
      </w:r>
    </w:p>
    <w:p>
      <w:pPr>
        <w:numPr>
          <w:ilvl w:val="0"/>
          <w:numId w:val="2"/>
        </w:numPr>
        <w:adjustRightInd w:val="0"/>
        <w:snapToGrid w:val="0"/>
        <w:spacing w:line="600" w:lineRule="exact"/>
        <w:ind w:left="0" w:leftChars="0"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财政评价项目绩效评价结果</w:t>
      </w:r>
    </w:p>
    <w:p>
      <w:pPr>
        <w:numPr>
          <w:ilvl w:val="0"/>
          <w:numId w:val="0"/>
        </w:numPr>
        <w:adjustRightInd w:val="0"/>
        <w:snapToGrid w:val="0"/>
        <w:spacing w:line="600" w:lineRule="exact"/>
        <w:ind w:leftChars="200"/>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val="0"/>
          <w:bCs w:val="0"/>
          <w:sz w:val="32"/>
          <w:szCs w:val="32"/>
          <w:lang w:val="en-US" w:eastAsia="zh-CN"/>
        </w:rPr>
        <w:t>无。</w:t>
      </w:r>
    </w:p>
    <w:p>
      <w:pPr>
        <w:keepNext/>
        <w:keepLines/>
        <w:snapToGrid w:val="0"/>
        <w:spacing w:line="600" w:lineRule="exact"/>
        <w:ind w:firstLine="640" w:firstLineChars="200"/>
        <w:outlineLvl w:val="1"/>
        <w:rPr>
          <w:rFonts w:ascii="黑体" w:hAnsi="黑体" w:eastAsia="黑体" w:cs="黑体"/>
          <w:b/>
          <w:bCs/>
          <w:sz w:val="32"/>
          <w:szCs w:val="32"/>
        </w:rPr>
      </w:pPr>
      <w:r>
        <w:rPr>
          <w:rFonts w:hint="eastAsia" w:ascii="黑体" w:hAnsi="黑体" w:eastAsia="黑体" w:cs="黑体"/>
          <w:sz w:val="32"/>
          <w:szCs w:val="32"/>
        </w:rPr>
        <w:t>七、机关运行经费情况</w:t>
      </w:r>
    </w:p>
    <w:p>
      <w:pPr>
        <w:adjustRightInd w:val="0"/>
        <w:snapToGrid w:val="0"/>
        <w:spacing w:line="58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本部门2020年度机关运行经费支出</w:t>
      </w:r>
      <w:r>
        <w:rPr>
          <w:rFonts w:hint="eastAsia" w:ascii="仿宋_GB2312" w:hAnsi="仿宋_GB2312" w:eastAsia="仿宋_GB2312" w:cs="仿宋_GB2312"/>
          <w:sz w:val="32"/>
          <w:szCs w:val="32"/>
          <w:lang w:val="en-US" w:eastAsia="zh-CN"/>
        </w:rPr>
        <w:t>358.77</w:t>
      </w:r>
      <w:r>
        <w:rPr>
          <w:rFonts w:hint="eastAsia" w:ascii="仿宋_GB2312" w:hAnsi="仿宋_GB2312" w:eastAsia="仿宋_GB2312" w:cs="仿宋_GB2312"/>
          <w:sz w:val="32"/>
          <w:szCs w:val="32"/>
        </w:rPr>
        <w:t>万元，比2019年度增加</w:t>
      </w:r>
      <w:r>
        <w:rPr>
          <w:rFonts w:hint="eastAsia" w:ascii="仿宋_GB2312" w:hAnsi="仿宋_GB2312" w:eastAsia="仿宋_GB2312" w:cs="仿宋_GB2312"/>
          <w:sz w:val="32"/>
          <w:szCs w:val="32"/>
          <w:lang w:val="en-US" w:eastAsia="zh-CN"/>
        </w:rPr>
        <w:t>201.59</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128.25</w:t>
      </w:r>
      <w:r>
        <w:rPr>
          <w:rFonts w:hint="eastAsia" w:ascii="仿宋_GB2312" w:hAnsi="仿宋_GB2312" w:eastAsia="仿宋_GB2312" w:cs="仿宋_GB2312"/>
          <w:sz w:val="32"/>
          <w:szCs w:val="32"/>
        </w:rPr>
        <w:t>%。主要原因是</w:t>
      </w:r>
      <w:r>
        <w:rPr>
          <w:rFonts w:hint="eastAsia" w:ascii="仿宋_GB2312" w:eastAsia="仿宋_GB2312" w:cs="DengXian-Regular"/>
          <w:sz w:val="32"/>
          <w:szCs w:val="32"/>
          <w:highlight w:val="none"/>
          <w:lang w:val="en-US" w:eastAsia="zh-CN"/>
        </w:rPr>
        <w:t>审计项目增多，协审费用增加</w:t>
      </w:r>
      <w:r>
        <w:rPr>
          <w:rFonts w:hint="eastAsia" w:ascii="仿宋_GB2312" w:eastAsia="仿宋_GB2312" w:cs="DengXian-Regular"/>
          <w:sz w:val="32"/>
          <w:szCs w:val="32"/>
          <w:highlight w:val="none"/>
        </w:rPr>
        <w:t>。</w:t>
      </w:r>
    </w:p>
    <w:p>
      <w:pPr>
        <w:keepNext/>
        <w:keepLines/>
        <w:snapToGrid w:val="0"/>
        <w:spacing w:line="600" w:lineRule="exact"/>
        <w:ind w:firstLine="640" w:firstLineChars="200"/>
        <w:outlineLvl w:val="2"/>
        <w:rPr>
          <w:rFonts w:hint="eastAsia" w:ascii="黑体" w:hAnsi="黑体" w:eastAsia="黑体" w:cs="黑体"/>
          <w:sz w:val="32"/>
          <w:szCs w:val="32"/>
        </w:rPr>
      </w:pPr>
      <w:r>
        <w:rPr>
          <w:rFonts w:hint="eastAsia" w:ascii="黑体" w:hAnsi="黑体" w:eastAsia="黑体" w:cs="黑体"/>
          <w:sz w:val="32"/>
          <w:szCs w:val="32"/>
        </w:rPr>
        <w:t>八、政府采购情况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w:t>
      </w:r>
      <w:r>
        <w:rPr>
          <w:rFonts w:hint="eastAsia" w:ascii="仿宋_GB2312" w:hAnsi="Times New Roman" w:eastAsia="仿宋_GB2312" w:cs="DengXian-Regular"/>
          <w:sz w:val="32"/>
          <w:szCs w:val="32"/>
          <w:lang w:val="en-US" w:eastAsia="zh-CN"/>
        </w:rPr>
        <w:t>20</w:t>
      </w:r>
      <w:r>
        <w:rPr>
          <w:rFonts w:hint="eastAsia" w:ascii="仿宋_GB2312" w:hAnsi="Times New Roman" w:eastAsia="仿宋_GB2312" w:cs="DengXian-Regular"/>
          <w:sz w:val="32"/>
          <w:szCs w:val="32"/>
        </w:rPr>
        <w:t>年度政府采购支出总额0万元，从采购类型来看，</w:t>
      </w:r>
      <w:r>
        <w:rPr>
          <w:rFonts w:hint="eastAsia" w:ascii="仿宋_GB2312" w:hAnsi="仿宋_GB2312" w:eastAsia="仿宋_GB2312" w:cs="仿宋_GB2312"/>
          <w:color w:val="000000"/>
          <w:kern w:val="0"/>
          <w:sz w:val="32"/>
          <w:szCs w:val="32"/>
        </w:rPr>
        <w:t>政府采购货物支出0万元、政府采购工程支出0万元、政府采购服务支出</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0万元。授予中小企业合同金0万元，占政府采购支出总额的0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，其中授予小微企业合同金额0万元，占政府采购支出总额的0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九、国有资产占用情况</w:t>
      </w:r>
    </w:p>
    <w:p>
      <w:pPr>
        <w:adjustRightInd w:val="0"/>
        <w:snapToGrid w:val="0"/>
        <w:spacing w:line="60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rPr>
        <w:t>截至2020年12月31日，本部门共有车辆</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辆，比上年增加</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highlight w:val="none"/>
        </w:rPr>
        <w:t>主要是</w:t>
      </w:r>
      <w:r>
        <w:rPr>
          <w:rFonts w:hint="eastAsia" w:ascii="仿宋_GB2312" w:hAnsi="仿宋_GB2312" w:eastAsia="仿宋_GB2312" w:cs="仿宋_GB2312"/>
          <w:sz w:val="32"/>
          <w:szCs w:val="32"/>
          <w:highlight w:val="none"/>
          <w:lang w:eastAsia="zh-CN"/>
        </w:rPr>
        <w:t>单位公务用车</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其中，副部（省）级及以上领导用车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辆，主要领导干部用车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辆，机要通信用车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辆，应急保障用车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辆，离退休干部用车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w:t>
      </w:r>
    </w:p>
    <w:p>
      <w:pPr>
        <w:adjustRightInd w:val="0"/>
        <w:snapToGrid w:val="0"/>
        <w:spacing w:line="580" w:lineRule="exact"/>
        <w:ind w:firstLine="640" w:firstLineChars="200"/>
        <w:rPr>
          <w:rFonts w:ascii="仿宋_GB2312" w:hAnsi="仿宋_GB2312" w:eastAsia="仿宋_GB2312" w:cs="仿宋_GB2312"/>
          <w:b/>
          <w:bCs/>
          <w:sz w:val="32"/>
          <w:szCs w:val="32"/>
        </w:rPr>
      </w:pP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与上年持平</w:t>
      </w:r>
      <w:r>
        <w:rPr>
          <w:rFonts w:hint="eastAsia" w:ascii="仿宋_GB2312" w:hAnsi="Times New Roman" w:eastAsia="仿宋_GB2312" w:cs="DengXian-Regular"/>
          <w:sz w:val="32"/>
          <w:szCs w:val="32"/>
        </w:rPr>
        <w:t>。位价值</w:t>
      </w:r>
      <w:r>
        <w:rPr>
          <w:rFonts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万元以上专用设备0台（套）</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与上年持平</w:t>
      </w:r>
      <w:r>
        <w:rPr>
          <w:rFonts w:hint="eastAsia" w:ascii="仿宋_GB2312" w:hAnsi="Times New Roman" w:eastAsia="仿宋_GB2312" w:cs="DengXian-Regular"/>
          <w:sz w:val="32"/>
          <w:szCs w:val="32"/>
          <w:lang w:eastAsia="zh-CN"/>
        </w:rPr>
        <w:t>。</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十、其他需要说明的情况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本部门2020年度未发生</w:t>
      </w:r>
      <w:r>
        <w:rPr>
          <w:rFonts w:hint="eastAsia" w:ascii="仿宋_GB2312" w:hAnsi="Times New Roman" w:eastAsia="仿宋_GB2312" w:cs="DengXian-Regular"/>
          <w:sz w:val="32"/>
          <w:szCs w:val="32"/>
          <w:lang w:val="en-US" w:eastAsia="zh-CN"/>
        </w:rPr>
        <w:t>政府性基金、国有资本经营预算</w:t>
      </w:r>
      <w:r>
        <w:rPr>
          <w:rFonts w:hint="eastAsia" w:ascii="仿宋_GB2312" w:hAnsi="仿宋_GB2312" w:eastAsia="仿宋_GB2312" w:cs="仿宋_GB2312"/>
          <w:sz w:val="32"/>
          <w:szCs w:val="32"/>
        </w:rPr>
        <w:t>收支及结转结余情况，</w:t>
      </w:r>
      <w:r>
        <w:rPr>
          <w:rFonts w:hint="eastAsia" w:ascii="仿宋_GB2312" w:hAnsi="Times New Roman" w:eastAsia="仿宋_GB2312" w:cs="DengXian-Regular"/>
          <w:sz w:val="32"/>
          <w:szCs w:val="32"/>
        </w:rPr>
        <w:t>故</w:t>
      </w:r>
      <w:r>
        <w:rPr>
          <w:rFonts w:hint="eastAsia" w:ascii="仿宋_GB2312" w:hAnsi="Times New Roman" w:eastAsia="仿宋_GB2312" w:cs="DengXian-Regular"/>
          <w:sz w:val="32"/>
          <w:szCs w:val="32"/>
          <w:lang w:val="en-US" w:eastAsia="zh-CN"/>
        </w:rPr>
        <w:t>8.9</w:t>
      </w:r>
      <w:r>
        <w:rPr>
          <w:rFonts w:hint="eastAsia" w:ascii="仿宋_GB2312" w:hAnsi="Times New Roman" w:eastAsia="仿宋_GB2312" w:cs="DengXian-Regular"/>
          <w:sz w:val="32"/>
          <w:szCs w:val="32"/>
        </w:rPr>
        <w:t>表以空表列示。</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由于决算公开表格中金额数值应当保留两位小数，公开数据为四舍五入计算结果，个别数据合计项与分项之和存在小数点后差额，特此说明。</w:t>
      </w:r>
    </w:p>
    <w:p>
      <w:pPr>
        <w:adjustRightInd w:val="0"/>
        <w:snapToGrid w:val="0"/>
        <w:spacing w:line="600" w:lineRule="exact"/>
        <w:ind w:firstLine="640" w:firstLineChars="200"/>
        <w:rPr>
          <w:rFonts w:hint="eastAsia" w:ascii="仿宋_GB2312" w:hAnsi="仿宋_GB2312" w:eastAsia="仿宋_GB2312" w:cs="仿宋_GB2312"/>
          <w:sz w:val="32"/>
          <w:szCs w:val="32"/>
        </w:rPr>
      </w:pPr>
    </w:p>
    <w:p>
      <w:pPr>
        <w:adjustRightInd w:val="0"/>
        <w:snapToGrid w:val="0"/>
        <w:spacing w:line="600" w:lineRule="exact"/>
        <w:ind w:firstLine="640" w:firstLineChars="200"/>
        <w:rPr>
          <w:rFonts w:hint="eastAsia" w:ascii="仿宋_GB2312" w:hAnsi="仿宋_GB2312" w:eastAsia="仿宋_GB2312" w:cs="仿宋_GB2312"/>
          <w:sz w:val="32"/>
          <w:szCs w:val="32"/>
        </w:rPr>
      </w:pPr>
    </w:p>
    <w:p>
      <w:pPr>
        <w:adjustRightInd w:val="0"/>
        <w:snapToGrid w:val="0"/>
        <w:spacing w:line="600" w:lineRule="exact"/>
        <w:ind w:firstLine="640" w:firstLineChars="200"/>
        <w:rPr>
          <w:rFonts w:hint="eastAsia" w:ascii="仿宋_GB2312" w:hAnsi="仿宋_GB2312" w:eastAsia="仿宋_GB2312" w:cs="仿宋_GB2312"/>
          <w:sz w:val="32"/>
          <w:szCs w:val="32"/>
        </w:rPr>
      </w:pPr>
    </w:p>
    <w:p>
      <w:pPr>
        <w:adjustRightInd w:val="0"/>
        <w:snapToGrid w:val="0"/>
        <w:spacing w:line="600" w:lineRule="exact"/>
        <w:ind w:firstLine="640" w:firstLineChars="200"/>
        <w:rPr>
          <w:rFonts w:hint="eastAsia" w:ascii="仿宋_GB2312" w:hAnsi="仿宋_GB2312" w:eastAsia="仿宋_GB2312" w:cs="仿宋_GB2312"/>
          <w:sz w:val="32"/>
          <w:szCs w:val="32"/>
        </w:rPr>
      </w:pPr>
    </w:p>
    <w:p>
      <w:pPr>
        <w:adjustRightInd w:val="0"/>
        <w:snapToGrid w:val="0"/>
        <w:spacing w:line="600" w:lineRule="exact"/>
        <w:ind w:firstLine="640" w:firstLineChars="200"/>
        <w:rPr>
          <w:rFonts w:hint="eastAsia" w:ascii="仿宋_GB2312" w:hAnsi="仿宋_GB2312" w:eastAsia="仿宋_GB2312" w:cs="仿宋_GB2312"/>
          <w:sz w:val="32"/>
          <w:szCs w:val="32"/>
        </w:rPr>
      </w:pPr>
    </w:p>
    <w:p>
      <w:pPr>
        <w:adjustRightInd w:val="0"/>
        <w:snapToGrid w:val="0"/>
        <w:spacing w:line="600" w:lineRule="exact"/>
        <w:ind w:firstLine="640" w:firstLineChars="200"/>
        <w:rPr>
          <w:rFonts w:hint="eastAsia" w:ascii="仿宋_GB2312" w:hAnsi="仿宋_GB2312" w:eastAsia="仿宋_GB2312" w:cs="仿宋_GB2312"/>
          <w:sz w:val="32"/>
          <w:szCs w:val="32"/>
        </w:rPr>
      </w:pPr>
    </w:p>
    <w:p>
      <w:pPr>
        <w:adjustRightInd w:val="0"/>
        <w:snapToGrid w:val="0"/>
        <w:spacing w:line="600" w:lineRule="exact"/>
        <w:ind w:firstLine="640" w:firstLineChars="200"/>
        <w:rPr>
          <w:rFonts w:hint="eastAsia" w:ascii="仿宋_GB2312" w:hAnsi="仿宋_GB2312" w:eastAsia="仿宋_GB2312" w:cs="仿宋_GB2312"/>
          <w:sz w:val="32"/>
          <w:szCs w:val="32"/>
        </w:rPr>
      </w:pPr>
    </w:p>
    <w:p>
      <w:pPr>
        <w:adjustRightInd w:val="0"/>
        <w:snapToGrid w:val="0"/>
        <w:spacing w:line="600" w:lineRule="exact"/>
        <w:ind w:firstLine="640" w:firstLineChars="200"/>
        <w:rPr>
          <w:rFonts w:hint="eastAsia" w:ascii="仿宋_GB2312" w:hAnsi="仿宋_GB2312" w:eastAsia="仿宋_GB2312" w:cs="仿宋_GB2312"/>
          <w:sz w:val="32"/>
          <w:szCs w:val="32"/>
        </w:rPr>
      </w:pPr>
    </w:p>
    <w:p>
      <w:pPr>
        <w:adjustRightInd w:val="0"/>
        <w:snapToGrid w:val="0"/>
        <w:spacing w:line="600" w:lineRule="exact"/>
        <w:ind w:firstLine="640" w:firstLineChars="200"/>
        <w:rPr>
          <w:rFonts w:hint="eastAsia" w:ascii="仿宋_GB2312" w:hAnsi="仿宋_GB2312" w:eastAsia="仿宋_GB2312" w:cs="仿宋_GB2312"/>
          <w:sz w:val="32"/>
          <w:szCs w:val="32"/>
        </w:rPr>
      </w:pPr>
    </w:p>
    <w:p>
      <w:pPr>
        <w:adjustRightInd w:val="0"/>
        <w:snapToGrid w:val="0"/>
        <w:spacing w:line="600" w:lineRule="exact"/>
        <w:ind w:firstLine="640" w:firstLineChars="200"/>
        <w:rPr>
          <w:rFonts w:hint="eastAsia" w:ascii="仿宋_GB2312" w:hAnsi="仿宋_GB2312" w:eastAsia="仿宋_GB2312" w:cs="仿宋_GB2312"/>
          <w:sz w:val="32"/>
          <w:szCs w:val="32"/>
        </w:rPr>
      </w:pPr>
    </w:p>
    <w:p>
      <w:pPr>
        <w:adjustRightInd w:val="0"/>
        <w:snapToGrid w:val="0"/>
        <w:spacing w:line="600" w:lineRule="exact"/>
        <w:ind w:firstLine="640" w:firstLineChars="200"/>
        <w:rPr>
          <w:rFonts w:hint="eastAsia" w:ascii="仿宋_GB2312" w:hAnsi="仿宋_GB2312" w:eastAsia="仿宋_GB2312" w:cs="仿宋_GB2312"/>
          <w:sz w:val="32"/>
          <w:szCs w:val="32"/>
        </w:rPr>
      </w:pPr>
    </w:p>
    <w:p>
      <w:pPr>
        <w:adjustRightInd w:val="0"/>
        <w:snapToGrid w:val="0"/>
        <w:spacing w:line="600" w:lineRule="exact"/>
        <w:ind w:firstLine="640" w:firstLineChars="200"/>
        <w:rPr>
          <w:rFonts w:hint="eastAsia" w:ascii="仿宋_GB2312" w:hAnsi="仿宋_GB2312" w:eastAsia="仿宋_GB2312" w:cs="仿宋_GB2312"/>
          <w:sz w:val="32"/>
          <w:szCs w:val="32"/>
        </w:rPr>
      </w:pPr>
    </w:p>
    <w:p>
      <w:pPr>
        <w:adjustRightInd w:val="0"/>
        <w:snapToGrid w:val="0"/>
        <w:spacing w:line="600" w:lineRule="exact"/>
        <w:ind w:firstLine="640" w:firstLineChars="200"/>
        <w:rPr>
          <w:rFonts w:hint="eastAsia" w:ascii="仿宋_GB2312" w:hAnsi="仿宋_GB2312" w:eastAsia="仿宋_GB2312" w:cs="仿宋_GB2312"/>
          <w:sz w:val="32"/>
          <w:szCs w:val="32"/>
        </w:rPr>
      </w:pPr>
    </w:p>
    <w:p>
      <w:pPr>
        <w:adjustRightInd w:val="0"/>
        <w:snapToGrid w:val="0"/>
        <w:spacing w:line="600" w:lineRule="exact"/>
        <w:ind w:firstLine="640" w:firstLineChars="200"/>
        <w:rPr>
          <w:rFonts w:hint="eastAsia" w:ascii="仿宋_GB2312" w:hAnsi="仿宋_GB2312" w:eastAsia="仿宋_GB2312" w:cs="仿宋_GB2312"/>
          <w:sz w:val="32"/>
          <w:szCs w:val="32"/>
        </w:rPr>
      </w:pPr>
    </w:p>
    <w:p>
      <w:pPr>
        <w:adjustRightInd w:val="0"/>
        <w:snapToGrid w:val="0"/>
        <w:spacing w:line="600" w:lineRule="exact"/>
        <w:ind w:firstLine="640" w:firstLineChars="200"/>
        <w:rPr>
          <w:rFonts w:hint="eastAsia" w:ascii="仿宋_GB2312" w:hAnsi="仿宋_GB2312" w:eastAsia="仿宋_GB2312" w:cs="仿宋_GB2312"/>
          <w:sz w:val="32"/>
          <w:szCs w:val="32"/>
        </w:rPr>
      </w:pPr>
    </w:p>
    <w:p>
      <w:pPr>
        <w:adjustRightInd w:val="0"/>
        <w:snapToGrid w:val="0"/>
        <w:spacing w:line="600" w:lineRule="exact"/>
        <w:ind w:firstLine="640" w:firstLineChars="200"/>
        <w:rPr>
          <w:rFonts w:hint="eastAsia" w:ascii="仿宋_GB2312" w:hAnsi="仿宋_GB2312" w:eastAsia="仿宋_GB2312" w:cs="仿宋_GB2312"/>
          <w:sz w:val="32"/>
          <w:szCs w:val="32"/>
        </w:rPr>
      </w:pPr>
    </w:p>
    <w:p>
      <w:pPr>
        <w:adjustRightInd w:val="0"/>
        <w:snapToGrid w:val="0"/>
        <w:spacing w:line="600" w:lineRule="exact"/>
        <w:ind w:firstLine="640" w:firstLineChars="200"/>
        <w:rPr>
          <w:rFonts w:hint="eastAsia" w:ascii="仿宋_GB2312" w:hAnsi="仿宋_GB2312" w:eastAsia="仿宋_GB2312" w:cs="仿宋_GB2312"/>
          <w:sz w:val="32"/>
          <w:szCs w:val="32"/>
        </w:rPr>
      </w:pPr>
    </w:p>
    <w:p>
      <w:pPr>
        <w:adjustRightInd w:val="0"/>
        <w:snapToGrid w:val="0"/>
        <w:spacing w:line="600" w:lineRule="exact"/>
        <w:ind w:firstLine="640" w:firstLineChars="200"/>
        <w:rPr>
          <w:rFonts w:hint="eastAsia" w:ascii="仿宋_GB2312" w:hAnsi="仿宋_GB2312" w:eastAsia="仿宋_GB2312" w:cs="仿宋_GB2312"/>
          <w:sz w:val="32"/>
          <w:szCs w:val="32"/>
        </w:rPr>
      </w:pPr>
      <w:bookmarkStart w:id="0" w:name="_GoBack"/>
      <w:bookmarkEnd w:id="0"/>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r>
        <w:rPr>
          <w:sz w:val="72"/>
        </w:rPr>
        <mc:AlternateContent>
          <mc:Choice Requires="wps">
            <w:drawing>
              <wp:anchor distT="0" distB="0" distL="114300" distR="114300" simplePos="0" relativeHeight="251661312" behindDoc="0" locked="0" layoutInCell="1" allowOverlap="1">
                <wp:simplePos x="0" y="0"/>
                <wp:positionH relativeFrom="column">
                  <wp:posOffset>-1022350</wp:posOffset>
                </wp:positionH>
                <wp:positionV relativeFrom="paragraph">
                  <wp:posOffset>201930</wp:posOffset>
                </wp:positionV>
                <wp:extent cx="7793355" cy="3341370"/>
                <wp:effectExtent l="4445" t="4445" r="508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6350">
                          <a:solidFill>
                            <a:schemeClr val="bg1">
                              <a:lumMod val="50000"/>
                            </a:schemeClr>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5pt;margin-top:15.9pt;height:263.1pt;width:613.65pt;z-index:251661312;v-text-anchor:middle;mso-width-relative:page;mso-height-relative:page;" fillcolor="#7F7F7F [1612]" filled="t" stroked="t" coordsize="21600,21600" o:gfxdata="UEsDBAoAAAAAAIdO4kAAAAAAAAAAAAAAAAAEAAAAZHJzL1BLAwQUAAAACACHTuJA//SNPtkAAAAM&#10;AQAADwAAAGRycy9kb3ducmV2LnhtbE2Py07DMBBF90j9B2sqsWvtUDVUIZMuKko3sCCleyeePIQf&#10;ke0++HvcFSxHc3XvOeX2ZjS7kA+jswjZUgAj2zo12h7h67hfbICFKK2S2llC+KEA22r2UMpCuav9&#10;pEsde5ZKbCgkwhDjVHAe2oGMDEs3kU2/znkjYzp9z5WX11RuNH8SIudGjjYtDHKi3UDtd302CN1e&#10;H5vu9e10eHfdsz75j3p3iIiP80y8AIt0i39huOMndKgSU+POVgWmERZZniWZiLDKksM9IfJ8BaxB&#10;WK83AnhV8v8S1S9QSwMEFAAAAAgAh07iQMGdnwmIAgAATAUAAA4AAABkcnMvZTJvRG9jLnhtbK1U&#10;zW4TMRC+I/EOlu90kyZp2qibKrQKQiq0UkGcHa83u5L/sJ3slgeAN+DEhTvP1efgs3eTRoVDJdhI&#10;m/HMt/PzzXjOL1olyVY4Xxud0+HRgBKhuSlqvc7pxw/LV6eU+MB0waTRIqf3wtOL+csX542diWNT&#10;GVkIR+BE+1ljc1qFYGdZ5nklFPNHxgoNY2mcYgFHt84Kxxp4VzI7HgxOssa4wjrDhffQXnVG2nt0&#10;z3FoyrLm4srwjRI6dF6dkCygJF/V1tN5yrYsBQ83ZelFIDKnqDSkN4JAXsV3Nj9ns7Vjtqp5nwJ7&#10;TgpPalKs1gi6d3XFAiMbV//hStXcGW/KcMSNyrpCEiOoYjh4ws1dxaxItYBqb/ek+//nlr/f3jpS&#10;F5iEUzReM4WWP3z/9vDj18PPryQqQVFj/QzIOwtsaF+bFvCd3kMZK29Lp+I/aiKwg+D7PcGiDYRD&#10;OZ2ejUaTCSUcttFoPBxNUwuyx8+t8+GNMIpEIacOHUzEsu21D0gF0B0kRrMshGUtZQ+3PEwSvFxf&#10;ypSWd+sVRLJlmIDpMv4SQG7UO1N06skAT6wHznt8kvdOVn/1tkxP/10Pien1KcX0pCZNTk9Gk0EK&#10;6o2si5hutP1LZgeOEFFqpBt71PUiSqFdtX3jVqa4R9+c6YbfW76swe018+GWOUw7WoV9EG7wKqVB&#10;vqaXKKmM+/I3fcRjCGGlpMHtyan/vGFOUCLfaozn2XA8jtctHcaT6TEO7tCyOrTojbo0aM8Qm8fy&#10;JEZ8kDuxdEZ9wtpYxKgwMc0RO6c8uN3hMnS3GouHi8UiwXDF0IxrfWd5dB5J12axCaas0yhFojp2&#10;ev5wyVLj+4UQb/HhOaEel+D8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P/0jT7ZAAAADAEAAA8A&#10;AAAAAAAAAQAgAAAAIgAAAGRycy9kb3ducmV2LnhtbFBLAQIUABQAAAAIAIdO4kDBnZ8JiAIAAEwF&#10;AAAOAAAAAAAAAAEAIAAAACgBAABkcnMvZTJvRG9jLnhtbFBLBQYAAAAABgAGAFkBAAAiBgAAAAA=&#10;">
                <v:fill type="pattern" on="t" color2="#FFFFFF [3212]" o:title="5%" focussize="0,0" r:id="rId13"/>
                <v:stroke weight="0.5pt" color="#7F7F7F [1612]"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highlight w:val="yellow"/>
        </w:rPr>
      </w:pPr>
      <w:r>
        <w:rPr>
          <w:rFonts w:hint="eastAsia" w:ascii="仿宋_GB2312" w:hAnsi="宋体" w:eastAsia="仿宋_GB2312" w:cs="Arial Black"/>
          <w:sz w:val="32"/>
          <w:szCs w:val="32"/>
          <w:highlight w:val="yellow"/>
        </w:rPr>
        <w:br w:type="page"/>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和政府性基金预算财政拨款支出，不包括财政专户管理资金以及各类拼盘自筹资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spacing w:line="600" w:lineRule="exact"/>
        <w:ind w:firstLine="643" w:firstLineChars="200"/>
        <w:jc w:val="left"/>
        <w:rPr>
          <w:rFonts w:ascii="仿宋_GB2312" w:hAnsi="Cambria" w:eastAsia="仿宋_GB2312" w:cs="Arial Black"/>
          <w:kern w:val="0"/>
          <w:sz w:val="32"/>
          <w:szCs w:val="32"/>
        </w:rPr>
      </w:pPr>
      <w:r>
        <w:rPr>
          <w:rFonts w:hint="eastAsia" w:ascii="仿宋_GB2312" w:hAnsi="宋体" w:eastAsia="仿宋_GB2312" w:cs="Times New Roman"/>
          <w:b/>
          <w:bCs/>
          <w:color w:val="000000"/>
          <w:kern w:val="0"/>
          <w:sz w:val="32"/>
          <w:szCs w:val="32"/>
        </w:rPr>
        <w:t>（十六）经费形式: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 Black"/>
          <w:kern w:val="0"/>
          <w:sz w:val="32"/>
          <w:szCs w:val="32"/>
        </w:rPr>
        <w:t>可分为财政拨款、财政性资金基本保证、财政性资金定额或定项补助、财政性资金零补助四类。</w:t>
      </w: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widowControl/>
        <w:spacing w:after="160" w:line="580" w:lineRule="exact"/>
        <w:rPr>
          <w:rFonts w:ascii="Times New Roman" w:hAnsi="Times New Roman" w:eastAsia="黑体" w:cs="Times New Roman"/>
          <w:sz w:val="32"/>
          <w:szCs w:val="32"/>
        </w:rPr>
        <w:sectPr>
          <w:headerReference r:id="rId10" w:type="default"/>
          <w:pgSz w:w="11906" w:h="16838"/>
          <w:pgMar w:top="2098" w:right="1531" w:bottom="1984" w:left="1531" w:header="851" w:footer="992" w:gutter="0"/>
          <w:pgNumType w:fmt="numberInDash"/>
          <w:cols w:space="0" w:num="1"/>
          <w:titlePg/>
          <w:docGrid w:type="lines" w:linePitch="312" w:charSpace="0"/>
        </w:sectPr>
      </w:pPr>
    </w:p>
    <w:p>
      <w:pPr>
        <w:rPr>
          <w:rFonts w:ascii="黑体" w:hAnsi="黑体" w:eastAsia="黑体" w:cs="黑体"/>
          <w:sz w:val="56"/>
          <w:szCs w:val="72"/>
        </w:rPr>
      </w:pPr>
    </w:p>
    <w:p>
      <w:pPr>
        <w:rPr>
          <w:rFonts w:ascii="黑体" w:hAnsi="黑体" w:eastAsia="黑体" w:cs="黑体"/>
          <w:sz w:val="56"/>
          <w:szCs w:val="72"/>
        </w:rPr>
        <w:sectPr>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5408" behindDoc="0" locked="0" layoutInCell="1" allowOverlap="1">
                <wp:simplePos x="0" y="0"/>
                <wp:positionH relativeFrom="column">
                  <wp:posOffset>-1027430</wp:posOffset>
                </wp:positionH>
                <wp:positionV relativeFrom="paragraph">
                  <wp:posOffset>1151255</wp:posOffset>
                </wp:positionV>
                <wp:extent cx="7793355" cy="3341370"/>
                <wp:effectExtent l="6350" t="6350" r="18415" b="20320"/>
                <wp:wrapNone/>
                <wp:docPr id="1" name="文本框 1"/>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ysClr val="window" lastClr="FFFFFF">
                              <a:lumMod val="50000"/>
                            </a:sysClr>
                          </a:fgClr>
                          <a:bgClr>
                            <a:sysClr val="window" lastClr="FFFFFF"/>
                          </a:bgClr>
                        </a:pattFill>
                        <a:ln w="12700" cmpd="sng">
                          <a:solidFill>
                            <a:sysClr val="window" lastClr="FFFFFF">
                              <a:lumMod val="65000"/>
                            </a:sysClr>
                          </a:solidFill>
                          <a:prstDash val="solid"/>
                        </a:ln>
                        <a:effectLst/>
                      </wps:spPr>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2020年度部门决算报表</w:t>
                            </w: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9pt;margin-top:90.65pt;height:263.1pt;width:613.65pt;z-index:251665408;v-text-anchor:middle;mso-width-relative:page;mso-height-relative:page;" fillcolor="#7F7F7F" filled="t" stroked="t" coordsize="21600,21600" o:gfxdata="UEsDBAoAAAAAAIdO4kAAAAAAAAAAAAAAAAAEAAAAZHJzL1BLAwQUAAAACACHTuJAA2EG49wAAAAN&#10;AQAADwAAAGRycy9kb3ducmV2LnhtbE2PPU/DMBiEdyT+g/UisaDWNihplMbpgADRqWqJBKMTu3FE&#10;/Dqy3a9/jzuV8XSnu+eq1dmO5Kh9GBwK4HMGRGPn1IC9gObrfVYACVGikqNDLeCiA6zq+7tKlsqd&#10;cKuPu9iTVIKhlAJMjFNJaeiMtjLM3aQxeXvnrYxJ+p4qL0+p3I70mbGcWjlgWjBy0q9Gd7+7gxXw&#10;/Tk1P0+b4mNtNtvmbV2E9uKDEI8PnC2BRH2OtzBc8RM61ImpdQdUgYwCZjzniT0mp+AvQK4RlmcZ&#10;kFbAgi0yoHVF/7+o/wBQSwMEFAAAAAgAh07iQAljrMKmAgAAqQUAAA4AAABkcnMvZTJvRG9jLnht&#10;bK1UzW4TMRC+I/EOlu9089vQqJsqNApCKrRSQZwdrze7kv+wnWzCA8AbcOLCnefqc/DZu01Ly6Eg&#10;ctiMPeNv5vs8ntOznZJkK5yvjc5p/6hHidDcFLVe5/TD++WLl5T4wHTBpNEip3vh6dns+bPTxk7F&#10;wFRGFsIRgGg/bWxOqxDsNMs8r4Ri/shYoeEsjVMsYOnWWeFYA3Qls0Gvd5w1xhXWGS68x+6iddIO&#10;0T0F0JRlzcXC8I0SOrSoTkgWQMlXtfV0lqotS8HDZVl6EYjMKZiG9EUS2Kv4zWanbLp2zFY170pg&#10;TynhASfFao2kB6gFC4xsXP0IStXcGW/KcMSNyloiSRGw6PceaHNdMSsSF0jt7UF0//9g+bvtlSN1&#10;gU6gRDOFC7/59vXm+8+bH19IP8rTWD9F1LVFXNi9MrsY2u17bEbWu9Kp+A8+BH6Iuz+IK3aBcGxO&#10;JifD4XhMCYdvOBz1h5Mkf3Z33DofXgujSDRy6nB7SVS2vfABKRF6GxKzWRbCspayC7c8jFN4uT6X&#10;qSy/97DIluHy0YGFaSiRzAds5nSZfumA3Ki3pmjjxj38Ij8ka88n84C5+hvwFqY7EqvvKo7VS00a&#10;SDmYIB3hyuIKvF6neryRdRGZxbh/IXEcWTwm8RtuVHLBfNXSTq7uhNQxr0ivpxM+NkF72dEKu9Wu&#10;64CVKfZoDGfal+UtX9YAvoDKV8zhKYEchk24xKeUBoxNZ1FSGff5T/sxHh0OLyUNniaE+bRhTuDy&#10;3mj0/kl/NAJsSIvReDLAwt33rO579EadGzQA+hvVJTPGB3lrls6oj5hJ85gVLqY5cueUB3e7OA/t&#10;yMBU42I+T2F4v7jOC31teQSPkmkz3wRT1qlXo1CtOmiguMALTq3UTZs4Iu6vU9TdhJ3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ANhBuPcAAAADQEAAA8AAAAAAAAAAQAgAAAAIgAAAGRycy9kb3du&#10;cmV2LnhtbFBLAQIUABQAAAAIAIdO4kAJY6zCpgIAAKkFAAAOAAAAAAAAAAEAIAAAACsBAABkcnMv&#10;ZTJvRG9jLnhtbFBLBQYAAAAABgAGAFkBAABDBgAAAAA=&#10;">
                <v:fill type="pattern" on="t" color2="#FFFFFF" o:title="5%" focussize="0,0" r:id="rId13"/>
                <v:stroke weight="1pt" color="#A6A6A6"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2020年度部门决算报表</w:t>
                      </w:r>
                    </w:p>
                    <w:p/>
                  </w:txbxContent>
                </v:textbox>
              </v:shape>
            </w:pict>
          </mc:Fallback>
        </mc:AlternateContent>
      </w:r>
    </w:p>
    <w:tbl>
      <w:tblPr>
        <w:tblStyle w:val="5"/>
        <w:tblW w:w="7355" w:type="dxa"/>
        <w:tblInd w:w="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776"/>
        <w:gridCol w:w="536"/>
        <w:gridCol w:w="696"/>
        <w:gridCol w:w="2616"/>
        <w:gridCol w:w="536"/>
        <w:gridCol w:w="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trPr>
        <w:tc>
          <w:tcPr>
            <w:tcW w:w="7355"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部门：保定市满城区审计局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637.08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556.61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四、上级补助收入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五、事业收入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六、经营收入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八、其他收入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二十三、其他支出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637.08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637.08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结余分配</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年初结转和结余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年末结转和结余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总计</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637.08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637.08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注：本表反映部门本年度的总收支和年末结转结余情况。</w:t>
            </w:r>
          </w:p>
        </w:tc>
      </w:tr>
    </w:tbl>
    <w:p>
      <w:pPr>
        <w:jc w:val="left"/>
      </w:pPr>
    </w:p>
    <w:tbl>
      <w:tblPr>
        <w:tblStyle w:val="5"/>
        <w:tblW w:w="6840" w:type="dxa"/>
        <w:tblInd w:w="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36"/>
        <w:gridCol w:w="222"/>
        <w:gridCol w:w="222"/>
        <w:gridCol w:w="2936"/>
        <w:gridCol w:w="700"/>
        <w:gridCol w:w="700"/>
        <w:gridCol w:w="336"/>
        <w:gridCol w:w="336"/>
        <w:gridCol w:w="336"/>
        <w:gridCol w:w="336"/>
        <w:gridCol w:w="3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trPr>
        <w:tc>
          <w:tcPr>
            <w:tcW w:w="6841" w:type="dxa"/>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gridSpan w:val="4"/>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部门：保定市满城区审计局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gridSpan w:val="4"/>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项目</w:t>
            </w:r>
          </w:p>
        </w:tc>
        <w:tc>
          <w:tcPr>
            <w:tcW w:w="88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本年收入合计</w:t>
            </w:r>
          </w:p>
        </w:tc>
        <w:tc>
          <w:tcPr>
            <w:tcW w:w="943"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财政拨款收入</w:t>
            </w:r>
          </w:p>
        </w:tc>
        <w:tc>
          <w:tcPr>
            <w:tcW w:w="48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上级补助收入</w:t>
            </w:r>
          </w:p>
        </w:tc>
        <w:tc>
          <w:tcPr>
            <w:tcW w:w="44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事业收入</w:t>
            </w:r>
          </w:p>
        </w:tc>
        <w:tc>
          <w:tcPr>
            <w:tcW w:w="39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经营收入</w:t>
            </w:r>
          </w:p>
        </w:tc>
        <w:tc>
          <w:tcPr>
            <w:tcW w:w="67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附属单位上缴收入</w:t>
            </w:r>
          </w:p>
        </w:tc>
        <w:tc>
          <w:tcPr>
            <w:tcW w:w="531"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78"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科目名称</w:t>
            </w:r>
          </w:p>
        </w:tc>
        <w:tc>
          <w:tcPr>
            <w:tcW w:w="8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943"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48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44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39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7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53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87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2"/>
                <w:szCs w:val="12"/>
                <w:u w:val="none"/>
              </w:rPr>
            </w:pPr>
          </w:p>
        </w:tc>
        <w:tc>
          <w:tcPr>
            <w:tcW w:w="8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943"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48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44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39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7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53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栏次</w:t>
            </w:r>
          </w:p>
        </w:tc>
        <w:tc>
          <w:tcPr>
            <w:tcW w:w="8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94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4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3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67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53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637.08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637.08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556.61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556.61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审计事务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556.61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556.61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204.55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204.55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2010804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审计业务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347.06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347.06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审计管理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53.22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53.22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53.22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53.22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2080501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行政单位离退休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6.95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2080506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机关事业单位职业年金缴费支出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8.91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8.91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13.66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13.66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13.66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13.66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13.66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13.66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13.60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13.60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13.60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注：本表反映部门本年度取得的各项收入情况。</w:t>
            </w:r>
          </w:p>
        </w:tc>
      </w:tr>
    </w:tbl>
    <w:p>
      <w:r>
        <w:br w:type="page"/>
      </w:r>
    </w:p>
    <w:p>
      <w:pPr>
        <w:sectPr>
          <w:pgSz w:w="11906" w:h="16838"/>
          <w:pgMar w:top="2098" w:right="1531" w:bottom="1984" w:left="1531" w:header="851" w:footer="992" w:gutter="0"/>
          <w:cols w:space="425" w:num="1"/>
          <w:docGrid w:type="lines" w:linePitch="312" w:charSpace="0"/>
        </w:sectPr>
      </w:pPr>
    </w:p>
    <w:p/>
    <w:tbl>
      <w:tblPr>
        <w:tblStyle w:val="5"/>
        <w:tblW w:w="7938" w:type="dxa"/>
        <w:tblInd w:w="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9"/>
        <w:gridCol w:w="329"/>
        <w:gridCol w:w="329"/>
        <w:gridCol w:w="3956"/>
        <w:gridCol w:w="882"/>
        <w:gridCol w:w="882"/>
        <w:gridCol w:w="436"/>
        <w:gridCol w:w="436"/>
        <w:gridCol w:w="436"/>
        <w:gridCol w:w="4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trPr>
        <w:tc>
          <w:tcPr>
            <w:tcW w:w="7942"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4"/>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0" w:type="auto"/>
            <w:gridSpan w:val="6"/>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部门：保定市满城区审计局</w:t>
            </w:r>
          </w:p>
        </w:tc>
        <w:tc>
          <w:tcPr>
            <w:tcW w:w="0" w:type="auto"/>
            <w:gridSpan w:val="4"/>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131"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08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5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54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55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72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7"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3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5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2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7"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5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2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7"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5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2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3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8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637.08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637.08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556.61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556.61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审计事务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556.61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556.61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审计业务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347.06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审计管理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r>
        <w:br w:type="page"/>
      </w:r>
    </w:p>
    <w:p/>
    <w:tbl>
      <w:tblPr>
        <w:tblStyle w:val="5"/>
        <w:tblW w:w="8580" w:type="dxa"/>
        <w:tblInd w:w="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71"/>
        <w:gridCol w:w="389"/>
        <w:gridCol w:w="736"/>
        <w:gridCol w:w="2818"/>
        <w:gridCol w:w="389"/>
        <w:gridCol w:w="736"/>
        <w:gridCol w:w="736"/>
        <w:gridCol w:w="343"/>
        <w:gridCol w:w="3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trPr>
        <w:tc>
          <w:tcPr>
            <w:tcW w:w="8587"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4"/>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0" w:type="auto"/>
            <w:gridSpan w:val="4"/>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部门：保定市满城区审计局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4"/>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8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w:t>
            </w:r>
          </w:p>
        </w:tc>
        <w:tc>
          <w:tcPr>
            <w:tcW w:w="45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行次</w:t>
            </w:r>
          </w:p>
        </w:tc>
        <w:tc>
          <w:tcPr>
            <w:tcW w:w="89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w:t>
            </w:r>
          </w:p>
        </w:tc>
        <w:tc>
          <w:tcPr>
            <w:tcW w:w="183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w:t>
            </w:r>
          </w:p>
        </w:tc>
        <w:tc>
          <w:tcPr>
            <w:tcW w:w="48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合计</w:t>
            </w:r>
          </w:p>
        </w:tc>
        <w:tc>
          <w:tcPr>
            <w:tcW w:w="89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一般公共预算财政拨款</w:t>
            </w:r>
          </w:p>
        </w:tc>
        <w:tc>
          <w:tcPr>
            <w:tcW w:w="70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政府性基金预算财政拨款</w:t>
            </w:r>
          </w:p>
        </w:tc>
        <w:tc>
          <w:tcPr>
            <w:tcW w:w="71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9" w:hRule="atLeast"/>
        </w:trPr>
        <w:tc>
          <w:tcPr>
            <w:tcW w:w="180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5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9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3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89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0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637.08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556.61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556.61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637.08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637.08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637.08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637.08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637.08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637.08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2"/>
                <w:szCs w:val="12"/>
                <w:u w:val="none"/>
              </w:rPr>
            </w:pPr>
          </w:p>
        </w:tc>
      </w:tr>
    </w:tbl>
    <w:p/>
    <w:tbl>
      <w:tblPr>
        <w:tblStyle w:val="5"/>
        <w:tblW w:w="6009" w:type="dxa"/>
        <w:tblInd w:w="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28"/>
        <w:gridCol w:w="221"/>
        <w:gridCol w:w="221"/>
        <w:gridCol w:w="3352"/>
        <w:gridCol w:w="774"/>
        <w:gridCol w:w="774"/>
        <w:gridCol w:w="13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trPr>
        <w:tc>
          <w:tcPr>
            <w:tcW w:w="6011"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部门：保定市满城区审计局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89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7"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3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3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62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1047"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3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7"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3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637.08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637.08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556.61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556.61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审计事务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556.61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556.61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审计业务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347.06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审计管理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widowControl/>
        <w:jc w:val="center"/>
        <w:textAlignment w:val="center"/>
        <w:rPr>
          <w:rFonts w:ascii="黑体" w:hAnsi="宋体" w:eastAsia="黑体" w:cs="黑体"/>
          <w:color w:val="000000"/>
          <w:kern w:val="0"/>
          <w:sz w:val="28"/>
          <w:szCs w:val="28"/>
          <w:lang w:bidi="ar"/>
        </w:rPr>
        <w:sectPr>
          <w:pgSz w:w="11906" w:h="16838"/>
          <w:pgMar w:top="2098" w:right="1531" w:bottom="1984" w:left="1531" w:header="851" w:footer="992" w:gutter="0"/>
          <w:cols w:space="425" w:num="1"/>
          <w:docGrid w:type="lines" w:linePitch="312" w:charSpace="0"/>
        </w:sectPr>
      </w:pPr>
    </w:p>
    <w:tbl>
      <w:tblPr>
        <w:tblStyle w:val="5"/>
        <w:tblW w:w="14076" w:type="dxa"/>
        <w:jc w:val="center"/>
        <w:tblLayout w:type="fixed"/>
        <w:tblCellMar>
          <w:top w:w="0" w:type="dxa"/>
          <w:left w:w="0" w:type="dxa"/>
          <w:bottom w:w="0" w:type="dxa"/>
          <w:right w:w="0" w:type="dxa"/>
        </w:tblCellMar>
      </w:tblPr>
      <w:tblGrid>
        <w:gridCol w:w="1251"/>
        <w:gridCol w:w="2477"/>
        <w:gridCol w:w="1317"/>
        <w:gridCol w:w="913"/>
        <w:gridCol w:w="2463"/>
        <w:gridCol w:w="966"/>
        <w:gridCol w:w="861"/>
        <w:gridCol w:w="3028"/>
        <w:gridCol w:w="800"/>
      </w:tblGrid>
      <w:tr>
        <w:tblPrEx>
          <w:tblCellMar>
            <w:top w:w="0" w:type="dxa"/>
            <w:left w:w="0" w:type="dxa"/>
            <w:bottom w:w="0" w:type="dxa"/>
            <w:right w:w="0" w:type="dxa"/>
          </w:tblCellMar>
        </w:tblPrEx>
        <w:trPr>
          <w:trHeight w:val="404" w:hRule="atLeast"/>
          <w:jc w:val="center"/>
        </w:trPr>
        <w:tc>
          <w:tcPr>
            <w:tcW w:w="14076" w:type="dxa"/>
            <w:gridSpan w:val="9"/>
            <w:tcBorders>
              <w:top w:val="nil"/>
              <w:left w:val="nil"/>
              <w:bottom w:val="nil"/>
              <w:right w:val="nil"/>
            </w:tcBorders>
            <w:shd w:val="clear" w:color="auto" w:fill="auto"/>
            <w:tcMar>
              <w:top w:w="15" w:type="dxa"/>
              <w:left w:w="15" w:type="dxa"/>
              <w:right w:w="15" w:type="dxa"/>
            </w:tcMar>
            <w:vAlign w:val="center"/>
          </w:tcPr>
          <w:p>
            <w:pPr>
              <w:widowControl/>
              <w:spacing w:line="42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28"/>
                <w:szCs w:val="28"/>
                <w:lang w:bidi="ar"/>
              </w:rPr>
              <w:t>一般公共预算财政拨款基本支出决算表</w:t>
            </w:r>
          </w:p>
        </w:tc>
      </w:tr>
      <w:tr>
        <w:tblPrEx>
          <w:tblCellMar>
            <w:top w:w="0" w:type="dxa"/>
            <w:left w:w="0" w:type="dxa"/>
            <w:bottom w:w="0" w:type="dxa"/>
            <w:right w:w="0" w:type="dxa"/>
          </w:tblCellMar>
        </w:tblPrEx>
        <w:trPr>
          <w:trHeight w:val="66"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公开06表</w:t>
            </w:r>
          </w:p>
        </w:tc>
      </w:tr>
      <w:tr>
        <w:tblPrEx>
          <w:tblCellMar>
            <w:top w:w="0" w:type="dxa"/>
            <w:left w:w="0" w:type="dxa"/>
            <w:bottom w:w="0" w:type="dxa"/>
            <w:right w:w="0" w:type="dxa"/>
          </w:tblCellMar>
        </w:tblPrEx>
        <w:trPr>
          <w:trHeight w:val="61"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部门：</w:t>
            </w: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金额单位：万元</w:t>
            </w:r>
          </w:p>
        </w:tc>
      </w:tr>
      <w:tr>
        <w:tblPrEx>
          <w:tblCellMar>
            <w:top w:w="0" w:type="dxa"/>
            <w:left w:w="0" w:type="dxa"/>
            <w:bottom w:w="0" w:type="dxa"/>
            <w:right w:w="0" w:type="dxa"/>
          </w:tblCellMar>
        </w:tblPrEx>
        <w:trPr>
          <w:trHeight w:val="242" w:hRule="atLeast"/>
          <w:jc w:val="center"/>
        </w:trPr>
        <w:tc>
          <w:tcPr>
            <w:tcW w:w="50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人员经费</w:t>
            </w:r>
          </w:p>
        </w:tc>
        <w:tc>
          <w:tcPr>
            <w:tcW w:w="9031"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公用经费</w:t>
            </w:r>
          </w:p>
        </w:tc>
      </w:tr>
      <w:tr>
        <w:tblPrEx>
          <w:tblCellMar>
            <w:top w:w="0" w:type="dxa"/>
            <w:left w:w="0" w:type="dxa"/>
            <w:bottom w:w="0" w:type="dxa"/>
            <w:right w:w="0" w:type="dxa"/>
          </w:tblCellMar>
        </w:tblPrEx>
        <w:trPr>
          <w:trHeight w:val="240" w:hRule="atLeast"/>
          <w:jc w:val="center"/>
        </w:trPr>
        <w:tc>
          <w:tcPr>
            <w:tcW w:w="125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2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131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c>
          <w:tcPr>
            <w:tcW w:w="91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24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96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c>
          <w:tcPr>
            <w:tcW w:w="86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302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80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r>
      <w:tr>
        <w:tblPrEx>
          <w:tblCellMar>
            <w:top w:w="0" w:type="dxa"/>
            <w:left w:w="0" w:type="dxa"/>
            <w:bottom w:w="0" w:type="dxa"/>
            <w:right w:w="0" w:type="dxa"/>
          </w:tblCellMar>
        </w:tblPrEx>
        <w:trPr>
          <w:trHeight w:val="312" w:hRule="atLeast"/>
          <w:jc w:val="center"/>
        </w:trPr>
        <w:tc>
          <w:tcPr>
            <w:tcW w:w="125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31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1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6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6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302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271.37</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343.48</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债务利息及费用支出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基本工资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136.34</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办公费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10.10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国内债务付息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津贴补贴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25.29</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印刷费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国外债务付息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奖金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16.18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咨询费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15.29</w:t>
            </w: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伙食补助费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手续费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房屋建筑物购建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绩效工资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20.04</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水费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0.51</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办公设备购置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15.29</w:t>
            </w: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机关事业单位基本养老保险缴费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37.36</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1.04</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职业年金缴费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8.91</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邮电费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5.64</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31005</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基础设施建设</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职工基本医疗保险缴费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13.66</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取暖费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大型修缮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公务员医疗补助缴费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物业管理费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信息网络及软件购置更新</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其他社会保障缴费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差旅费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0.29</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物资储备</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住房公积金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13.60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因公出国（境）费用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土地补偿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医疗费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维修（护）费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安置补助</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租赁费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地上附着物和青苗补偿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6.95</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会议费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拆迁补偿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离休费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培训费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公务用车购置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退休费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公务接待费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其他交通工具购置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退职（役）费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专用材料费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31021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文物和陈列品购置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抚恤金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被装购置费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31022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无形资产购置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30305</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生活补助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6.95</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专用燃料费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救济费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劳务费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医疗费补助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委托业务费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315.24</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赠与</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助学金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工会经费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国家赔偿费用支出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奖励金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福利费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w:t>
            </w:r>
            <w:r>
              <w:rPr>
                <w:rFonts w:hint="eastAsia" w:ascii="宋体" w:hAnsi="宋体" w:eastAsia="宋体" w:cs="宋体"/>
                <w:color w:val="000000"/>
                <w:kern w:val="0"/>
                <w:sz w:val="15"/>
                <w:szCs w:val="15"/>
                <w:lang w:bidi="ar"/>
              </w:rPr>
              <w:t>对民间非营利组织和群众性自治组织补贴</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个人农业生产补贴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30231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公务用车运行维护费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2.50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hint="default" w:ascii="宋体" w:hAnsi="宋体" w:eastAsia="宋体" w:cs="宋体"/>
                <w:color w:val="000000"/>
                <w:sz w:val="16"/>
                <w:szCs w:val="16"/>
                <w:lang w:val="en-US" w:eastAsia="zh-CN"/>
              </w:rPr>
            </w:pPr>
            <w:r>
              <w:rPr>
                <w:rFonts w:hint="eastAsia" w:ascii="宋体" w:hAnsi="宋体" w:eastAsia="宋体" w:cs="宋体"/>
                <w:color w:val="000000"/>
                <w:kern w:val="0"/>
                <w:sz w:val="16"/>
                <w:szCs w:val="16"/>
                <w:lang w:bidi="ar"/>
              </w:rPr>
              <w:t>303</w:t>
            </w:r>
            <w:r>
              <w:rPr>
                <w:rFonts w:hint="eastAsia" w:ascii="宋体" w:hAnsi="宋体" w:eastAsia="宋体" w:cs="宋体"/>
                <w:color w:val="000000"/>
                <w:kern w:val="0"/>
                <w:sz w:val="16"/>
                <w:szCs w:val="16"/>
                <w:lang w:val="en-US" w:eastAsia="zh-CN" w:bidi="ar"/>
              </w:rPr>
              <w:t>11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hint="default" w:ascii="宋体" w:hAnsi="宋体" w:eastAsia="宋体" w:cs="宋体"/>
                <w:color w:val="000000"/>
                <w:sz w:val="16"/>
                <w:szCs w:val="16"/>
                <w:lang w:val="en-US" w:eastAsia="zh-CN"/>
              </w:rPr>
            </w:pPr>
            <w:r>
              <w:rPr>
                <w:rFonts w:hint="eastAsia" w:ascii="宋体" w:hAnsi="宋体" w:eastAsia="宋体" w:cs="宋体"/>
                <w:color w:val="000000"/>
                <w:kern w:val="0"/>
                <w:sz w:val="16"/>
                <w:szCs w:val="16"/>
                <w:lang w:bidi="ar"/>
              </w:rPr>
              <w:t xml:space="preserve">  </w:t>
            </w:r>
            <w:r>
              <w:rPr>
                <w:rFonts w:hint="eastAsia" w:ascii="宋体" w:hAnsi="宋体" w:eastAsia="宋体" w:cs="宋体"/>
                <w:color w:val="000000"/>
                <w:kern w:val="0"/>
                <w:sz w:val="16"/>
                <w:szCs w:val="16"/>
                <w:lang w:val="en-US" w:eastAsia="zh-CN" w:bidi="ar"/>
              </w:rPr>
              <w:t>代缴社会保险费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30239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其他交通费用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8.16</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236"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r>
              <w:rPr>
                <w:rFonts w:hint="eastAsia" w:ascii="宋体" w:hAnsi="宋体" w:eastAsia="宋体" w:cs="宋体"/>
                <w:color w:val="000000"/>
                <w:kern w:val="0"/>
                <w:sz w:val="16"/>
                <w:szCs w:val="16"/>
                <w:lang w:bidi="ar"/>
              </w:rPr>
              <w:t>30399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 xml:space="preserve">  </w:t>
            </w:r>
            <w:r>
              <w:rPr>
                <w:rFonts w:hint="eastAsia" w:ascii="宋体" w:hAnsi="宋体" w:eastAsia="宋体" w:cs="宋体"/>
                <w:color w:val="000000"/>
                <w:kern w:val="0"/>
                <w:sz w:val="16"/>
                <w:szCs w:val="16"/>
                <w:lang w:bidi="ar"/>
              </w:rPr>
              <w:t>其他对个人和家庭的补助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30240</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税金及附加费用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30299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37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人员经费合计</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278.32</w:t>
            </w:r>
          </w:p>
        </w:tc>
        <w:tc>
          <w:tcPr>
            <w:tcW w:w="823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公用经费合计</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358.77</w:t>
            </w:r>
          </w:p>
        </w:tc>
      </w:tr>
    </w:tbl>
    <w:p>
      <w:pPr>
        <w:widowControl/>
        <w:jc w:val="center"/>
        <w:textAlignment w:val="center"/>
        <w:sectPr>
          <w:pgSz w:w="16838" w:h="11906" w:orient="landscape"/>
          <w:pgMar w:top="1531" w:right="2098" w:bottom="1531" w:left="1984" w:header="851" w:footer="992" w:gutter="0"/>
          <w:cols w:space="425" w:num="1"/>
          <w:docGrid w:type="lines" w:linePitch="312" w:charSpace="0"/>
        </w:sectPr>
      </w:pPr>
    </w:p>
    <w:tbl>
      <w:tblPr>
        <w:tblStyle w:val="5"/>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sz w:val="28"/>
                <w:szCs w:val="28"/>
              </w:rPr>
              <w:br w:type="page"/>
            </w:r>
            <w:r>
              <w:rPr>
                <w:rFonts w:hint="eastAsia" w:ascii="黑体" w:hAnsi="宋体" w:eastAsia="黑体" w:cs="黑体"/>
                <w:color w:val="000000"/>
                <w:kern w:val="0"/>
                <w:sz w:val="28"/>
                <w:szCs w:val="28"/>
                <w:lang w:bidi="ar"/>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公开07表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 w:val="20"/>
                <w:szCs w:val="21"/>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2.58</w:t>
            </w: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2.50</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2.50</w:t>
            </w: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0.08</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2.50</w:t>
            </w: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2.50</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2.50</w:t>
            </w: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r>
        <w:rPr>
          <w:rFonts w:hint="eastAsia" w:ascii="宋体" w:hAnsi="宋体" w:eastAsia="宋体" w:cs="宋体"/>
          <w:sz w:val="20"/>
          <w:szCs w:val="22"/>
        </w:rPr>
        <w:t>注：本表反映部门本年度“三公”经费支出预决算情况。其中：预算数为“三公”经费</w:t>
      </w:r>
      <w:r>
        <w:rPr>
          <w:rFonts w:hint="eastAsia" w:ascii="宋体" w:hAnsi="宋体" w:eastAsia="宋体" w:cs="宋体"/>
          <w:b/>
          <w:sz w:val="20"/>
          <w:szCs w:val="22"/>
        </w:rPr>
        <w:t>全年预算数</w:t>
      </w:r>
      <w:r>
        <w:rPr>
          <w:rFonts w:hint="eastAsia" w:ascii="宋体" w:hAnsi="宋体" w:eastAsia="宋体" w:cs="宋体"/>
          <w:sz w:val="20"/>
          <w:szCs w:val="22"/>
        </w:rPr>
        <w:t>，反映按规定程序调整后的预算数；决算数是包括当年一般公共预算财政拨款和以前年度结转资金安排的实际支出。</w:t>
      </w:r>
      <w:r>
        <w:rPr>
          <w:rFonts w:hint="eastAsia" w:ascii="仿宋_GB2312" w:hAnsi="仿宋_GB2312" w:eastAsia="仿宋_GB2312" w:cs="仿宋_GB2312"/>
          <w:sz w:val="20"/>
          <w:szCs w:val="22"/>
        </w:rPr>
        <w:tab/>
      </w:r>
      <w:r>
        <w:rPr>
          <w:sz w:val="20"/>
          <w:szCs w:val="22"/>
        </w:rPr>
        <w:tab/>
      </w:r>
      <w:r>
        <w:tab/>
      </w:r>
      <w:r>
        <w:tab/>
      </w:r>
      <w:r>
        <w:tab/>
      </w:r>
      <w:r>
        <w:tab/>
      </w:r>
      <w:r>
        <w:tab/>
      </w:r>
      <w:r>
        <w:tab/>
      </w:r>
      <w:r>
        <w:tab/>
      </w:r>
      <w:r>
        <w:tab/>
      </w:r>
      <w:r>
        <w:tab/>
      </w:r>
      <w:r>
        <w:br w:type="page"/>
      </w:r>
    </w:p>
    <w:tbl>
      <w:tblPr>
        <w:tblStyle w:val="5"/>
        <w:tblW w:w="9510" w:type="dxa"/>
        <w:jc w:val="center"/>
        <w:tblLayout w:type="autofit"/>
        <w:tblCellMar>
          <w:top w:w="0" w:type="dxa"/>
          <w:left w:w="0" w:type="dxa"/>
          <w:bottom w:w="0" w:type="dxa"/>
          <w:right w:w="0" w:type="dxa"/>
        </w:tblCellMar>
      </w:tblPr>
      <w:tblGrid>
        <w:gridCol w:w="966"/>
        <w:gridCol w:w="61"/>
        <w:gridCol w:w="61"/>
        <w:gridCol w:w="1407"/>
        <w:gridCol w:w="1169"/>
        <w:gridCol w:w="1169"/>
        <w:gridCol w:w="1169"/>
        <w:gridCol w:w="1169"/>
        <w:gridCol w:w="1169"/>
        <w:gridCol w:w="1170"/>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公开08表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本年收入</w:t>
            </w:r>
          </w:p>
        </w:tc>
        <w:tc>
          <w:tcPr>
            <w:tcW w:w="34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本年支出</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年末结转和结余</w:t>
            </w:r>
          </w:p>
        </w:tc>
      </w:tr>
      <w:tr>
        <w:tblPrEx>
          <w:tblCellMar>
            <w:top w:w="0" w:type="dxa"/>
            <w:left w:w="0" w:type="dxa"/>
            <w:bottom w:w="0" w:type="dxa"/>
            <w:right w:w="0" w:type="dxa"/>
          </w:tblCellMar>
        </w:tblPrEx>
        <w:trPr>
          <w:trHeight w:val="312" w:hRule="atLeast"/>
          <w:jc w:val="center"/>
        </w:trPr>
        <w:tc>
          <w:tcPr>
            <w:tcW w:w="113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基本支出</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项目支出</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pPr>
        <w:rPr>
          <w:b/>
          <w:sz w:val="20"/>
          <w:szCs w:val="22"/>
          <w:highlight w:val="yellow"/>
        </w:rPr>
      </w:pPr>
      <w:r>
        <w:rPr>
          <w:rFonts w:hint="eastAsia"/>
        </w:rPr>
        <w:t>本部门本年度无收支及结转结余情况，按要求以空表列示。</w:t>
      </w:r>
      <w:r>
        <w:rPr>
          <w:b/>
          <w:sz w:val="20"/>
          <w:szCs w:val="22"/>
          <w:highlight w:val="yellow"/>
        </w:rPr>
        <w:br w:type="page"/>
      </w:r>
    </w:p>
    <w:tbl>
      <w:tblPr>
        <w:tblStyle w:val="5"/>
        <w:tblW w:w="9064" w:type="dxa"/>
        <w:tblInd w:w="0" w:type="dxa"/>
        <w:tblLayout w:type="autofit"/>
        <w:tblCellMar>
          <w:top w:w="0" w:type="dxa"/>
          <w:left w:w="0" w:type="dxa"/>
          <w:bottom w:w="0" w:type="dxa"/>
          <w:right w:w="0" w:type="dxa"/>
        </w:tblCellMar>
      </w:tblPr>
      <w:tblGrid>
        <w:gridCol w:w="630"/>
        <w:gridCol w:w="661"/>
        <w:gridCol w:w="177"/>
        <w:gridCol w:w="2780"/>
        <w:gridCol w:w="1138"/>
        <w:gridCol w:w="296"/>
        <w:gridCol w:w="1421"/>
        <w:gridCol w:w="1417"/>
        <w:gridCol w:w="544"/>
      </w:tblGrid>
      <w:tr>
        <w:tblPrEx>
          <w:tblCellMar>
            <w:top w:w="0" w:type="dxa"/>
            <w:left w:w="0" w:type="dxa"/>
            <w:bottom w:w="0" w:type="dxa"/>
            <w:right w:w="0" w:type="dxa"/>
          </w:tblCellMar>
        </w:tblPrEx>
        <w:trPr>
          <w:gridAfter w:val="1"/>
          <w:wAfter w:w="544" w:type="dxa"/>
          <w:trHeight w:val="824" w:hRule="atLeast"/>
        </w:trPr>
        <w:tc>
          <w:tcPr>
            <w:tcW w:w="852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国有资本经营预算财政拨款支出决算表</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78" w:type="dxa"/>
            <w:gridSpan w:val="4"/>
            <w:vMerge w:val="restart"/>
            <w:tcBorders>
              <w:top w:val="nil"/>
              <w:left w:val="nil"/>
              <w:right w:val="nil"/>
            </w:tcBorders>
            <w:shd w:val="clear" w:color="auto" w:fill="auto"/>
            <w:noWrap/>
            <w:tcMar>
              <w:top w:w="15" w:type="dxa"/>
              <w:left w:w="15" w:type="dxa"/>
              <w:right w:w="15" w:type="dxa"/>
            </w:tcMar>
            <w:vAlign w:val="bottom"/>
          </w:tcPr>
          <w:p>
            <w:pPr>
              <w:widowControl/>
              <w:ind w:firstLine="1800" w:firstLineChars="900"/>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p>
            <w:pPr>
              <w:ind w:right="400" w:firstLine="1300" w:firstLineChars="650"/>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78" w:type="dxa"/>
            <w:gridSpan w:val="4"/>
            <w:vMerge w:val="continue"/>
            <w:tcBorders>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w:t>
            </w:r>
          </w:p>
        </w:tc>
        <w:tc>
          <w:tcPr>
            <w:tcW w:w="4272" w:type="dxa"/>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本年支出</w:t>
            </w:r>
          </w:p>
        </w:tc>
      </w:tr>
      <w:tr>
        <w:tblPrEx>
          <w:tblCellMar>
            <w:top w:w="0" w:type="dxa"/>
            <w:left w:w="0" w:type="dxa"/>
            <w:bottom w:w="0" w:type="dxa"/>
            <w:right w:w="0" w:type="dxa"/>
          </w:tblCellMar>
        </w:tblPrEx>
        <w:trPr>
          <w:gridAfter w:val="1"/>
          <w:wAfter w:w="544" w:type="dxa"/>
          <w:trHeight w:val="604" w:hRule="atLeast"/>
        </w:trPr>
        <w:tc>
          <w:tcPr>
            <w:tcW w:w="129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2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基本支出</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项目支出</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rPr>
          <w:rFonts w:ascii="黑体" w:hAnsi="黑体" w:eastAsia="黑体" w:cs="黑体"/>
          <w:sz w:val="56"/>
          <w:szCs w:val="72"/>
        </w:rPr>
      </w:pPr>
      <w:r>
        <w:rPr>
          <w:rFonts w:hint="eastAsia"/>
        </w:rPr>
        <w:t>本部门本年度无收支及结转结余情况，按要求以空表列示。</w:t>
      </w: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tabs>
          <w:tab w:val="left" w:pos="235"/>
        </w:tabs>
        <w:spacing w:line="600" w:lineRule="exact"/>
        <w:ind w:firstLine="640" w:firstLineChars="200"/>
        <w:jc w:val="left"/>
        <w:rPr>
          <w:rFonts w:hint="eastAsia" w:ascii="仿宋_GB2312" w:hAnsi="Cambria" w:eastAsia="仿宋_GB2312" w:cs="Arial Black"/>
          <w:kern w:val="0"/>
          <w:sz w:val="32"/>
          <w:szCs w:val="32"/>
        </w:rPr>
        <w:sectPr>
          <w:pgSz w:w="11906" w:h="16838"/>
          <w:pgMar w:top="1984" w:right="1531" w:bottom="2098" w:left="1531" w:header="851" w:footer="992" w:gutter="0"/>
          <w:cols w:space="425" w:num="1"/>
          <w:docGrid w:type="lines" w:linePitch="312" w:charSpace="0"/>
        </w:sectPr>
      </w:pPr>
    </w:p>
    <w:p>
      <w:pPr>
        <w:tabs>
          <w:tab w:val="left" w:pos="235"/>
        </w:tabs>
        <w:spacing w:line="600" w:lineRule="exact"/>
        <w:ind w:firstLine="640" w:firstLineChars="200"/>
        <w:jc w:val="left"/>
        <w:rPr>
          <w:rFonts w:ascii="仿宋_GB2312" w:hAnsi="Cambria" w:eastAsia="仿宋_GB2312" w:cs="Arial Black"/>
          <w:kern w:val="0"/>
          <w:sz w:val="32"/>
          <w:szCs w:val="32"/>
        </w:rPr>
      </w:pPr>
      <w:r>
        <w:rPr>
          <w:sz w:val="32"/>
        </w:rPr>
        <mc:AlternateContent>
          <mc:Choice Requires="wps">
            <w:drawing>
              <wp:anchor distT="0" distB="0" distL="114300" distR="114300" simplePos="0" relativeHeight="251664384" behindDoc="0" locked="0" layoutInCell="1" allowOverlap="1">
                <wp:simplePos x="0" y="0"/>
                <wp:positionH relativeFrom="column">
                  <wp:posOffset>-993140</wp:posOffset>
                </wp:positionH>
                <wp:positionV relativeFrom="paragraph">
                  <wp:posOffset>-1353820</wp:posOffset>
                </wp:positionV>
                <wp:extent cx="7632700" cy="10695940"/>
                <wp:effectExtent l="0" t="0" r="2540" b="2540"/>
                <wp:wrapNone/>
                <wp:docPr id="3" name="矩形 3"/>
                <wp:cNvGraphicFramePr/>
                <a:graphic xmlns:a="http://schemas.openxmlformats.org/drawingml/2006/main">
                  <a:graphicData uri="http://schemas.microsoft.com/office/word/2010/wordprocessingShape">
                    <wps:wsp>
                      <wps:cNvSpPr/>
                      <wps:spPr>
                        <a:xfrm>
                          <a:off x="697865" y="1375410"/>
                          <a:ext cx="7632700" cy="106959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8.2pt;margin-top:-106.6pt;height:842.2pt;width:601pt;z-index:251664384;v-text-anchor:middle;mso-width-relative:page;mso-height-relative:page;" fillcolor="#BDD7EE [1300]" filled="t" stroked="f" coordsize="21600,21600" o:gfxdata="UEsDBAoAAAAAAIdO4kAAAAAAAAAAAAAAAAAEAAAAZHJzL1BLAwQUAAAACACHTuJABpHv59wAAAAP&#10;AQAADwAAAGRycy9kb3ducmV2LnhtbE2Py07DMBBF90j8gzVI7FrbIU1QGqeildiwok0ltm5skqjx&#10;OMTu6++ZrmB3R3N050y5urqBne0Ueo8K5FwAs9h402OrYF+/z16BhajR6MGjVXCzAVbV40OpC+Mv&#10;uLXnXWwZlWAotIIuxrHgPDSddTrM/WiRdt9+cjrSOLXcTPpC5W7giRAZd7pHutDp0W462xx3J6dg&#10;jeIrG/Of7aepP9J6Lzfrt/ym1POTFEtg0V7jHwx3fVKHipwO/oQmsEHBTC6ylFhKiXxJgN0ZkS4y&#10;YAdKaS4T4FXJ//9R/QJQSwMEFAAAAAgAh07iQEjEo/2RAgAAEQUAAA4AAABkcnMvZTJvRG9jLnht&#10;bK1UzW4TMRC+I/EOlu90858m6qYKTYuQCq1UEGfH681a8h+2k7S8DBI3HoLHQbwGn72bthQOPZCD&#10;M+OZ/WbmmxmfnN5qRXbCB2lNSftHPUqE4baSZlPSjx8uXh1TEiIzFVPWiJLeiUBPFy9fnOzdXAxs&#10;Y1UlPAGICfO9K2kTo5sXReCN0CwcWScMjLX1mkWoflNUnu2BrlUx6PUmxd76ynnLRQi4XbVG2iH6&#10;5wDaupZcrCzfamFii+qFYhElhUa6QBc527oWPF7VdRCRqJKi0phPBIG8TmexOGHzjWeukbxLgT0n&#10;hSc1aSYNgt5DrVhkZOvlX1Bacm+DreMRt7poC8mMoIp+7wk3Nw1zItcCqoO7Jz38P1j+fnftiaxK&#10;OqTEMI2G//r6/eePb2SYuNm7MIfLjbv2nRYgpkJva6/TP0ogtyWdzKbHkzEldxip4XQ86nfUittI&#10;OOzTyXAw7YF1njx6k9l4NsouxQOU8yG+EVaTJJTUo3mZU7a7DBHh4XpwSZGDVbK6kEplxW/WZ8qT&#10;HUOjX69W0/Pz/K3a6ne2aq9HPfzajuMac9FeTw7XwA8tTI71B74yZI/EuxoY5r7GvKEc7cBdMBtK&#10;mNpgoXj0ObCxKbU8XinpFQtNGy7DtlloGbFKSuqSHqckDoQogwQS9S3ZSVrb6g6N8rad4OD4hQTs&#10;JQvxmnmMLKjFUscrHLWyyNV2EiWN9V/+dZ/8MUmwUrLHCqCOz1vmBSXqrcGMzfoj9IjErIzG0wEU&#10;/9iyfmwxW31mQX4fz4fjWUz+UR3E2lv9Cbu/TFFhYoYjdstYp5zFdjXxenCxXGY37Ilj8dLcOJ7A&#10;U7ONXW6jrWUeigd2OtKwKbl/3VanVXysZ6+Hl2zx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AaR&#10;7+fcAAAADwEAAA8AAAAAAAAAAQAgAAAAIgAAAGRycy9kb3ducmV2LnhtbFBLAQIUABQAAAAIAIdO&#10;4kBIxKP9kQIAABEFAAAOAAAAAAAAAAEAIAAAACsBAABkcnMvZTJvRG9jLnhtbFBLBQYAAAAABgAG&#10;AFkBAAAuBgAAAAA=&#10;">
                <v:fill on="t" focussize="0,0"/>
                <v:stroke on="f" weight="1pt" miterlimit="8" joinstyle="miter"/>
                <v:imagedata o:title=""/>
                <o:lock v:ext="edit" aspectratio="f"/>
              </v:rect>
            </w:pict>
          </mc:Fallback>
        </mc:AlternateConten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A00002AF" w:usb1="400078FB" w:usb2="00000000" w:usb3="00000000" w:csb0="6000009F" w:csb1="DFD70000"/>
  </w:font>
  <w:font w:name="ArialUnicodeMS">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0" w:csb1="00000000"/>
  </w:font>
  <w:font w:name="Mongolian Baiti">
    <w:panose1 w:val="03000500000000000000"/>
    <w:charset w:val="00"/>
    <w:family w:val="script"/>
    <w:pitch w:val="default"/>
    <w:sig w:usb0="80000023" w:usb1="00000000" w:usb2="00020000" w:usb3="00000000" w:csb0="00000001"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7B173968"/>
    <w:multiLevelType w:val="singleLevel"/>
    <w:tmpl w:val="7B173968"/>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C45458"/>
    <w:rsid w:val="00061A05"/>
    <w:rsid w:val="0018668E"/>
    <w:rsid w:val="001B73D2"/>
    <w:rsid w:val="001E62BF"/>
    <w:rsid w:val="00293E7B"/>
    <w:rsid w:val="002D1F4F"/>
    <w:rsid w:val="00366D90"/>
    <w:rsid w:val="003D678E"/>
    <w:rsid w:val="00801F66"/>
    <w:rsid w:val="009334BF"/>
    <w:rsid w:val="058B71E0"/>
    <w:rsid w:val="0EA325C9"/>
    <w:rsid w:val="11012186"/>
    <w:rsid w:val="2CF34AD3"/>
    <w:rsid w:val="2F742BE7"/>
    <w:rsid w:val="2FB96948"/>
    <w:rsid w:val="3327616A"/>
    <w:rsid w:val="34C45458"/>
    <w:rsid w:val="35084B90"/>
    <w:rsid w:val="35C83C42"/>
    <w:rsid w:val="495B3187"/>
    <w:rsid w:val="4C0F3534"/>
    <w:rsid w:val="5A6A68CB"/>
    <w:rsid w:val="5D0C63C4"/>
    <w:rsid w:val="6C5B46BF"/>
    <w:rsid w:val="73D824BD"/>
    <w:rsid w:val="77EB7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1"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6">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bmp"/><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1732</Words>
  <Characters>9876</Characters>
  <Lines>82</Lines>
  <Paragraphs>23</Paragraphs>
  <TotalTime>1</TotalTime>
  <ScaleCrop>false</ScaleCrop>
  <LinksUpToDate>false</LinksUpToDate>
  <CharactersWithSpaces>11585</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2021-07-27T05:10:00Z</dcterms:created>
  <dc:creator>王明新TIAD</dc:creator>
  <cp:lastModifiedBy>lenovo</cp:lastModifiedBy>
  <dcterms:modified xsi:type="dcterms:W3CDTF">2022-09-15T06:51:03Z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65FA352BAB5146309CB066C800874C19</vt:lpwstr>
  </property>
</Properties>
</file>