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jc w:val="center"/>
        <w:rPr>
          <w:rFonts w:hint="eastAsia" w:ascii="黑体" w:hAnsi="黑体" w:eastAsia="黑体" w:cs="黑体"/>
          <w:sz w:val="72"/>
          <w:szCs w:val="96"/>
          <w:lang w:eastAsia="zh-CN"/>
        </w:rPr>
      </w:pPr>
      <w:r>
        <w:rPr>
          <w:rFonts w:hint="eastAsia" w:ascii="黑体" w:hAnsi="黑体" w:eastAsia="黑体" w:cs="黑体"/>
          <w:sz w:val="72"/>
          <w:szCs w:val="96"/>
          <w:lang w:eastAsia="zh-CN"/>
        </w:rPr>
        <w:t>保定市满城区统计局</w:t>
      </w:r>
    </w:p>
    <w:p>
      <w:pPr>
        <w:jc w:val="cente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区统计局是政府的组成部门，是区政府主管统计工作的综合经济部门，其主要职责是：</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1.承担组织领导和协调管理全区统计工作，确保统计数据真实、准确、及时的责任。</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2.认真贯彻执行各项统计调查制度；监督检查统计法律、法规实施情况，指导全区统计工作。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 xml:space="preserve"> 3.组织完成国家和省、市部署的国情国力普查及重要调查任务，研究提出重大区情区力和抽样调查计划并组织实施，汇总、整理和提供有关区情区力方面的统计数据。</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 xml:space="preserve"> 4.组织实施农林牧渔业、农业产值、农产品产量、农业产业化、工业、能源、社会、人口、工资、科技、消费、价格、城镇劳动力、城镇就业、建筑业、固定资产投资、房地产开发、高新技术产业、批发和零售业、住宿和餐饮业、运输邮电业、其他服务业、服务业个体户、对外经济和旅游、民营经济、成品油流通、城市社会经济基本情况、社会经济基本情况、乡村社会经济、资源环境、服务业财务、规模以下工业抽样、企业（集</w:t>
      </w:r>
      <w:bookmarkStart w:id="0" w:name="_Hlt223863490"/>
      <w:r>
        <w:rPr>
          <w:rFonts w:hint="eastAsia" w:ascii="仿宋_GB2312" w:hAnsi="Calibri" w:eastAsia="仿宋_GB2312" w:cs="ArialUnicodeMS"/>
          <w:kern w:val="0"/>
          <w:sz w:val="32"/>
          <w:szCs w:val="32"/>
        </w:rPr>
        <w:t>团</w:t>
      </w:r>
      <w:bookmarkEnd w:id="0"/>
      <w:r>
        <w:rPr>
          <w:rFonts w:hint="eastAsia" w:ascii="仿宋_GB2312" w:hAnsi="Calibri" w:eastAsia="仿宋_GB2312" w:cs="ArialUnicodeMS"/>
          <w:kern w:val="0"/>
          <w:sz w:val="32"/>
          <w:szCs w:val="32"/>
        </w:rPr>
        <w:t>）、城镇</w:t>
      </w:r>
      <w:bookmarkStart w:id="1" w:name="_Hlt223863034"/>
      <w:r>
        <w:rPr>
          <w:rFonts w:hint="eastAsia" w:ascii="仿宋_GB2312" w:hAnsi="Calibri" w:eastAsia="仿宋_GB2312" w:cs="ArialUnicodeMS"/>
          <w:kern w:val="0"/>
          <w:sz w:val="32"/>
          <w:szCs w:val="32"/>
        </w:rPr>
        <w:t>和农村</w:t>
      </w:r>
      <w:bookmarkStart w:id="2" w:name="_Hlt223863449"/>
      <w:r>
        <w:rPr>
          <w:rFonts w:hint="eastAsia" w:ascii="仿宋_GB2312" w:hAnsi="Calibri" w:eastAsia="仿宋_GB2312" w:cs="ArialUnicodeMS"/>
          <w:kern w:val="0"/>
          <w:sz w:val="32"/>
          <w:szCs w:val="32"/>
        </w:rPr>
        <w:t>住</w:t>
      </w:r>
      <w:bookmarkEnd w:id="2"/>
      <w:bookmarkStart w:id="3" w:name="_Hlt223863447"/>
      <w:r>
        <w:rPr>
          <w:rFonts w:hint="eastAsia" w:ascii="仿宋_GB2312" w:hAnsi="Calibri" w:eastAsia="仿宋_GB2312" w:cs="ArialUnicodeMS"/>
          <w:kern w:val="0"/>
          <w:sz w:val="32"/>
          <w:szCs w:val="32"/>
        </w:rPr>
        <w:t>户</w:t>
      </w:r>
      <w:bookmarkEnd w:id="1"/>
      <w:bookmarkEnd w:id="3"/>
      <w:r>
        <w:rPr>
          <w:rFonts w:hint="eastAsia" w:ascii="仿宋_GB2312" w:hAnsi="Calibri" w:eastAsia="仿宋_GB2312" w:cs="ArialUnicodeMS"/>
          <w:kern w:val="0"/>
          <w:sz w:val="32"/>
          <w:szCs w:val="32"/>
        </w:rPr>
        <w:t>、经济社会重点问题等统计调查，收集、汇总、整理和提供统计数据。</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5.组织实施社会发展水平、区域经济发展、节能降耗、城镇化发展、妇女儿童、资源循环利用、企业景气等统计监测，收集、整理和提供统计数据。</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6.综合整理和提供财政、金融、出口、文化教育、卫生、社会保障、公用事业、房屋、对外贸易及引进内资等基本统计数据，定期发布全</w:t>
      </w:r>
      <w:r>
        <w:rPr>
          <w:rFonts w:hint="eastAsia" w:ascii="仿宋_GB2312" w:hAnsi="Calibri" w:eastAsia="仿宋_GB2312" w:cs="ArialUnicodeMS"/>
          <w:kern w:val="0"/>
          <w:sz w:val="32"/>
          <w:szCs w:val="32"/>
          <w:lang w:eastAsia="zh-CN"/>
        </w:rPr>
        <w:t>区</w:t>
      </w:r>
      <w:r>
        <w:rPr>
          <w:rFonts w:hint="eastAsia" w:ascii="仿宋_GB2312" w:hAnsi="Calibri" w:eastAsia="仿宋_GB2312" w:cs="ArialUnicodeMS"/>
          <w:kern w:val="0"/>
          <w:sz w:val="32"/>
          <w:szCs w:val="32"/>
        </w:rPr>
        <w:t>国民经济和社会发展情况的统计信息。</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7.对国民经济、社会发展、科技进步等情况进行统计分析、统计预测和统计监督，向区委、区政府及有关部门提供统计信息和咨询建议。</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8.依法承办、备案各部门统计调查项目、调查计划、调查方案；组织管理全区统计登记工作；指导专业统计基础工作、统计基层业务和规范化建设；组织建立统计信息管理制度，建立健全统计数据质量审核、监控和评估制度，开展对重要统计数据的审核、监控和评估。</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9.贯彻执行国家、省、市统计信息库和网络的基本标准和运行规则；管理全区统计信息自动化系统和统计数据库体系；管理全区统计数据库网络；指导全区统计信息化系统建设。</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10.指导全区统计专业技术队伍建设，配合、协助省、市统计局组织管理统计从业资格认定和持证上岗工作。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11.承办区政府交办的其他事项。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1</w:t>
            </w:r>
          </w:p>
        </w:tc>
        <w:tc>
          <w:tcPr>
            <w:tcW w:w="3426"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eastAsia="zh-CN"/>
              </w:rPr>
              <w:t>保定市满城区统计局</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eastAsia="zh-CN"/>
              </w:rPr>
              <w:t>行政单位</w:t>
            </w:r>
          </w:p>
        </w:tc>
        <w:tc>
          <w:tcPr>
            <w:tcW w:w="2622"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ind w:firstLine="560" w:firstLineChars="200"/>
              <w:jc w:val="left"/>
              <w:rPr>
                <w:rFonts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default" w:ascii="仿宋_GB2312" w:hAnsi="Times New Roman" w:eastAsia="仿宋_GB2312" w:cs="Wingdings"/>
          <w:sz w:val="32"/>
          <w:szCs w:val="32"/>
          <w:highlight w:val="yellow"/>
          <w:lang w:val="en-US" w:eastAsia="zh-CN"/>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万元。与2019年度决算相比，收支各</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26.71</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8.23</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2020年开展第七次全国人口普查，有普查经费收、支，因此2020年度收、支较上年增长。</w:t>
      </w:r>
    </w:p>
    <w:p>
      <w:pPr>
        <w:adjustRightInd w:val="0"/>
        <w:snapToGrid w:val="0"/>
        <w:spacing w:line="600" w:lineRule="exact"/>
        <w:rPr>
          <w:rFonts w:ascii="仿宋_GB2312" w:hAnsi="Times New Roman" w:eastAsia="仿宋_GB2312" w:cs="Wingdings"/>
          <w:sz w:val="32"/>
          <w:szCs w:val="32"/>
        </w:rPr>
      </w:pPr>
      <w:r>
        <w:drawing>
          <wp:anchor distT="0" distB="0" distL="114300" distR="114300" simplePos="0" relativeHeight="251667456" behindDoc="0" locked="0" layoutInCell="1" allowOverlap="1">
            <wp:simplePos x="0" y="0"/>
            <wp:positionH relativeFrom="column">
              <wp:posOffset>504825</wp:posOffset>
            </wp:positionH>
            <wp:positionV relativeFrom="paragraph">
              <wp:posOffset>190500</wp:posOffset>
            </wp:positionV>
            <wp:extent cx="4572000" cy="2743200"/>
            <wp:effectExtent l="0" t="0" r="0" b="0"/>
            <wp:wrapSquare wrapText="bothSides"/>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960" w:firstLineChars="3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230.50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65.62</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120.79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34.38</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%。如图所示：</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260" w:firstLineChars="600"/>
        <w:rPr>
          <w:rFonts w:ascii="仿宋_GB2312" w:hAnsi="Times New Roman" w:eastAsia="仿宋_GB2312" w:cs="Wingdings"/>
          <w:sz w:val="32"/>
          <w:szCs w:val="32"/>
        </w:rPr>
      </w:pPr>
      <w:r>
        <w:drawing>
          <wp:anchor distT="0" distB="0" distL="114300" distR="114300" simplePos="0" relativeHeight="251666432" behindDoc="0" locked="0" layoutInCell="1" allowOverlap="1">
            <wp:simplePos x="0" y="0"/>
            <wp:positionH relativeFrom="column">
              <wp:posOffset>609600</wp:posOffset>
            </wp:positionH>
            <wp:positionV relativeFrom="paragraph">
              <wp:posOffset>-8666480</wp:posOffset>
            </wp:positionV>
            <wp:extent cx="4428490" cy="2258060"/>
            <wp:effectExtent l="0" t="0" r="0" b="0"/>
            <wp:wrapSquare wrapText="bothSides"/>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26.71</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8.23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2020年开展第七次全国人口普查，增加普查经费项目收入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26.71</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8.23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2020年开展第七次全国人口普查，有普查经费项目支出</w:t>
      </w:r>
      <w:r>
        <w:rPr>
          <w:rFonts w:hint="eastAsia" w:ascii="仿宋_GB2312" w:hAnsi="Times New Roman" w:eastAsia="仿宋_GB2312" w:cs="Wingdings"/>
          <w:sz w:val="32"/>
          <w:szCs w:val="32"/>
        </w:rPr>
        <w:t>。</w:t>
      </w:r>
    </w:p>
    <w:p>
      <w:pPr>
        <w:snapToGrid w:val="0"/>
        <w:spacing w:line="600" w:lineRule="exact"/>
        <w:ind w:firstLine="420" w:firstLineChars="200"/>
        <w:rPr>
          <w:rFonts w:hint="eastAsia" w:ascii="楷体_GB2312" w:hAnsi="Times New Roman" w:eastAsia="楷体_GB2312" w:cs="Mongolian Baiti"/>
          <w:b/>
          <w:bCs/>
          <w:sz w:val="32"/>
          <w:szCs w:val="32"/>
        </w:rPr>
      </w:pPr>
      <w:r>
        <w:drawing>
          <wp:anchor distT="0" distB="0" distL="114300" distR="114300" simplePos="0" relativeHeight="251668480" behindDoc="0" locked="0" layoutInCell="1" allowOverlap="1">
            <wp:simplePos x="0" y="0"/>
            <wp:positionH relativeFrom="column">
              <wp:posOffset>590550</wp:posOffset>
            </wp:positionH>
            <wp:positionV relativeFrom="paragraph">
              <wp:posOffset>133350</wp:posOffset>
            </wp:positionV>
            <wp:extent cx="4572000" cy="2743200"/>
            <wp:effectExtent l="0" t="0" r="0" b="0"/>
            <wp:wrapSquare wrapText="bothSides"/>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napToGrid w:val="0"/>
        <w:spacing w:line="600" w:lineRule="exact"/>
        <w:ind w:firstLine="643" w:firstLineChars="200"/>
        <w:rPr>
          <w:rFonts w:hint="eastAsia" w:ascii="楷体_GB2312" w:hAnsi="Times New Roman" w:eastAsia="楷体_GB2312" w:cs="Mongolian Baiti"/>
          <w:b/>
          <w:bCs/>
          <w:sz w:val="32"/>
          <w:szCs w:val="32"/>
        </w:rPr>
      </w:pPr>
    </w:p>
    <w:p>
      <w:pPr>
        <w:snapToGrid w:val="0"/>
        <w:spacing w:line="600" w:lineRule="exact"/>
        <w:ind w:firstLine="643" w:firstLineChars="200"/>
        <w:rPr>
          <w:rFonts w:hint="eastAsia" w:ascii="楷体_GB2312" w:hAnsi="Times New Roman" w:eastAsia="楷体_GB2312" w:cs="Mongolian Baiti"/>
          <w:b/>
          <w:bCs/>
          <w:sz w:val="32"/>
          <w:szCs w:val="32"/>
        </w:rPr>
      </w:pPr>
    </w:p>
    <w:p>
      <w:pPr>
        <w:snapToGrid w:val="0"/>
        <w:spacing w:line="600" w:lineRule="exact"/>
        <w:ind w:firstLine="643" w:firstLineChars="200"/>
        <w:rPr>
          <w:rFonts w:hint="eastAsia" w:ascii="楷体_GB2312" w:hAnsi="Times New Roman" w:eastAsia="楷体_GB2312" w:cs="Mongolian Baiti"/>
          <w:b/>
          <w:bCs/>
          <w:sz w:val="32"/>
          <w:szCs w:val="32"/>
        </w:rPr>
      </w:pP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119.18</w:t>
      </w:r>
      <w:r>
        <w:rPr>
          <w:rFonts w:hint="eastAsia" w:ascii="仿宋_GB2312" w:hAnsi="Times New Roman" w:eastAsia="仿宋_GB2312" w:cs="Wingdings"/>
          <w:sz w:val="32"/>
          <w:szCs w:val="32"/>
        </w:rPr>
        <w:t>%,比年初预算</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56.53</w:t>
      </w:r>
      <w:r>
        <w:rPr>
          <w:rFonts w:hint="eastAsia" w:ascii="仿宋_GB2312" w:hAnsi="Times New Roman" w:eastAsia="仿宋_GB2312" w:cs="Wingdings"/>
          <w:sz w:val="32"/>
          <w:szCs w:val="32"/>
        </w:rPr>
        <w:t>万元，决算数</w:t>
      </w:r>
      <w:r>
        <w:rPr>
          <w:rFonts w:hint="eastAsia" w:ascii="仿宋_GB2312" w:hAnsi="Times New Roman" w:eastAsia="仿宋_GB2312" w:cs="Wingdings"/>
          <w:sz w:val="32"/>
          <w:szCs w:val="32"/>
          <w:lang w:eastAsia="zh-CN"/>
        </w:rPr>
        <w:t>大于</w:t>
      </w:r>
      <w:r>
        <w:rPr>
          <w:rFonts w:hint="eastAsia" w:ascii="仿宋_GB2312" w:hAnsi="Times New Roman" w:eastAsia="仿宋_GB2312" w:cs="Wingdings"/>
          <w:sz w:val="32"/>
          <w:szCs w:val="32"/>
        </w:rPr>
        <w:t>预算数主要原因是</w:t>
      </w:r>
      <w:r>
        <w:rPr>
          <w:rFonts w:hint="eastAsia" w:ascii="仿宋_GB2312" w:hAnsi="Times New Roman" w:eastAsia="仿宋_GB2312" w:cs="Wingdings"/>
          <w:sz w:val="32"/>
          <w:szCs w:val="32"/>
          <w:lang w:val="en-US" w:eastAsia="zh-CN"/>
        </w:rPr>
        <w:t>2020年开展第七次全国人口普查，增加普查经费项目收入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119.18</w:t>
      </w:r>
      <w:r>
        <w:rPr>
          <w:rFonts w:hint="eastAsia" w:ascii="仿宋_GB2312" w:hAnsi="Times New Roman" w:eastAsia="仿宋_GB2312" w:cs="Wingdings"/>
          <w:sz w:val="32"/>
          <w:szCs w:val="32"/>
        </w:rPr>
        <w:t>%,比年初预算</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56.53</w:t>
      </w:r>
      <w:r>
        <w:rPr>
          <w:rFonts w:hint="eastAsia" w:ascii="仿宋_GB2312" w:hAnsi="Times New Roman" w:eastAsia="仿宋_GB2312" w:cs="Wingdings"/>
          <w:sz w:val="32"/>
          <w:szCs w:val="32"/>
        </w:rPr>
        <w:t>万元，决算数</w:t>
      </w:r>
      <w:r>
        <w:rPr>
          <w:rFonts w:hint="eastAsia" w:ascii="仿宋_GB2312" w:hAnsi="Times New Roman" w:eastAsia="仿宋_GB2312" w:cs="Wingdings"/>
          <w:sz w:val="32"/>
          <w:szCs w:val="32"/>
          <w:lang w:eastAsia="zh-CN"/>
        </w:rPr>
        <w:t>大</w:t>
      </w:r>
      <w:r>
        <w:rPr>
          <w:rFonts w:hint="eastAsia" w:ascii="仿宋_GB2312" w:hAnsi="Times New Roman" w:eastAsia="仿宋_GB2312" w:cs="Wingdings"/>
          <w:sz w:val="32"/>
          <w:szCs w:val="32"/>
        </w:rPr>
        <w:t>于预算数主要原因是</w:t>
      </w:r>
      <w:r>
        <w:rPr>
          <w:rFonts w:hint="eastAsia" w:ascii="仿宋_GB2312" w:hAnsi="Times New Roman" w:eastAsia="仿宋_GB2312" w:cs="Wingdings"/>
          <w:sz w:val="32"/>
          <w:szCs w:val="32"/>
          <w:lang w:val="en-US" w:eastAsia="zh-CN"/>
        </w:rPr>
        <w:t>2020年开展第七次全国人口普查，有普查经费项目支出</w:t>
      </w:r>
      <w:r>
        <w:rPr>
          <w:rFonts w:hint="eastAsia" w:ascii="仿宋_GB2312" w:hAnsi="Times New Roman" w:eastAsia="仿宋_GB2312" w:cs="Wingdings"/>
          <w:sz w:val="32"/>
          <w:szCs w:val="32"/>
        </w:rPr>
        <w:t>。</w:t>
      </w:r>
    </w:p>
    <w:p>
      <w:pPr>
        <w:adjustRightInd w:val="0"/>
        <w:snapToGrid w:val="0"/>
        <w:spacing w:line="600" w:lineRule="exact"/>
        <w:ind w:firstLine="420" w:firstLineChars="200"/>
        <w:rPr>
          <w:rFonts w:hint="eastAsia" w:ascii="仿宋_GB2312" w:hAnsi="Times New Roman" w:eastAsia="仿宋_GB2312" w:cs="Wingdings"/>
          <w:sz w:val="32"/>
          <w:szCs w:val="32"/>
        </w:rPr>
      </w:pPr>
      <w:r>
        <w:drawing>
          <wp:anchor distT="0" distB="0" distL="114300" distR="114300" simplePos="0" relativeHeight="251669504" behindDoc="0" locked="0" layoutInCell="1" allowOverlap="1">
            <wp:simplePos x="0" y="0"/>
            <wp:positionH relativeFrom="column">
              <wp:posOffset>381000</wp:posOffset>
            </wp:positionH>
            <wp:positionV relativeFrom="paragraph">
              <wp:posOffset>247650</wp:posOffset>
            </wp:positionV>
            <wp:extent cx="4572000" cy="2743200"/>
            <wp:effectExtent l="0" t="0" r="0" b="0"/>
            <wp:wrapSquare wrapText="bothSides"/>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351.29</w:t>
      </w:r>
      <w:r>
        <w:rPr>
          <w:rFonts w:hint="eastAsia" w:ascii="仿宋_GB2312" w:hAnsi="Times New Roman" w:eastAsia="仿宋_GB2312" w:cs="Wingdings"/>
          <w:sz w:val="32"/>
          <w:szCs w:val="32"/>
        </w:rPr>
        <w:t>万元，主要用于以下方面：一般公共服务支出</w:t>
      </w:r>
      <w:r>
        <w:rPr>
          <w:rFonts w:hint="eastAsia" w:ascii="仿宋_GB2312" w:hAnsi="Times New Roman" w:eastAsia="仿宋_GB2312" w:cs="Wingdings"/>
          <w:sz w:val="32"/>
          <w:szCs w:val="32"/>
          <w:lang w:val="en-US" w:eastAsia="zh-CN"/>
        </w:rPr>
        <w:t>300.56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85.56</w:t>
      </w:r>
      <w:r>
        <w:rPr>
          <w:rFonts w:hint="eastAsia" w:ascii="仿宋_GB2312" w:hAnsi="Times New Roman" w:eastAsia="仿宋_GB2312" w:cs="Wingdings"/>
          <w:sz w:val="32"/>
          <w:szCs w:val="32"/>
        </w:rPr>
        <w:t>%，；社会保障和就业支出</w:t>
      </w:r>
      <w:r>
        <w:rPr>
          <w:rFonts w:hint="eastAsia" w:ascii="仿宋_GB2312" w:hAnsi="Times New Roman" w:eastAsia="仿宋_GB2312" w:cs="Wingdings"/>
          <w:sz w:val="32"/>
          <w:szCs w:val="32"/>
          <w:lang w:val="en-US" w:eastAsia="zh-CN"/>
        </w:rPr>
        <w:t>28.50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8.11</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卫生健康支出</w:t>
      </w:r>
      <w:r>
        <w:rPr>
          <w:rFonts w:hint="eastAsia" w:ascii="仿宋_GB2312" w:hAnsi="Times New Roman" w:eastAsia="仿宋_GB2312" w:cs="Wingdings"/>
          <w:sz w:val="32"/>
          <w:szCs w:val="32"/>
          <w:lang w:val="en-US" w:eastAsia="zh-CN"/>
        </w:rPr>
        <w:t>9.37万元，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2.67</w:t>
      </w:r>
      <w:r>
        <w:rPr>
          <w:rFonts w:hint="eastAsia" w:ascii="仿宋_GB2312" w:hAnsi="Times New Roman" w:eastAsia="仿宋_GB2312" w:cs="Wingdings"/>
          <w:sz w:val="32"/>
          <w:szCs w:val="32"/>
        </w:rPr>
        <w:t>%；住房保障支出</w:t>
      </w:r>
      <w:r>
        <w:rPr>
          <w:rFonts w:hint="eastAsia" w:ascii="仿宋_GB2312" w:hAnsi="Times New Roman" w:eastAsia="仿宋_GB2312" w:cs="Wingdings"/>
          <w:sz w:val="32"/>
          <w:szCs w:val="32"/>
          <w:lang w:val="en-US" w:eastAsia="zh-CN"/>
        </w:rPr>
        <w:t>12.86</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3.66</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r>
        <w:drawing>
          <wp:anchor distT="0" distB="0" distL="114300" distR="114300" simplePos="0" relativeHeight="251670528" behindDoc="0" locked="0" layoutInCell="1" allowOverlap="1">
            <wp:simplePos x="0" y="0"/>
            <wp:positionH relativeFrom="column">
              <wp:posOffset>438150</wp:posOffset>
            </wp:positionH>
            <wp:positionV relativeFrom="paragraph">
              <wp:posOffset>-8190230</wp:posOffset>
            </wp:positionV>
            <wp:extent cx="4848225" cy="3057525"/>
            <wp:effectExtent l="0" t="0" r="0" b="0"/>
            <wp:wrapSquare wrapText="bothSides"/>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230.50</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211.83</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退休费、生活补助、奖励金、其他对个人和家庭的补助支出；公用经费</w:t>
      </w:r>
      <w:r>
        <w:rPr>
          <w:rFonts w:hint="eastAsia" w:ascii="仿宋_GB2312" w:hAnsi="Times New Roman" w:eastAsia="仿宋_GB2312" w:cs="Wingdings"/>
          <w:sz w:val="32"/>
          <w:szCs w:val="32"/>
          <w:lang w:val="en-US" w:eastAsia="zh-CN"/>
        </w:rPr>
        <w:t>18.67</w:t>
      </w:r>
      <w:r>
        <w:rPr>
          <w:rFonts w:hint="eastAsia" w:ascii="仿宋_GB2312" w:hAnsi="Times New Roman" w:eastAsia="仿宋_GB2312" w:cs="Wingdings"/>
          <w:sz w:val="32"/>
          <w:szCs w:val="32"/>
        </w:rPr>
        <w:t>万元，主要包括办公费、水费、邮电费、取暖费、差旅费、公务接待费、公务用车运行维护费、其他交通费用、其他商品和服务支出</w:t>
      </w:r>
      <w:r>
        <w:rPr>
          <w:rFonts w:hint="eastAsia" w:ascii="仿宋_GB2312" w:hAnsi="Times New Roman" w:eastAsia="仿宋_GB2312" w:cs="Wingdings"/>
          <w:sz w:val="32"/>
          <w:szCs w:val="32"/>
          <w:lang w:eastAsia="zh-CN"/>
        </w:rPr>
        <w:t>。</w:t>
      </w:r>
    </w:p>
    <w:p>
      <w:pPr>
        <w:adjustRightInd w:val="0"/>
        <w:snapToGrid w:val="0"/>
        <w:spacing w:line="600" w:lineRule="exact"/>
        <w:ind w:firstLine="640" w:firstLineChars="200"/>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2.96</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1.64万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55.44</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1.32</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44.56</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w:t>
      </w:r>
      <w:r>
        <w:rPr>
          <w:rFonts w:hint="eastAsia" w:ascii="仿宋_GB2312" w:eastAsia="仿宋_GB2312" w:cs="DengXian-Regular"/>
          <w:sz w:val="32"/>
          <w:szCs w:val="32"/>
          <w:lang w:eastAsia="zh-CN"/>
        </w:rPr>
        <w:t>，</w:t>
      </w:r>
      <w:r>
        <w:rPr>
          <w:rFonts w:hint="eastAsia" w:ascii="仿宋_GB2312" w:eastAsia="仿宋_GB2312" w:cs="DengXian-Regular"/>
          <w:sz w:val="32"/>
          <w:szCs w:val="32"/>
        </w:rPr>
        <w:t>从严控制“三公”经费开支</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1.33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44.75</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上年有</w:t>
      </w:r>
      <w:r>
        <w:rPr>
          <w:rFonts w:hint="eastAsia" w:ascii="仿宋_GB2312" w:hAnsi="Times New Roman" w:eastAsia="仿宋_GB2312" w:cs="DengXian-Regular"/>
          <w:sz w:val="32"/>
          <w:szCs w:val="32"/>
          <w:lang w:eastAsia="zh-CN"/>
        </w:rPr>
        <w:t>经济普查数据查询和省市统计数据执法检查工作，“三公”经费支出较多，今年没有</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1.30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51.88</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1.20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48.12</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1.20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48.12</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未发生</w:t>
      </w:r>
      <w:r>
        <w:rPr>
          <w:rFonts w:hint="eastAsia" w:ascii="仿宋_GB2312" w:hAnsi="Times New Roman" w:eastAsia="仿宋_GB2312" w:cs="DengXian-Regular"/>
          <w:sz w:val="32"/>
          <w:szCs w:val="32"/>
        </w:rPr>
        <w:t>公务用车购置</w:t>
      </w:r>
      <w:r>
        <w:rPr>
          <w:rFonts w:hint="eastAsia" w:ascii="仿宋_GB2312" w:hAnsi="Times New Roman" w:eastAsia="仿宋_GB2312" w:cs="DengXian-Regular"/>
          <w:sz w:val="32"/>
          <w:szCs w:val="32"/>
          <w:lang w:eastAsia="zh-CN"/>
        </w:rPr>
        <w:t>经</w:t>
      </w:r>
      <w:r>
        <w:rPr>
          <w:rFonts w:hint="eastAsia" w:ascii="仿宋_GB2312" w:hAnsi="Times New Roman" w:eastAsia="仿宋_GB2312" w:cs="DengXian-Regular"/>
          <w:sz w:val="32"/>
          <w:szCs w:val="32"/>
        </w:rPr>
        <w:t>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未发生</w:t>
      </w:r>
      <w:r>
        <w:rPr>
          <w:rFonts w:hint="eastAsia" w:ascii="仿宋_GB2312" w:hAnsi="Times New Roman" w:eastAsia="仿宋_GB2312" w:cs="DengXian-Regular"/>
          <w:sz w:val="32"/>
          <w:szCs w:val="32"/>
        </w:rPr>
        <w:t>公务用车购置</w:t>
      </w:r>
      <w:r>
        <w:rPr>
          <w:rFonts w:hint="eastAsia" w:ascii="仿宋_GB2312" w:hAnsi="Times New Roman" w:eastAsia="仿宋_GB2312" w:cs="DengXian-Regular"/>
          <w:sz w:val="32"/>
          <w:szCs w:val="32"/>
          <w:lang w:eastAsia="zh-CN"/>
        </w:rPr>
        <w:t>经</w:t>
      </w:r>
      <w:r>
        <w:rPr>
          <w:rFonts w:hint="eastAsia" w:ascii="仿宋_GB2312" w:hAnsi="Times New Roman" w:eastAsia="仿宋_GB2312" w:cs="DengXian-Regular"/>
          <w:sz w:val="32"/>
          <w:szCs w:val="32"/>
        </w:rPr>
        <w:t>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,发生运行维护费支出1.30万元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1.20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48.12</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1.20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48.12</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Times New Roman" w:eastAsia="仿宋_GB2312" w:cs="DengXian-Regular"/>
          <w:sz w:val="32"/>
          <w:szCs w:val="32"/>
        </w:rPr>
        <w:t>公务接待费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0.34</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74.78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5</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29</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0.12</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25.22</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0.13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26.81</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120.79</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住户调查补贴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第七次全国人口普查经费</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类项目开展了部门评价，涉及一般公共预算支出</w:t>
      </w:r>
      <w:r>
        <w:rPr>
          <w:rFonts w:hint="eastAsia" w:ascii="仿宋_GB2312" w:hAnsi="仿宋_GB2312" w:eastAsia="仿宋_GB2312" w:cs="仿宋_GB2312"/>
          <w:sz w:val="32"/>
          <w:szCs w:val="32"/>
          <w:lang w:val="en-US" w:eastAsia="zh-CN"/>
        </w:rPr>
        <w:t>109.60</w:t>
      </w:r>
      <w:r>
        <w:rPr>
          <w:rFonts w:hint="eastAsia" w:ascii="仿宋_GB2312" w:hAnsi="仿宋_GB2312" w:eastAsia="仿宋_GB2312" w:cs="仿宋_GB2312"/>
          <w:sz w:val="32"/>
          <w:szCs w:val="32"/>
        </w:rPr>
        <w:t>万元。</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住户调查补贴</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第七次全国人口普查经费</w:t>
      </w:r>
      <w:r>
        <w:rPr>
          <w:rFonts w:hint="eastAsia" w:ascii="仿宋_GB2312" w:hAnsi="仿宋_GB2312" w:eastAsia="仿宋_GB2312" w:cs="仿宋_GB2312"/>
          <w:sz w:val="32"/>
          <w:szCs w:val="32"/>
        </w:rPr>
        <w:t>2个项目绩效自评结果。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住户调查补贴</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住户调查补贴</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9.60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9.60</w:t>
      </w:r>
      <w:r>
        <w:rPr>
          <w:rFonts w:hint="eastAsia" w:ascii="仿宋_GB2312" w:hAnsi="仿宋_GB2312" w:eastAsia="仿宋_GB2312" w:cs="仿宋_GB2312"/>
          <w:sz w:val="32"/>
          <w:szCs w:val="32"/>
        </w:rPr>
        <w:t>万元，完成预算的100%。项目绩效目标完成情况：一是及时足额发放</w:t>
      </w:r>
      <w:r>
        <w:rPr>
          <w:rFonts w:hint="eastAsia" w:ascii="仿宋_GB2312" w:hAnsi="仿宋_GB2312" w:eastAsia="仿宋_GB2312" w:cs="仿宋_GB2312"/>
          <w:sz w:val="32"/>
          <w:szCs w:val="32"/>
          <w:lang w:eastAsia="zh-CN"/>
        </w:rPr>
        <w:t>记账户和辅助调查员记账补贴</w:t>
      </w:r>
      <w:r>
        <w:rPr>
          <w:rFonts w:hint="eastAsia" w:ascii="仿宋_GB2312" w:hAnsi="仿宋_GB2312" w:eastAsia="仿宋_GB2312" w:cs="仿宋_GB2312"/>
          <w:sz w:val="32"/>
          <w:szCs w:val="32"/>
        </w:rPr>
        <w:t>部分；二是</w:t>
      </w:r>
      <w:r>
        <w:rPr>
          <w:rFonts w:hint="eastAsia" w:ascii="仿宋_GB2312" w:hAnsi="仿宋_GB2312" w:eastAsia="仿宋_GB2312" w:cs="仿宋_GB2312"/>
          <w:sz w:val="32"/>
          <w:szCs w:val="32"/>
          <w:lang w:eastAsia="zh-CN"/>
        </w:rPr>
        <w:t>记账</w:t>
      </w:r>
      <w:r>
        <w:rPr>
          <w:rFonts w:hint="eastAsia" w:ascii="仿宋_GB2312" w:hAnsi="仿宋_GB2312" w:eastAsia="仿宋_GB2312" w:cs="仿宋_GB2312"/>
          <w:sz w:val="32"/>
          <w:szCs w:val="32"/>
        </w:rPr>
        <w:t>补贴及时补贴到位。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spacing w:val="-8"/>
          <w:sz w:val="32"/>
          <w:szCs w:val="32"/>
          <w:shd w:val="clear" w:color="auto" w:fill="FFFFFF"/>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第七次全国人口普查经费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第七次全国人口普查经费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color w:val="000000"/>
          <w:spacing w:val="-8"/>
          <w:sz w:val="32"/>
          <w:szCs w:val="32"/>
          <w:shd w:val="clear" w:color="auto" w:fill="FFFFFF"/>
        </w:rPr>
        <w:t>高质量完成了15万多户，40多万人口的入户摸底、短表、长表登记和比对复查工作，各项工作多次得到</w:t>
      </w:r>
      <w:r>
        <w:rPr>
          <w:rFonts w:hint="eastAsia" w:ascii="仿宋_GB2312" w:hAnsi="仿宋_GB2312" w:eastAsia="仿宋_GB2312" w:cs="仿宋_GB2312"/>
          <w:color w:val="000000"/>
          <w:spacing w:val="-8"/>
          <w:sz w:val="32"/>
          <w:szCs w:val="32"/>
          <w:shd w:val="clear" w:color="auto" w:fill="FFFFFF"/>
          <w:lang w:eastAsia="zh-CN"/>
        </w:rPr>
        <w:t>区领导</w:t>
      </w:r>
      <w:r>
        <w:rPr>
          <w:rFonts w:hint="eastAsia" w:ascii="仿宋_GB2312" w:hAnsi="仿宋_GB2312" w:eastAsia="仿宋_GB2312" w:cs="仿宋_GB2312"/>
          <w:color w:val="000000"/>
          <w:spacing w:val="-8"/>
          <w:sz w:val="32"/>
          <w:szCs w:val="32"/>
          <w:shd w:val="clear" w:color="auto" w:fill="FFFFFF"/>
        </w:rPr>
        <w:t>肯定。</w:t>
      </w:r>
    </w:p>
    <w:p>
      <w:pPr>
        <w:adjustRightInd w:val="0"/>
        <w:snapToGrid w:val="0"/>
        <w:spacing w:line="600" w:lineRule="exact"/>
        <w:ind w:firstLine="643" w:firstLineChars="200"/>
        <w:rPr>
          <w:rFonts w:hint="eastAsia" w:ascii="仿宋_GB2312" w:hAnsi="仿宋_GB2312" w:eastAsia="仿宋_GB2312" w:cs="仿宋_GB2312"/>
          <w:b/>
          <w:bCs/>
          <w:sz w:val="32"/>
          <w:szCs w:val="32"/>
          <w:lang w:val="en-US" w:eastAsia="zh-CN"/>
        </w:rPr>
      </w:pPr>
      <w:r>
        <w:rPr>
          <w:rFonts w:hint="eastAsia" w:ascii="楷体_GB2312" w:hAnsi="楷体_GB2312" w:eastAsia="楷体_GB2312" w:cs="楷体_GB2312"/>
          <w:b/>
          <w:bCs/>
          <w:sz w:val="32"/>
          <w:szCs w:val="32"/>
        </w:rPr>
        <w:t>（三）财政评价项目绩效评价结果</w:t>
      </w:r>
      <w:r>
        <w:rPr>
          <w:rFonts w:hint="eastAsia" w:ascii="楷体_GB2312" w:hAnsi="楷体_GB2312" w:eastAsia="楷体_GB2312" w:cs="楷体_GB2312"/>
          <w:b/>
          <w:bCs/>
          <w:sz w:val="32"/>
          <w:szCs w:val="32"/>
          <w:lang w:val="en-US" w:eastAsia="zh-CN"/>
        </w:rPr>
        <w:t xml:space="preserve"> </w:t>
      </w:r>
      <w:r>
        <w:rPr>
          <w:rFonts w:hint="eastAsia" w:ascii="仿宋_GB2312" w:eastAsia="仿宋_GB2312" w:cs="DengXian-Regular"/>
          <w:sz w:val="32"/>
          <w:szCs w:val="32"/>
        </w:rPr>
        <w:t>本部门没有重点项目</w:t>
      </w:r>
      <w:r>
        <w:rPr>
          <w:rFonts w:hint="eastAsia" w:ascii="仿宋_GB2312" w:eastAsia="仿宋_GB2312" w:cs="DengXian-Regular"/>
          <w:sz w:val="32"/>
          <w:szCs w:val="32"/>
          <w:lang w:eastAsia="zh-CN"/>
        </w:rPr>
        <w:t>。</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18.67</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45.09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70.72</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本单位</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w:t>
      </w:r>
      <w:r>
        <w:rPr>
          <w:rFonts w:hint="eastAsia" w:ascii="仿宋_GB2312" w:hAnsi="仿宋_GB2312" w:eastAsia="仿宋_GB2312" w:cs="仿宋_GB2312"/>
          <w:sz w:val="32"/>
          <w:szCs w:val="32"/>
          <w:lang w:eastAsia="zh-CN"/>
        </w:rPr>
        <w:t>，严格控制经费支出。</w:t>
      </w:r>
      <w:r>
        <w:rPr>
          <w:rFonts w:hint="eastAsia" w:ascii="仿宋_GB2312" w:eastAsia="仿宋_GB2312" w:cs="DengXian-Regular"/>
          <w:sz w:val="32"/>
          <w:szCs w:val="32"/>
        </w:rPr>
        <w:t>比年初预算数</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2.27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10.84</w:t>
      </w:r>
      <w:r>
        <w:rPr>
          <w:rFonts w:ascii="仿宋_GB2312" w:eastAsia="仿宋_GB2312" w:cs="DengXian-Regular"/>
          <w:sz w:val="32"/>
          <w:szCs w:val="32"/>
        </w:rPr>
        <w:t>%</w:t>
      </w:r>
      <w:r>
        <w:rPr>
          <w:rFonts w:hint="eastAsia" w:ascii="仿宋_GB2312" w:eastAsia="仿宋_GB2312" w:cs="DengXian-Regular"/>
          <w:sz w:val="32"/>
          <w:szCs w:val="32"/>
          <w:lang w:eastAsia="zh-CN"/>
        </w:rPr>
        <w:t>，主要原因是本单位</w:t>
      </w:r>
      <w:r>
        <w:rPr>
          <w:rFonts w:hint="eastAsia" w:ascii="仿宋_GB2312" w:eastAsia="仿宋_GB2312" w:cs="DengXian-Regular"/>
          <w:sz w:val="32"/>
          <w:szCs w:val="32"/>
        </w:rPr>
        <w:t>厉行节约要求</w:t>
      </w:r>
      <w:r>
        <w:rPr>
          <w:rFonts w:hint="eastAsia" w:ascii="仿宋_GB2312" w:eastAsia="仿宋_GB2312" w:cs="DengXian-Regular"/>
          <w:sz w:val="32"/>
          <w:szCs w:val="32"/>
          <w:lang w:eastAsia="zh-CN"/>
        </w:rPr>
        <w:t>，减少不必要的开支，机关经费支出减少</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。其中，应急保障用车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Times New Roman" w:eastAsia="仿宋_GB2312" w:cs="DengXian-Regular"/>
          <w:sz w:val="32"/>
          <w:szCs w:val="32"/>
          <w:lang w:eastAsia="zh-CN"/>
        </w:rPr>
        <w:t>未发生</w:t>
      </w:r>
      <w:r>
        <w:rPr>
          <w:rFonts w:hint="eastAsia" w:ascii="仿宋_GB2312" w:hAnsi="仿宋_GB2312" w:eastAsia="仿宋_GB2312" w:cs="仿宋_GB2312"/>
          <w:sz w:val="32"/>
          <w:szCs w:val="32"/>
        </w:rPr>
        <w:t>价值50万元以上通用设备</w:t>
      </w:r>
      <w:r>
        <w:rPr>
          <w:rFonts w:hint="eastAsia" w:ascii="仿宋_GB2312" w:hAnsi="Times New Roman" w:eastAsia="仿宋_GB2312" w:cs="DengXian-Regular"/>
          <w:sz w:val="32"/>
          <w:szCs w:val="32"/>
        </w:rPr>
        <w:t>支出</w:t>
      </w:r>
      <w:r>
        <w:rPr>
          <w:rFonts w:hint="eastAsia" w:ascii="仿宋_GB2312" w:hAnsi="仿宋_GB2312" w:eastAsia="仿宋_GB2312" w:cs="仿宋_GB2312"/>
          <w:sz w:val="32"/>
          <w:szCs w:val="32"/>
        </w:rPr>
        <w:t xml:space="preserve"> ，单位价值100万元以上专用设备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Times New Roman" w:eastAsia="仿宋_GB2312" w:cs="DengXian-Regular"/>
          <w:sz w:val="32"/>
          <w:szCs w:val="32"/>
          <w:lang w:eastAsia="zh-CN"/>
        </w:rPr>
        <w:t>未发生</w:t>
      </w:r>
      <w:r>
        <w:rPr>
          <w:rFonts w:hint="eastAsia" w:ascii="仿宋_GB2312" w:hAnsi="仿宋_GB2312" w:eastAsia="仿宋_GB2312" w:cs="仿宋_GB2312"/>
          <w:sz w:val="32"/>
          <w:szCs w:val="32"/>
        </w:rPr>
        <w:t>价值100万元以上专用设备</w:t>
      </w:r>
      <w:r>
        <w:rPr>
          <w:rFonts w:hint="eastAsia" w:ascii="仿宋_GB2312" w:hAnsi="Times New Roman" w:eastAsia="仿宋_GB2312" w:cs="DengXian-Regular"/>
          <w:sz w:val="32"/>
          <w:szCs w:val="32"/>
        </w:rPr>
        <w:t>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hint="eastAsia" w:ascii="仿宋_GB2312" w:hAnsi="Times New Roman" w:eastAsia="仿宋_GB2312" w:cs="DengXian-Regular"/>
          <w:sz w:val="32"/>
          <w:szCs w:val="32"/>
        </w:rPr>
      </w:pPr>
      <w:r>
        <w:rPr>
          <w:rFonts w:hint="eastAsia" w:ascii="仿宋_GB2312" w:hAnsi="仿宋_GB2312" w:eastAsia="仿宋_GB2312" w:cs="仿宋_GB2312"/>
          <w:sz w:val="32"/>
          <w:szCs w:val="32"/>
        </w:rPr>
        <w:t>1.</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年度政府性基金预算财政拨款收入支出决算表无收支及结转结余情况，故政府性基金预算财政拨款收入支出决算表以空表列示</w:t>
      </w:r>
      <w:r>
        <w:rPr>
          <w:rFonts w:hint="eastAsia" w:ascii="仿宋_GB2312" w:hAnsi="Times New Roman" w:eastAsia="仿宋_GB2312" w:cs="DengXian-Regular"/>
          <w:sz w:val="32"/>
          <w:szCs w:val="32"/>
          <w:lang w:eastAsia="zh-CN"/>
        </w:rPr>
        <w:t>；</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国有资本经营预算财政拨款支出决算表</w:t>
      </w:r>
      <w:r>
        <w:rPr>
          <w:rFonts w:hint="eastAsia" w:ascii="仿宋_GB2312" w:hAnsi="Times New Roman" w:eastAsia="仿宋_GB2312" w:cs="DengXian-Regular"/>
          <w:sz w:val="32"/>
          <w:szCs w:val="32"/>
        </w:rPr>
        <w:t>无收支及结转结余情况</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故</w:t>
      </w:r>
      <w:r>
        <w:rPr>
          <w:rFonts w:hint="eastAsia" w:ascii="仿宋_GB2312" w:hAnsi="Times New Roman" w:eastAsia="仿宋_GB2312" w:cs="DengXian-Regular"/>
          <w:sz w:val="32"/>
          <w:szCs w:val="32"/>
          <w:lang w:eastAsia="zh-CN"/>
        </w:rPr>
        <w:t>国有资本经营预算财政拨款支出决算表</w:t>
      </w:r>
      <w:r>
        <w:rPr>
          <w:rFonts w:hint="eastAsia" w:ascii="仿宋_GB2312" w:hAnsi="Times New Roman" w:eastAsia="仿宋_GB2312" w:cs="DengXian-Regular"/>
          <w:sz w:val="32"/>
          <w:szCs w:val="32"/>
        </w:rPr>
        <w:t>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170815</wp:posOffset>
                </wp:positionV>
                <wp:extent cx="7793355" cy="10901045"/>
                <wp:effectExtent l="4445" t="4445" r="12700" b="10160"/>
                <wp:wrapNone/>
                <wp:docPr id="188" name="文本框 188"/>
                <wp:cNvGraphicFramePr/>
                <a:graphic xmlns:a="http://schemas.openxmlformats.org/drawingml/2006/main">
                  <a:graphicData uri="http://schemas.microsoft.com/office/word/2010/wordprocessingShape">
                    <wps:wsp>
                      <wps:cNvSpPr txBox="1"/>
                      <wps:spPr>
                        <a:xfrm>
                          <a:off x="0" y="0"/>
                          <a:ext cx="7793355" cy="10901045"/>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3.45pt;height:858.35pt;width:613.65pt;z-index:251661312;v-text-anchor:middle;mso-width-relative:page;mso-height-relative:page;" fillcolor="#7F7F7F [1612]" filled="t" stroked="t" coordsize="21600,21600" o:gfxdata="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j27JC2wAAAA0BAAAP&#10;AAAAAAAAAAEAIAAAACIAAABkcnMvZG93bnJldi54bWxQSwECFAAUAAAACACHTuJAJ8hnfYcCAABN&#10;BQAADgAAAAAAAAABACAAAAAqAQAAZHJzL2Uyb0RvYy54bWxQSwUGAAAAAAYABgBZAQAAIwY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0795" b="2413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416"/>
        <w:gridCol w:w="508"/>
        <w:gridCol w:w="682"/>
        <w:gridCol w:w="3436"/>
        <w:gridCol w:w="534"/>
        <w:gridCol w:w="844"/>
      </w:tblGrid>
      <w:tr>
        <w:tblPrEx>
          <w:tblCellMar>
            <w:top w:w="0" w:type="dxa"/>
            <w:left w:w="0" w:type="dxa"/>
            <w:bottom w:w="0" w:type="dxa"/>
            <w:right w:w="0" w:type="dxa"/>
          </w:tblCellMar>
        </w:tblPrEx>
        <w:trPr>
          <w:trHeight w:val="165" w:hRule="atLeast"/>
          <w:jc w:val="center"/>
        </w:trPr>
        <w:tc>
          <w:tcPr>
            <w:tcW w:w="9420"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306"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部门：保定市满城区统计局</w:t>
            </w: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6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收入</w:t>
            </w:r>
          </w:p>
        </w:tc>
        <w:tc>
          <w:tcPr>
            <w:tcW w:w="4814"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351.29</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一、一般公共服务支出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300.56</w:t>
            </w:r>
          </w:p>
        </w:tc>
      </w:tr>
      <w:tr>
        <w:tblPrEx>
          <w:tblCellMar>
            <w:top w:w="0" w:type="dxa"/>
            <w:left w:w="0" w:type="dxa"/>
            <w:bottom w:w="0" w:type="dxa"/>
            <w:right w:w="0" w:type="dxa"/>
          </w:tblCellMar>
        </w:tblPrEx>
        <w:trPr>
          <w:trHeight w:val="353"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二、政府性基金预算财政拨款收入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二、外交支出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三、国有资本经营预算财政拨款收入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四、上级补助收入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四、公共安全支出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五、事业收入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五、教育支出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六、经营收入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六、科学技术支出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七、附属单位上缴收入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七、文化旅游体育与传媒支出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八、其他收入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八、社会保障和就业支出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28.50</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9</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九、卫生健康支出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9.37</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10</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十、节能环保支出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十一、城乡社区支出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十二、农林水支出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十三、交通运输支出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十四、资源勘探工业信息等支出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十五、商业服务业等支出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十六、金融支出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十七、援助其他地区支出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十八、自然资源海洋气象等支出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19</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十九、住房保障支出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12.86</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20</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二十、粮油物资储备支出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二十一、国有资本经营预算支出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22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二十三、其他支出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二十四、债务还本支出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宋体" w:hAnsi="宋体" w:eastAsia="宋体" w:cs="宋体"/>
                <w:b/>
                <w:color w:val="000000"/>
                <w:szCs w:val="21"/>
              </w:rPr>
            </w:pPr>
            <w:r>
              <w:rPr>
                <w:rFonts w:hint="eastAsia"/>
              </w:rPr>
              <w:t>二十五、债务付息支出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二十六、抗疫特别国债安排的支出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本年收入合计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351.29</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本年支出合计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351.29</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使用非财政拨款结余</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结余分配</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年初结转和结余</w:t>
            </w:r>
          </w:p>
        </w:tc>
        <w:tc>
          <w:tcPr>
            <w:tcW w:w="50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29</w:t>
            </w:r>
          </w:p>
        </w:tc>
        <w:tc>
          <w:tcPr>
            <w:tcW w:w="682"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年末结转和结余</w:t>
            </w:r>
          </w:p>
        </w:tc>
        <w:tc>
          <w:tcPr>
            <w:tcW w:w="53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60</w:t>
            </w:r>
          </w:p>
        </w:tc>
        <w:tc>
          <w:tcPr>
            <w:tcW w:w="84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30</w:t>
            </w:r>
          </w:p>
        </w:tc>
        <w:tc>
          <w:tcPr>
            <w:tcW w:w="6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61</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总计</w:t>
            </w: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31</w:t>
            </w:r>
          </w:p>
        </w:tc>
        <w:tc>
          <w:tcPr>
            <w:tcW w:w="6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351.29</w:t>
            </w:r>
          </w:p>
        </w:tc>
        <w:tc>
          <w:tcPr>
            <w:tcW w:w="343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总计</w:t>
            </w: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62</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351.29</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0"/>
                <w:szCs w:val="20"/>
              </w:rPr>
            </w:pPr>
            <w:r>
              <w:rPr>
                <w:rFonts w:hint="eastAsia"/>
                <w:sz w:val="20"/>
                <w:szCs w:val="20"/>
              </w:rPr>
              <w:t>注：本表反映部门（或单位）本年度的总收支和年末结转结余情况。本套报表金额单位转换时可能存在尾数误差。</w:t>
            </w:r>
          </w:p>
        </w:tc>
      </w:tr>
    </w:tbl>
    <w:p>
      <w:pPr>
        <w:widowControl/>
        <w:tabs>
          <w:tab w:val="left" w:pos="314"/>
          <w:tab w:val="center" w:pos="5922"/>
        </w:tabs>
        <w:jc w:val="left"/>
        <w:textAlignment w:val="bottom"/>
        <w:rPr>
          <w:rFonts w:hint="eastAsia" w:asciiTheme="minorHAnsi" w:hAnsiTheme="minorHAnsi" w:eastAsiaTheme="minorEastAsia" w:cstheme="minorBidi"/>
          <w:kern w:val="2"/>
          <w:sz w:val="21"/>
          <w:szCs w:val="24"/>
          <w:lang w:val="en-US" w:eastAsia="zh-CN" w:bidi="ar-SA"/>
        </w:rPr>
      </w:pPr>
      <w:r>
        <w:rPr>
          <w:rFonts w:hint="eastAsia" w:ascii="黑体" w:hAnsi="宋体" w:eastAsia="黑体" w:cs="黑体"/>
          <w:color w:val="000000"/>
          <w:kern w:val="0"/>
          <w:sz w:val="28"/>
          <w:szCs w:val="28"/>
          <w:lang w:eastAsia="zh-CN" w:bidi="ar"/>
        </w:rPr>
        <w:tab/>
      </w:r>
    </w:p>
    <w:tbl>
      <w:tblPr>
        <w:tblStyle w:val="5"/>
        <w:tblW w:w="9580" w:type="dxa"/>
        <w:jc w:val="center"/>
        <w:tblLayout w:type="autofit"/>
        <w:tblCellMar>
          <w:top w:w="0" w:type="dxa"/>
          <w:left w:w="0" w:type="dxa"/>
          <w:bottom w:w="0" w:type="dxa"/>
          <w:right w:w="0" w:type="dxa"/>
        </w:tblCellMar>
      </w:tblPr>
      <w:tblGrid>
        <w:gridCol w:w="718"/>
        <w:gridCol w:w="41"/>
        <w:gridCol w:w="41"/>
        <w:gridCol w:w="3550"/>
        <w:gridCol w:w="999"/>
        <w:gridCol w:w="999"/>
        <w:gridCol w:w="666"/>
        <w:gridCol w:w="666"/>
        <w:gridCol w:w="666"/>
        <w:gridCol w:w="666"/>
        <w:gridCol w:w="668"/>
      </w:tblGrid>
      <w:tr>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保定市满城区统计局</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351.29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351.29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300.56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300.56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统计信息事务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300.56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300.56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220" w:firstLineChars="100"/>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156.17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156.17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专项统计业务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统计管理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7.23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7.23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2010507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专项普查活动</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事业运行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23.60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23.60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28.50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28.50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28.50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28.50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26.83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26.83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7.71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7.71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12.86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2273"/>
        <w:gridCol w:w="1005"/>
        <w:gridCol w:w="990"/>
        <w:gridCol w:w="885"/>
        <w:gridCol w:w="1065"/>
        <w:gridCol w:w="1155"/>
        <w:gridCol w:w="1202"/>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7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8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0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7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Arial" w:hAnsi="Arial" w:cs="Arial"/>
                <w:color w:val="000000"/>
                <w:sz w:val="18"/>
                <w:szCs w:val="18"/>
              </w:rPr>
              <w:t>保定市满城区统计局</w:t>
            </w:r>
          </w:p>
        </w:tc>
        <w:tc>
          <w:tcPr>
            <w:tcW w:w="10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8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57"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337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9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88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06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20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27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0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2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7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2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7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8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2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33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8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0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20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33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351.29</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230.50</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120.79</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一般公共服务支出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300.56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179.77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120.79</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统计信息事务</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300.56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179.77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120.79</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行政运行</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156.17</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156.17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2010505</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专项统计业务</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13.56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13.56</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2010506</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统计管理</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7.23</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7.23</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2010507</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专项普查活动</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100.00</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100.00</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2010550</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事业运行</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23.60</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23.60</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社会保障和就业支出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行政事业单位养老支出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2080505</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机关事业单位基本养老保险缴费支出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26.83</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26.83</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2080506</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机关事业单位职业年金缴费支出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1.67</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卫生健康支出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行政事业单位医疗</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2101101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行政单位医疗</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7.71</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7.71</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2101102</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事业单位医疗</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1.66</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住房保障支出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22102</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2210201</w:t>
            </w:r>
          </w:p>
        </w:tc>
        <w:tc>
          <w:tcPr>
            <w:tcW w:w="22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住房公积金</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8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3125"/>
        <w:gridCol w:w="1680"/>
        <w:gridCol w:w="1950"/>
        <w:gridCol w:w="1457"/>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716"/>
              <w:gridCol w:w="735"/>
              <w:gridCol w:w="748"/>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1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36"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部门：保定市满城区统计局</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1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3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60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1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1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3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351.29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300.56</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300.56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28.50</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28.50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9.37</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9.37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12.86</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12.86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351.29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351.29</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351.29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351.29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1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351.29</w:t>
                  </w:r>
                </w:p>
              </w:tc>
              <w:tc>
                <w:tcPr>
                  <w:tcW w:w="7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351.29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12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8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87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12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Arial" w:hAnsi="Arial" w:cs="Arial"/>
                <w:color w:val="000000"/>
                <w:sz w:val="18"/>
                <w:szCs w:val="18"/>
              </w:rPr>
              <w:t>保定市满城区统计局</w:t>
            </w:r>
          </w:p>
        </w:tc>
        <w:tc>
          <w:tcPr>
            <w:tcW w:w="168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87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43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555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12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68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19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927"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2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8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2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2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8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2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4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351.29</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230.50</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120.79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一般公共服务支出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300.56</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179.77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120.79</w:t>
            </w:r>
          </w:p>
        </w:tc>
      </w:tr>
      <w:tr>
        <w:tblPrEx>
          <w:tblCellMar>
            <w:top w:w="0" w:type="dxa"/>
            <w:left w:w="0" w:type="dxa"/>
            <w:bottom w:w="0" w:type="dxa"/>
            <w:right w:w="0" w:type="dxa"/>
          </w:tblCellMar>
        </w:tblPrEx>
        <w:trPr>
          <w:trHeight w:val="347"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统计信息事务</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300.56</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179.77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120.79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2010501</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行政运行</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156.17</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156.17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2010505</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专项统计业务</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13.56</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13.56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2010506</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统计管理</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7.23</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7.23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2010507</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专项普查活动</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100.00</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2010550</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事业运行</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23.60</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23.60</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社会保障和就业支出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行政事业单位养老支出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28.50</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2080505</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机关事业单位基本养老保险缴费支出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26.83</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26.83</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2080506</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机关事业单位职业年金缴费支出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1.67</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卫生健康支出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行政事业单位医疗</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9.37</w:t>
            </w:r>
          </w:p>
        </w:tc>
        <w:tc>
          <w:tcPr>
            <w:tcW w:w="1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2101101</w:t>
            </w:r>
          </w:p>
        </w:tc>
        <w:tc>
          <w:tcPr>
            <w:tcW w:w="312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行政单位医疗</w:t>
            </w:r>
          </w:p>
        </w:tc>
        <w:tc>
          <w:tcPr>
            <w:tcW w:w="168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7.71</w:t>
            </w:r>
          </w:p>
        </w:tc>
        <w:tc>
          <w:tcPr>
            <w:tcW w:w="195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7.71</w:t>
            </w:r>
          </w:p>
        </w:tc>
        <w:tc>
          <w:tcPr>
            <w:tcW w:w="1927"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2101102</w:t>
            </w:r>
          </w:p>
        </w:tc>
        <w:tc>
          <w:tcPr>
            <w:tcW w:w="3125"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事业单位医疗</w:t>
            </w:r>
          </w:p>
        </w:tc>
        <w:tc>
          <w:tcPr>
            <w:tcW w:w="168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1.66</w:t>
            </w:r>
          </w:p>
        </w:tc>
        <w:tc>
          <w:tcPr>
            <w:tcW w:w="195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1.66</w:t>
            </w:r>
          </w:p>
        </w:tc>
        <w:tc>
          <w:tcPr>
            <w:tcW w:w="1927" w:type="dxa"/>
            <w:gridSpan w:val="2"/>
            <w:tcBorders>
              <w:top w:val="single" w:color="auto" w:sz="4" w:space="0"/>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w:t>
            </w:r>
          </w:p>
        </w:tc>
        <w:tc>
          <w:tcPr>
            <w:tcW w:w="31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住房保障支出</w:t>
            </w:r>
          </w:p>
        </w:tc>
        <w:tc>
          <w:tcPr>
            <w:tcW w:w="1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27" w:type="dxa"/>
            <w:gridSpan w:val="2"/>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7" w:hRule="atLeast"/>
          <w:jc w:val="center"/>
        </w:trPr>
        <w:tc>
          <w:tcPr>
            <w:tcW w:w="1308" w:type="dxa"/>
            <w:gridSpan w:val="3"/>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22102</w:t>
            </w:r>
          </w:p>
        </w:tc>
        <w:tc>
          <w:tcPr>
            <w:tcW w:w="312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住房改革支出</w:t>
            </w:r>
          </w:p>
        </w:tc>
        <w:tc>
          <w:tcPr>
            <w:tcW w:w="168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5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27" w:type="dxa"/>
            <w:gridSpan w:val="2"/>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2210201</w:t>
            </w:r>
          </w:p>
        </w:tc>
        <w:tc>
          <w:tcPr>
            <w:tcW w:w="3125"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 xml:space="preserve">  住房公积金</w:t>
            </w:r>
          </w:p>
        </w:tc>
        <w:tc>
          <w:tcPr>
            <w:tcW w:w="168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5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12.86</w:t>
            </w:r>
          </w:p>
        </w:tc>
        <w:tc>
          <w:tcPr>
            <w:tcW w:w="1927" w:type="dxa"/>
            <w:gridSpan w:val="2"/>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部门：保定市满城区统计局</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207.37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18.67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138.34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7.14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3.77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0.24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26.83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9.37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0.59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0.34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eastAsia="zh-CN"/>
              </w:rPr>
            </w:pPr>
            <w:r>
              <w:rPr>
                <w:rFonts w:hint="eastAsia" w:ascii="宋体" w:hAnsi="宋体" w:eastAsia="宋体" w:cs="宋体"/>
                <w:color w:val="000000"/>
                <w:sz w:val="16"/>
                <w:szCs w:val="16"/>
              </w:rPr>
              <w:t>0.7</w:t>
            </w:r>
            <w:r>
              <w:rPr>
                <w:rFonts w:hint="eastAsia" w:ascii="宋体" w:hAnsi="宋体" w:eastAsia="宋体" w:cs="宋体"/>
                <w:color w:val="000000"/>
                <w:sz w:val="16"/>
                <w:szCs w:val="16"/>
                <w:lang w:val="en-US" w:eastAsia="zh-CN"/>
              </w:rPr>
              <w:t>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rPr>
              <w:t>1.3</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9.03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211.83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18.67</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部门：保定市满城区统计局</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2.96</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0.46</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1.64</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1.30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1.30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0.34</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318"/>
        <w:gridCol w:w="630"/>
        <w:gridCol w:w="18"/>
        <w:gridCol w:w="61"/>
        <w:gridCol w:w="61"/>
        <w:gridCol w:w="521"/>
        <w:gridCol w:w="177"/>
        <w:gridCol w:w="709"/>
        <w:gridCol w:w="1169"/>
        <w:gridCol w:w="902"/>
        <w:gridCol w:w="267"/>
        <w:gridCol w:w="871"/>
        <w:gridCol w:w="296"/>
        <w:gridCol w:w="2"/>
        <w:gridCol w:w="1169"/>
        <w:gridCol w:w="250"/>
        <w:gridCol w:w="919"/>
        <w:gridCol w:w="498"/>
        <w:gridCol w:w="544"/>
        <w:gridCol w:w="128"/>
      </w:tblGrid>
      <w:tr>
        <w:tblPrEx>
          <w:tblCellMar>
            <w:top w:w="0" w:type="dxa"/>
            <w:left w:w="0" w:type="dxa"/>
            <w:bottom w:w="0" w:type="dxa"/>
            <w:right w:w="0" w:type="dxa"/>
          </w:tblCellMar>
        </w:tblPrEx>
        <w:trPr>
          <w:trHeight w:val="780" w:hRule="atLeast"/>
          <w:jc w:val="center"/>
        </w:trPr>
        <w:tc>
          <w:tcPr>
            <w:tcW w:w="9510" w:type="dxa"/>
            <w:gridSpan w:val="2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6"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407"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339" w:type="dxa"/>
            <w:gridSpan w:val="5"/>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部门：保定市满城区统计局</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407"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339" w:type="dxa"/>
            <w:gridSpan w:val="5"/>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2495"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507"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70"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8" w:type="dxa"/>
            <w:gridSpan w:val="5"/>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407"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7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07"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07"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249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249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4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4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4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4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4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7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gridBefore w:val="1"/>
          <w:gridAfter w:val="2"/>
          <w:wBefore w:w="318" w:type="dxa"/>
          <w:wAfter w:w="672" w:type="dxa"/>
          <w:trHeight w:val="824" w:hRule="atLeast"/>
          <w:jc w:val="center"/>
        </w:trPr>
        <w:tc>
          <w:tcPr>
            <w:tcW w:w="8520" w:type="dxa"/>
            <w:gridSpan w:val="1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rPr>
            </w:pPr>
            <w:r>
              <w:rPr>
                <w:rFonts w:hint="eastAsia" w:ascii="宋体" w:hAnsi="宋体" w:eastAsia="宋体" w:cs="宋体"/>
              </w:rPr>
              <w:t>本部门本年度无相关收入（或支出、收支及结转结余等）情况，按要求空表列示</w:t>
            </w: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gridBefore w:val="1"/>
          <w:gridAfter w:val="1"/>
          <w:wBefore w:w="318" w:type="dxa"/>
          <w:wAfter w:w="128" w:type="dxa"/>
          <w:trHeight w:val="250" w:hRule="atLeast"/>
          <w:jc w:val="center"/>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5"/>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7"/>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gridBefore w:val="1"/>
          <w:gridAfter w:val="1"/>
          <w:wBefore w:w="318" w:type="dxa"/>
          <w:wAfter w:w="128" w:type="dxa"/>
          <w:trHeight w:val="250" w:hRule="atLeast"/>
          <w:jc w:val="center"/>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5"/>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保定市满城区统计局</w:t>
            </w:r>
          </w:p>
        </w:tc>
        <w:tc>
          <w:tcPr>
            <w:tcW w:w="3678" w:type="dxa"/>
            <w:gridSpan w:val="7"/>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4248"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8"/>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Before w:val="1"/>
          <w:gridAfter w:val="2"/>
          <w:wBefore w:w="318" w:type="dxa"/>
          <w:wAfter w:w="672" w:type="dxa"/>
          <w:trHeight w:val="604"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4248"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4248"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Before w:val="1"/>
          <w:gridAfter w:val="2"/>
          <w:wBefore w:w="318" w:type="dxa"/>
          <w:wAfter w:w="672" w:type="dxa"/>
          <w:trHeight w:val="302" w:hRule="atLeast"/>
          <w:jc w:val="center"/>
        </w:trPr>
        <w:tc>
          <w:tcPr>
            <w:tcW w:w="12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bookmarkStart w:id="4" w:name="_GoBack"/>
      <w:r>
        <w:rPr>
          <w:sz w:val="32"/>
        </w:rPr>
        <mc:AlternateContent>
          <mc:Choice Requires="wps">
            <w:drawing>
              <wp:anchor distT="0" distB="0" distL="114300" distR="114300" simplePos="0" relativeHeight="251664384" behindDoc="0" locked="0" layoutInCell="1" allowOverlap="1">
                <wp:simplePos x="0" y="0"/>
                <wp:positionH relativeFrom="column">
                  <wp:posOffset>-1018540</wp:posOffset>
                </wp:positionH>
                <wp:positionV relativeFrom="paragraph">
                  <wp:posOffset>-1363980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2pt;margin-top:-107.4pt;height:842.2pt;width:601pt;z-index:251664384;v-text-anchor:middle;mso-width-relative:page;mso-height-relative:page;" fillcolor="#BDD7EE [1300]" filled="t" stroked="f" coordsize="21600,21600" o:gfxdata="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2vIeo&#10;2gAAAA8BAAAPAAAAAAAAAAEAIAAAACIAAABkcnMvZG93bnJldi54bWxQSwECFAAUAAAACACHTuJA&#10;SMSj/ZECAAARBQAADgAAAAAAAAABACAAAAApAQAAZHJzL2Uyb0RvYy54bWxQSwUGAAAAAAYABgBZ&#10;AQAALAYAAAAA&#10;">
                <v:fill on="t" focussize="0,0"/>
                <v:stroke on="f" weight="1pt" miterlimit="8" joinstyle="miter"/>
                <v:imagedata o:title=""/>
                <o:lock v:ext="edit" aspectratio="f"/>
              </v:rect>
            </w:pict>
          </mc:Fallback>
        </mc:AlternateContent>
      </w:r>
      <w:bookmarkEnd w:id="4"/>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05"/>
    <w:rsid w:val="0018668E"/>
    <w:rsid w:val="001B73D2"/>
    <w:rsid w:val="001E62BF"/>
    <w:rsid w:val="00293E7B"/>
    <w:rsid w:val="002D1F4F"/>
    <w:rsid w:val="00366D90"/>
    <w:rsid w:val="003D678E"/>
    <w:rsid w:val="00801F66"/>
    <w:rsid w:val="009334BF"/>
    <w:rsid w:val="00B80530"/>
    <w:rsid w:val="058B71E0"/>
    <w:rsid w:val="07E94FFA"/>
    <w:rsid w:val="09250CB9"/>
    <w:rsid w:val="0A693AAC"/>
    <w:rsid w:val="0B514A39"/>
    <w:rsid w:val="0BE20108"/>
    <w:rsid w:val="0C155C58"/>
    <w:rsid w:val="0EA325C9"/>
    <w:rsid w:val="0EEA7F42"/>
    <w:rsid w:val="136B6C24"/>
    <w:rsid w:val="1C6468FC"/>
    <w:rsid w:val="2D491CBC"/>
    <w:rsid w:val="2F1E0C0B"/>
    <w:rsid w:val="2FB96948"/>
    <w:rsid w:val="318D46D6"/>
    <w:rsid w:val="3327616A"/>
    <w:rsid w:val="34C45458"/>
    <w:rsid w:val="34F8796C"/>
    <w:rsid w:val="35C83C42"/>
    <w:rsid w:val="39A0487C"/>
    <w:rsid w:val="425657C5"/>
    <w:rsid w:val="44A43DD1"/>
    <w:rsid w:val="45C06E7E"/>
    <w:rsid w:val="498D4980"/>
    <w:rsid w:val="544505E8"/>
    <w:rsid w:val="5D0C63C4"/>
    <w:rsid w:val="5F72433A"/>
    <w:rsid w:val="69CF5585"/>
    <w:rsid w:val="6A2B0E0D"/>
    <w:rsid w:val="73D824BD"/>
    <w:rsid w:val="747B0E8C"/>
    <w:rsid w:val="7C0A3268"/>
    <w:rsid w:val="7CEB3DF1"/>
    <w:rsid w:val="7F7A0C22"/>
    <w:rsid w:val="7FC73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915;&#31639;&#22270;&#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915;&#31639;&#22270;&#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915;&#31639;&#22270;&#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915;&#31639;&#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rPr>
              <a:t>图</a:t>
            </a:r>
            <a:r>
              <a:rPr lang="en-US" altLang="zh-CN">
                <a:solidFill>
                  <a:sysClr val="windowText" lastClr="000000"/>
                </a:solidFill>
              </a:rPr>
              <a:t>1:2019-2020</a:t>
            </a:r>
            <a:r>
              <a:rPr altLang="en-US">
                <a:solidFill>
                  <a:sysClr val="windowText" lastClr="000000"/>
                </a:solidFill>
              </a:rPr>
              <a:t>年收支总计对比情况</a:t>
            </a:r>
            <a:endParaRPr altLang="en-US">
              <a:solidFill>
                <a:sysClr val="windowText" lastClr="000000"/>
              </a:solidFill>
            </a:endParaRPr>
          </a:p>
        </c:rich>
      </c:tx>
      <c:layout>
        <c:manualLayout>
          <c:xMode val="edge"/>
          <c:yMode val="edge"/>
          <c:x val="0.247777777777778"/>
          <c:y val="0.881944444444444"/>
        </c:manualLayout>
      </c:layout>
      <c:overlay val="0"/>
      <c:spPr>
        <a:noFill/>
        <a:ln>
          <a:noFill/>
        </a:ln>
        <a:effectLst/>
      </c:spPr>
    </c:title>
    <c:autoTitleDeleted val="0"/>
    <c:plotArea>
      <c:layout>
        <c:manualLayout>
          <c:layoutTarget val="inner"/>
          <c:xMode val="edge"/>
          <c:yMode val="edge"/>
          <c:x val="0.158138888888889"/>
          <c:y val="0.0722222222222222"/>
          <c:w val="0.7745"/>
          <c:h val="0.7116666666666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[决算图表.xlsx]Sheet1!$A$18:$A$19</c:f>
              <c:strCache>
                <c:ptCount val="2"/>
                <c:pt idx="0">
                  <c:v>2019年</c:v>
                </c:pt>
                <c:pt idx="1">
                  <c:v>2020年</c:v>
                </c:pt>
              </c:strCache>
            </c:strRef>
          </c:cat>
          <c:val>
            <c:numRef>
              <c:f>[决算图表.xlsx]Sheet1!$B$18:$B$19</c:f>
              <c:numCache>
                <c:formatCode>General</c:formatCode>
                <c:ptCount val="2"/>
                <c:pt idx="0">
                  <c:v>324.58</c:v>
                </c:pt>
                <c:pt idx="1">
                  <c:v>351.29</c:v>
                </c:pt>
              </c:numCache>
            </c:numRef>
          </c:val>
        </c:ser>
        <c:dLbls>
          <c:showLegendKey val="0"/>
          <c:showVal val="1"/>
          <c:showCatName val="0"/>
          <c:showSerName val="0"/>
          <c:showPercent val="0"/>
          <c:showBubbleSize val="0"/>
        </c:dLbls>
        <c:gapWidth val="219"/>
        <c:overlap val="-27"/>
        <c:axId val="845796905"/>
        <c:axId val="186019625"/>
      </c:barChart>
      <c:catAx>
        <c:axId val="8457969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019625"/>
        <c:crosses val="autoZero"/>
        <c:auto val="1"/>
        <c:lblAlgn val="ctr"/>
        <c:lblOffset val="100"/>
        <c:noMultiLvlLbl val="0"/>
      </c:catAx>
      <c:valAx>
        <c:axId val="18601962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579690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rPr>
              <a:t>图</a:t>
            </a:r>
            <a:r>
              <a:rPr lang="en-US" altLang="zh-CN">
                <a:solidFill>
                  <a:sysClr val="windowText" lastClr="000000"/>
                </a:solidFill>
              </a:rPr>
              <a:t>2</a:t>
            </a:r>
            <a:r>
              <a:rPr>
                <a:solidFill>
                  <a:sysClr val="windowText" lastClr="000000"/>
                </a:solidFill>
              </a:rPr>
              <a:t>：支出决算构成情况（按支出性质）</a:t>
            </a:r>
            <a:endParaRPr>
              <a:solidFill>
                <a:sysClr val="windowText" lastClr="000000"/>
              </a:solidFill>
            </a:endParaRPr>
          </a:p>
        </c:rich>
      </c:tx>
      <c:layout>
        <c:manualLayout>
          <c:xMode val="edge"/>
          <c:yMode val="edge"/>
          <c:x val="0.220694444444444"/>
          <c:y val="0.862757871878393"/>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98119204664946"/>
          <c:y val="0.223580594092405"/>
          <c:w val="0.826222222222222"/>
          <c:h val="0.587685185185185"/>
        </c:manualLayout>
      </c:layout>
      <c:pie3DChart>
        <c:varyColors val="1"/>
        <c:ser>
          <c:idx val="0"/>
          <c:order val="0"/>
          <c:spPr>
            <a:scene3d>
              <a:camera prst="orthographicFront"/>
              <a:lightRig rig="threePt" dir="t"/>
            </a:scene3d>
            <a:sp3d contourW="25400"/>
          </c:spPr>
          <c:explosion val="0"/>
          <c:dPt>
            <c:idx val="0"/>
            <c:bubble3D val="0"/>
            <c:explosion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[工作簿1]Sheet1!$A$3:$A$4</c:f>
              <c:strCache>
                <c:ptCount val="2"/>
                <c:pt idx="0">
                  <c:v>基本支出</c:v>
                </c:pt>
                <c:pt idx="1">
                  <c:v>项目支出</c:v>
                </c:pt>
              </c:strCache>
            </c:strRef>
          </c:cat>
          <c:val>
            <c:numRef>
              <c:f>[工作簿1]Sheet1!$B$3:$B$4</c:f>
              <c:numCache>
                <c:formatCode>0.00%</c:formatCode>
                <c:ptCount val="2"/>
                <c:pt idx="0">
                  <c:v>0.6562</c:v>
                </c:pt>
                <c:pt idx="1">
                  <c:v>0.3438</c:v>
                </c:pt>
              </c:numCache>
            </c:numRef>
          </c:val>
        </c:ser>
        <c:dLbls>
          <c:showLegendKey val="0"/>
          <c:showVal val="1"/>
          <c:showCatName val="0"/>
          <c:showSerName val="0"/>
          <c:showPercent val="0"/>
          <c:showBubbleSize val="0"/>
        </c:dLbls>
      </c:pie3DChart>
      <c:spPr>
        <a:noFill/>
        <a:ln>
          <a:noFill/>
        </a:ln>
        <a:effectLst/>
      </c:spPr>
    </c:plotArea>
    <c:legend>
      <c:legendPos val="b"/>
      <c:layout>
        <c:manualLayout>
          <c:xMode val="edge"/>
          <c:yMode val="edge"/>
          <c:x val="0.346597222222222"/>
          <c:y val="0.13941368078175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rPr>
              <a:t>图</a:t>
            </a:r>
            <a:r>
              <a:rPr lang="en-US" altLang="zh-CN">
                <a:solidFill>
                  <a:sysClr val="windowText" lastClr="000000"/>
                </a:solidFill>
              </a:rPr>
              <a:t>3:2019-2020</a:t>
            </a:r>
            <a:r>
              <a:rPr altLang="en-US">
                <a:solidFill>
                  <a:sysClr val="windowText" lastClr="000000"/>
                </a:solidFill>
              </a:rPr>
              <a:t>年财政拨款收支对比情况</a:t>
            </a:r>
            <a:endParaRPr altLang="en-US">
              <a:solidFill>
                <a:sysClr val="windowText" lastClr="000000"/>
              </a:solidFill>
            </a:endParaRPr>
          </a:p>
        </c:rich>
      </c:tx>
      <c:layout>
        <c:manualLayout>
          <c:xMode val="edge"/>
          <c:yMode val="edge"/>
          <c:x val="0.204027777777778"/>
          <c:y val="0.875"/>
        </c:manualLayout>
      </c:layout>
      <c:overlay val="0"/>
      <c:spPr>
        <a:noFill/>
        <a:ln>
          <a:noFill/>
        </a:ln>
        <a:effectLst/>
      </c:spPr>
    </c:title>
    <c:autoTitleDeleted val="0"/>
    <c:plotArea>
      <c:layout>
        <c:manualLayout>
          <c:layoutTarget val="inner"/>
          <c:xMode val="edge"/>
          <c:yMode val="edge"/>
          <c:x val="0.147722222222222"/>
          <c:y val="0.0710648148148144"/>
          <c:w val="0.7745"/>
          <c:h val="0.7116666666666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[决算图表.xlsx]Sheet1!$A$18:$A$19</c:f>
              <c:strCache>
                <c:ptCount val="2"/>
                <c:pt idx="0">
                  <c:v>2019年</c:v>
                </c:pt>
                <c:pt idx="1">
                  <c:v>2020年</c:v>
                </c:pt>
              </c:strCache>
            </c:strRef>
          </c:cat>
          <c:val>
            <c:numRef>
              <c:f>[决算图表.xlsx]Sheet1!$B$18:$B$19</c:f>
              <c:numCache>
                <c:formatCode>General</c:formatCode>
                <c:ptCount val="2"/>
                <c:pt idx="0">
                  <c:v>324.58</c:v>
                </c:pt>
                <c:pt idx="1">
                  <c:v>351.29</c:v>
                </c:pt>
              </c:numCache>
            </c:numRef>
          </c:val>
        </c:ser>
        <c:dLbls>
          <c:showLegendKey val="0"/>
          <c:showVal val="1"/>
          <c:showCatName val="0"/>
          <c:showSerName val="0"/>
          <c:showPercent val="0"/>
          <c:showBubbleSize val="0"/>
        </c:dLbls>
        <c:gapWidth val="219"/>
        <c:overlap val="-27"/>
        <c:axId val="845796905"/>
        <c:axId val="186019625"/>
      </c:barChart>
      <c:catAx>
        <c:axId val="8457969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019625"/>
        <c:crosses val="autoZero"/>
        <c:auto val="1"/>
        <c:lblAlgn val="ctr"/>
        <c:lblOffset val="100"/>
        <c:noMultiLvlLbl val="0"/>
      </c:catAx>
      <c:valAx>
        <c:axId val="18601962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579690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rPr>
              <a:t>图</a:t>
            </a:r>
            <a:r>
              <a:rPr lang="en-US" altLang="zh-CN">
                <a:solidFill>
                  <a:sysClr val="windowText" lastClr="000000"/>
                </a:solidFill>
              </a:rPr>
              <a:t>4</a:t>
            </a:r>
            <a:r>
              <a:rPr altLang="en-US">
                <a:solidFill>
                  <a:sysClr val="windowText" lastClr="000000"/>
                </a:solidFill>
              </a:rPr>
              <a:t>：财政拨款收支年初预算与决算对比情况</a:t>
            </a:r>
            <a:endParaRPr altLang="en-US">
              <a:solidFill>
                <a:sysClr val="windowText" lastClr="000000"/>
              </a:solidFill>
            </a:endParaRPr>
          </a:p>
        </c:rich>
      </c:tx>
      <c:layout>
        <c:manualLayout>
          <c:xMode val="edge"/>
          <c:yMode val="edge"/>
          <c:x val="0.158194444444444"/>
          <c:y val="0.90162037037037"/>
        </c:manualLayout>
      </c:layout>
      <c:overlay val="0"/>
      <c:spPr>
        <a:noFill/>
        <a:ln>
          <a:noFill/>
        </a:ln>
        <a:effectLst/>
      </c:spPr>
    </c:title>
    <c:autoTitleDeleted val="0"/>
    <c:plotArea>
      <c:layout>
        <c:manualLayout>
          <c:layoutTarget val="inner"/>
          <c:xMode val="edge"/>
          <c:yMode val="edge"/>
          <c:x val="0.0810555555555556"/>
          <c:y val="0.1"/>
          <c:w val="0.894638888888889"/>
          <c:h val="0.712129629629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[决算图表.xlsx]Sheet1!$A$42:$A$43</c:f>
              <c:strCache>
                <c:ptCount val="2"/>
                <c:pt idx="0">
                  <c:v>年初预算</c:v>
                </c:pt>
                <c:pt idx="1">
                  <c:v>决算</c:v>
                </c:pt>
              </c:strCache>
            </c:strRef>
          </c:cat>
          <c:val>
            <c:numRef>
              <c:f>[决算图表.xlsx]Sheet1!$B$42:$B$43</c:f>
              <c:numCache>
                <c:formatCode>General</c:formatCode>
                <c:ptCount val="2"/>
                <c:pt idx="0">
                  <c:v>294.76</c:v>
                </c:pt>
                <c:pt idx="1">
                  <c:v>351.29</c:v>
                </c:pt>
              </c:numCache>
            </c:numRef>
          </c:val>
        </c:ser>
        <c:dLbls>
          <c:showLegendKey val="0"/>
          <c:showVal val="1"/>
          <c:showCatName val="0"/>
          <c:showSerName val="0"/>
          <c:showPercent val="0"/>
          <c:showBubbleSize val="0"/>
        </c:dLbls>
        <c:gapWidth val="219"/>
        <c:overlap val="-27"/>
        <c:axId val="870613957"/>
        <c:axId val="684797416"/>
      </c:barChart>
      <c:catAx>
        <c:axId val="8706139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4797416"/>
        <c:crosses val="autoZero"/>
        <c:auto val="1"/>
        <c:lblAlgn val="ctr"/>
        <c:lblOffset val="100"/>
        <c:noMultiLvlLbl val="0"/>
      </c:catAx>
      <c:valAx>
        <c:axId val="684797416"/>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1395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rPr>
              <a:t>图</a:t>
            </a:r>
            <a:r>
              <a:rPr lang="en-US" altLang="zh-CN">
                <a:solidFill>
                  <a:sysClr val="windowText" lastClr="000000"/>
                </a:solidFill>
              </a:rPr>
              <a:t>5</a:t>
            </a:r>
            <a:r>
              <a:rPr altLang="en-US">
                <a:solidFill>
                  <a:sysClr val="windowText" lastClr="000000"/>
                </a:solidFill>
              </a:rPr>
              <a:t>：财政拨款支出决算结构（按功能分类）</a:t>
            </a:r>
            <a:endParaRPr altLang="en-US">
              <a:solidFill>
                <a:sysClr val="windowText" lastClr="000000"/>
              </a:solidFill>
            </a:endParaRPr>
          </a:p>
        </c:rich>
      </c:tx>
      <c:layout>
        <c:manualLayout>
          <c:xMode val="edge"/>
          <c:yMode val="edge"/>
          <c:x val="0.145694444444444"/>
          <c:y val="0.826388888888889"/>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68888888888889"/>
          <c:y val="0.112291666666667"/>
          <c:w val="0.826222222222222"/>
          <c:h val="0.587685185185185"/>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[决算图表.xlsx]Sheet1!$A$66:$A$69</c:f>
              <c:strCache>
                <c:ptCount val="4"/>
                <c:pt idx="0">
                  <c:v>一般公共服务支出</c:v>
                </c:pt>
                <c:pt idx="1">
                  <c:v>社会保障和就业支出</c:v>
                </c:pt>
                <c:pt idx="2">
                  <c:v>卫生健康支出</c:v>
                </c:pt>
                <c:pt idx="3">
                  <c:v>住房保障支出</c:v>
                </c:pt>
              </c:strCache>
            </c:strRef>
          </c:cat>
          <c:val>
            <c:numRef>
              <c:f>[决算图表.xlsx]Sheet1!$B$66:$B$69</c:f>
              <c:numCache>
                <c:formatCode>0.00%</c:formatCode>
                <c:ptCount val="4"/>
                <c:pt idx="0">
                  <c:v>0.8556</c:v>
                </c:pt>
                <c:pt idx="1">
                  <c:v>0.0811</c:v>
                </c:pt>
                <c:pt idx="2">
                  <c:v>0.0267</c:v>
                </c:pt>
                <c:pt idx="3">
                  <c:v>0.0366</c:v>
                </c:pt>
              </c:numCache>
            </c:numRef>
          </c:val>
        </c:ser>
        <c:dLbls>
          <c:showLegendKey val="0"/>
          <c:showVal val="1"/>
          <c:showCatName val="0"/>
          <c:showSerName val="0"/>
          <c:showPercent val="0"/>
          <c:showBubbleSize val="0"/>
        </c:dLbls>
      </c:pie3DChart>
      <c:spPr>
        <a:noFill/>
        <a:ln>
          <a:noFill/>
        </a:ln>
        <a:effectLst/>
      </c:spPr>
    </c:plotArea>
    <c:legend>
      <c:legendPos val="b"/>
      <c:layout>
        <c:manualLayout>
          <c:xMode val="edge"/>
          <c:yMode val="edge"/>
          <c:x val="0.0827083333333333"/>
          <c:y val="0.71805555555555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7</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dcterms:modified xsi:type="dcterms:W3CDTF">2022-09-15T09:44:59Z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F8E27B44FAFD40B78F75632AA13C7DE2</vt:lpwstr>
  </property>
</Properties>
</file>