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7456" behindDoc="0" locked="0" layoutInCell="1" allowOverlap="1">
            <wp:simplePos x="0" y="0"/>
            <wp:positionH relativeFrom="column">
              <wp:posOffset>-1002030</wp:posOffset>
            </wp:positionH>
            <wp:positionV relativeFrom="paragraph">
              <wp:posOffset>-1314450</wp:posOffset>
            </wp:positionV>
            <wp:extent cx="8712200" cy="10760710"/>
            <wp:effectExtent l="0" t="0" r="5080" b="13970"/>
            <wp:wrapNone/>
            <wp:docPr id="4" name="图片 4"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公开封面"/>
                    <pic:cNvPicPr>
                      <a:picLocks noChangeAspect="1"/>
                    </pic:cNvPicPr>
                  </pic:nvPicPr>
                  <pic:blipFill>
                    <a:blip r:embed="rId10"/>
                    <a:stretch>
                      <a:fillRect/>
                    </a:stretch>
                  </pic:blipFill>
                  <pic:spPr>
                    <a:xfrm>
                      <a:off x="0" y="0"/>
                      <a:ext cx="8712200" cy="10760710"/>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rPr>
          <w:rFonts w:ascii="黑体" w:hAnsi="黑体" w:eastAsia="黑体" w:cs="黑体"/>
          <w:sz w:val="72"/>
          <w:szCs w:val="96"/>
        </w:rPr>
      </w:pPr>
      <w:r>
        <w:rPr>
          <w:rFonts w:hint="eastAsia" w:ascii="黑体" w:hAnsi="黑体" w:eastAsia="黑体" w:cs="黑体"/>
          <w:sz w:val="72"/>
          <w:szCs w:val="96"/>
        </w:rPr>
        <w:t>保定市满城区工商业联合会2020年度部门决算公开文本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hAnsi="Calibri" w:eastAsia="仿宋_GB2312" w:cs="Arial Black"/>
          <w:kern w:val="0"/>
          <w:sz w:val="32"/>
          <w:szCs w:val="32"/>
        </w:rPr>
      </w:pPr>
      <w:r>
        <w:rPr>
          <w:rFonts w:hint="eastAsia" w:ascii="仿宋_GB2312" w:hAnsi="仿宋_GB2312" w:eastAsia="仿宋_GB2312" w:cs="仿宋_GB2312"/>
          <w:sz w:val="32"/>
          <w:szCs w:val="32"/>
          <w:highlight w:val="none"/>
        </w:rPr>
        <w:t xml:space="preserve">  </w:t>
      </w:r>
      <w:r>
        <w:rPr>
          <w:rFonts w:hint="eastAsia" w:ascii="仿宋_GB2312" w:eastAsia="仿宋_GB2312"/>
          <w:b/>
          <w:bCs/>
          <w:sz w:val="32"/>
          <w:szCs w:val="32"/>
          <w:highlight w:val="none"/>
        </w:rPr>
        <w:t>（</w:t>
      </w:r>
      <w:r>
        <w:rPr>
          <w:rFonts w:hint="eastAsia" w:ascii="仿宋_GB2312" w:eastAsia="仿宋_GB2312"/>
          <w:sz w:val="32"/>
          <w:szCs w:val="32"/>
          <w:highlight w:val="none"/>
        </w:rPr>
        <w:t>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全国各地工商社团及工商经济界人士联系和友谊，促进经济、技术和贸易合作的发展，协助引进资金、技术、项目和人才。</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 xml:space="preserve">年度本部门决算汇编范围的独立核算单位（以下简称“单位”）共 </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 xml:space="preserve"> 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791"/>
        <w:gridCol w:w="2039"/>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791"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039"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791" w:type="dxa"/>
            <w:vAlign w:val="top"/>
          </w:tcPr>
          <w:p>
            <w:pPr>
              <w:spacing w:line="560" w:lineRule="exact"/>
              <w:rPr>
                <w:rFonts w:ascii="仿宋_GB2312" w:hAnsi="Calibri" w:eastAsia="仿宋_GB2312" w:cs="Arial Black"/>
                <w:kern w:val="0"/>
                <w:sz w:val="28"/>
                <w:szCs w:val="28"/>
              </w:rPr>
            </w:pPr>
            <w:r>
              <w:rPr>
                <w:rFonts w:hint="eastAsia" w:ascii="仿宋_GB2312" w:hAnsi="Cambria" w:eastAsia="仿宋_GB2312" w:cs="ArialUnicodeMS"/>
                <w:kern w:val="0"/>
                <w:sz w:val="28"/>
                <w:szCs w:val="28"/>
                <w:highlight w:val="none"/>
              </w:rPr>
              <w:t>保定市满城区工商业联合会</w:t>
            </w:r>
          </w:p>
        </w:tc>
        <w:tc>
          <w:tcPr>
            <w:tcW w:w="2039" w:type="dxa"/>
            <w:vAlign w:val="top"/>
          </w:tcPr>
          <w:p>
            <w:pPr>
              <w:spacing w:line="560" w:lineRule="exact"/>
              <w:jc w:val="center"/>
              <w:rPr>
                <w:rFonts w:ascii="仿宋_GB2312" w:hAnsi="Calibri" w:eastAsia="仿宋_GB2312" w:cs="Arial Black"/>
                <w:kern w:val="0"/>
                <w:sz w:val="28"/>
                <w:szCs w:val="28"/>
              </w:rPr>
            </w:pPr>
            <w:r>
              <w:rPr>
                <w:rFonts w:ascii="仿宋_GB2312" w:hAnsi="Calibri" w:eastAsia="仿宋_GB2312" w:cs="ArialUnicodeMS"/>
                <w:kern w:val="0"/>
                <w:sz w:val="28"/>
                <w:szCs w:val="28"/>
                <w:highlight w:val="none"/>
              </w:rPr>
              <w:t>行政单位</w:t>
            </w:r>
          </w:p>
        </w:tc>
        <w:tc>
          <w:tcPr>
            <w:tcW w:w="2622" w:type="dxa"/>
            <w:vAlign w:val="top"/>
          </w:tcPr>
          <w:p>
            <w:pPr>
              <w:spacing w:line="560" w:lineRule="exact"/>
              <w:jc w:val="center"/>
              <w:rPr>
                <w:rFonts w:ascii="仿宋_GB2312" w:hAnsi="Calibri" w:eastAsia="仿宋_GB2312" w:cs="Arial Black"/>
                <w:kern w:val="0"/>
                <w:sz w:val="28"/>
                <w:szCs w:val="28"/>
              </w:rPr>
            </w:pPr>
            <w:r>
              <w:rPr>
                <w:rFonts w:ascii="仿宋_GB2312" w:hAnsi="Calibri" w:eastAsia="仿宋_GB2312" w:cs="ArialUnicodeMS"/>
                <w:kern w:val="0"/>
                <w:sz w:val="28"/>
                <w:szCs w:val="28"/>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仿宋_GB2312" w:hAnsi="Times New Roman" w:eastAsia="仿宋_GB2312" w:cs="Wingdings"/>
          <w:sz w:val="32"/>
          <w:szCs w:val="32"/>
          <w:highlight w:val="yellow"/>
          <w:lang w:val="en-US" w:eastAsia="zh-CN"/>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万元。与2019年度决算相比，收支各减少</w:t>
      </w:r>
      <w:r>
        <w:rPr>
          <w:rFonts w:hint="eastAsia" w:ascii="仿宋_GB2312" w:hAnsi="Times New Roman" w:eastAsia="仿宋_GB2312" w:cs="Wingdings"/>
          <w:sz w:val="32"/>
          <w:szCs w:val="32"/>
          <w:lang w:val="en-US" w:eastAsia="zh-CN"/>
        </w:rPr>
        <w:t>21.53</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34.49</w:t>
      </w:r>
      <w:r>
        <w:rPr>
          <w:rFonts w:hint="eastAsia" w:ascii="仿宋_GB2312" w:hAnsi="Times New Roman" w:eastAsia="仿宋_GB2312" w:cs="Wingdings"/>
          <w:sz w:val="32"/>
          <w:szCs w:val="32"/>
        </w:rPr>
        <w:t>%，主要原因是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outlineLvl w:val="1"/>
        <w:rPr>
          <w:rFonts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hint="eastAsia"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万元,比2019年度减少</w:t>
      </w:r>
      <w:r>
        <w:rPr>
          <w:rFonts w:hint="eastAsia" w:ascii="仿宋_GB2312" w:hAnsi="Times New Roman" w:eastAsia="仿宋_GB2312" w:cs="Wingdings"/>
          <w:sz w:val="32"/>
          <w:szCs w:val="32"/>
          <w:lang w:val="en-US" w:eastAsia="zh-CN"/>
        </w:rPr>
        <w:t>21.53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34.49</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万元，减少</w:t>
      </w:r>
      <w:r>
        <w:rPr>
          <w:rFonts w:hint="eastAsia" w:ascii="仿宋_GB2312" w:hAnsi="Times New Roman" w:eastAsia="仿宋_GB2312" w:cs="Wingdings"/>
          <w:sz w:val="32"/>
          <w:szCs w:val="32"/>
          <w:lang w:val="en-US" w:eastAsia="zh-CN"/>
        </w:rPr>
        <w:t>21.53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34.49</w:t>
      </w:r>
      <w:r>
        <w:rPr>
          <w:rFonts w:hint="eastAsia" w:ascii="仿宋_GB2312" w:hAnsi="Times New Roman" w:eastAsia="仿宋_GB2312" w:cs="Wingdings"/>
          <w:sz w:val="32"/>
          <w:szCs w:val="32"/>
        </w:rPr>
        <w:t>%，主要是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36.77</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23.78</w:t>
      </w:r>
      <w:r>
        <w:rPr>
          <w:rFonts w:hint="eastAsia" w:ascii="仿宋_GB2312" w:hAnsi="Times New Roman" w:eastAsia="仿宋_GB2312" w:cs="Wingdings"/>
          <w:sz w:val="32"/>
          <w:szCs w:val="32"/>
        </w:rPr>
        <w:t>万元，决算数小于预算数主要原因是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23.78</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23.78</w:t>
      </w:r>
      <w:r>
        <w:rPr>
          <w:rFonts w:hint="eastAsia" w:ascii="仿宋_GB2312" w:hAnsi="Times New Roman" w:eastAsia="仿宋_GB2312" w:cs="Wingdings"/>
          <w:sz w:val="32"/>
          <w:szCs w:val="32"/>
        </w:rPr>
        <w:t>万元，决算数小于预算数主要原因是主要是</w:t>
      </w:r>
      <w:r>
        <w:rPr>
          <w:rFonts w:hint="eastAsia" w:ascii="仿宋_GB2312" w:hAnsi="仿宋_GB2312" w:eastAsia="仿宋_GB2312" w:cs="仿宋_GB2312"/>
          <w:kern w:val="2"/>
          <w:sz w:val="32"/>
          <w:szCs w:val="32"/>
        </w:rPr>
        <w:t>严格执行中央八项规定，</w:t>
      </w:r>
      <w:r>
        <w:rPr>
          <w:rFonts w:hint="eastAsia" w:ascii="仿宋_GB2312" w:hAnsi="仿宋_GB2312" w:eastAsia="仿宋_GB2312" w:cs="仿宋_GB2312"/>
          <w:kern w:val="2"/>
          <w:sz w:val="32"/>
          <w:szCs w:val="32"/>
          <w:lang w:val="en-US" w:eastAsia="zh-CN"/>
        </w:rPr>
        <w:t>厉行节约减少支出</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万元，主要用于以下方面比如：一般公共服务（类）支出</w:t>
      </w:r>
      <w:r>
        <w:rPr>
          <w:rFonts w:hint="eastAsia" w:ascii="仿宋_GB2312" w:hAnsi="Times New Roman" w:eastAsia="仿宋_GB2312" w:cs="Wingdings"/>
          <w:sz w:val="32"/>
          <w:szCs w:val="32"/>
          <w:lang w:val="en-US" w:eastAsia="zh-CN"/>
        </w:rPr>
        <w:t>28.21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68.99</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9.47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23.16</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w:t>
      </w:r>
      <w:r>
        <w:rPr>
          <w:rFonts w:hint="eastAsia" w:ascii="仿宋_GB2312" w:hAnsi="Times New Roman" w:eastAsia="仿宋_GB2312" w:cs="Wingdings"/>
          <w:sz w:val="32"/>
          <w:szCs w:val="32"/>
        </w:rPr>
        <w:t>（类）支出</w:t>
      </w:r>
      <w:r>
        <w:rPr>
          <w:rFonts w:hint="eastAsia" w:ascii="仿宋_GB2312" w:hAnsi="Times New Roman" w:eastAsia="仿宋_GB2312" w:cs="Wingdings"/>
          <w:sz w:val="32"/>
          <w:szCs w:val="32"/>
          <w:lang w:val="en-US" w:eastAsia="zh-CN"/>
        </w:rPr>
        <w:t>1.11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2.71</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2.10</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5.14</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lang w:eastAsia="zh-CN"/>
        </w:rPr>
        <w:drawing>
          <wp:anchor distT="0" distB="0" distL="114300" distR="114300" simplePos="0" relativeHeight="251666432" behindDoc="0" locked="0" layoutInCell="1" allowOverlap="1">
            <wp:simplePos x="0" y="0"/>
            <wp:positionH relativeFrom="column">
              <wp:posOffset>479425</wp:posOffset>
            </wp:positionH>
            <wp:positionV relativeFrom="paragraph">
              <wp:posOffset>304800</wp:posOffset>
            </wp:positionV>
            <wp:extent cx="5080000" cy="3810000"/>
            <wp:effectExtent l="4445" t="4445" r="20955"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40.89</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37.79</w:t>
      </w:r>
      <w:r>
        <w:rPr>
          <w:rFonts w:hint="eastAsia" w:ascii="仿宋_GB2312" w:hAnsi="Times New Roman" w:eastAsia="仿宋_GB2312" w:cs="Wingdings"/>
          <w:sz w:val="32"/>
          <w:szCs w:val="32"/>
        </w:rPr>
        <w:t xml:space="preserve">万元，主要包括基本工资、津贴补贴、奖金、、机关事业单位基本养老保险缴费、职业年金缴费、职工基本医疗保险缴费、住房公积金、其他工资福利支出、退休费；公用经费 </w:t>
      </w:r>
      <w:r>
        <w:rPr>
          <w:rFonts w:hint="eastAsia" w:ascii="仿宋_GB2312" w:hAnsi="Times New Roman" w:eastAsia="仿宋_GB2312" w:cs="Wingdings"/>
          <w:sz w:val="32"/>
          <w:szCs w:val="32"/>
          <w:lang w:val="en-US" w:eastAsia="zh-CN"/>
        </w:rPr>
        <w:t>3.10</w:t>
      </w:r>
      <w:r>
        <w:rPr>
          <w:rFonts w:hint="eastAsia" w:ascii="仿宋_GB2312" w:hAnsi="Times New Roman" w:eastAsia="仿宋_GB2312" w:cs="Wingdings"/>
          <w:sz w:val="32"/>
          <w:szCs w:val="32"/>
        </w:rPr>
        <w:t>万元，主要包括办公费、公务用车运行维护费。</w:t>
      </w:r>
    </w:p>
    <w:p>
      <w:pPr>
        <w:adjustRightInd w:val="0"/>
        <w:snapToGrid w:val="0"/>
        <w:spacing w:line="600" w:lineRule="exact"/>
        <w:ind w:firstLine="640" w:firstLineChars="200"/>
        <w:rPr>
          <w:rFonts w:hint="eastAsia"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2.50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2.50万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%,较预算</w:t>
      </w:r>
      <w:r>
        <w:rPr>
          <w:rFonts w:hint="eastAsia" w:ascii="仿宋_GB2312" w:hAnsi="Times New Roman" w:eastAsia="仿宋_GB2312" w:cs="Wingdings"/>
          <w:sz w:val="32"/>
          <w:szCs w:val="32"/>
          <w:lang w:eastAsia="zh-CN"/>
        </w:rPr>
        <w:t>持平</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全部用于公务用车运行维护</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1.08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76.01</w:t>
      </w:r>
      <w:r>
        <w:rPr>
          <w:rFonts w:hint="eastAsia" w:ascii="仿宋_GB2312" w:hAnsi="Times New Roman" w:eastAsia="仿宋_GB2312" w:cs="Wingdings"/>
          <w:sz w:val="32"/>
          <w:szCs w:val="32"/>
        </w:rPr>
        <w:t>%，主要是疫情原因车辆工作量增加。</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没有因公出国（境）支出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没有因公出国（境）支出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2.50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%,主要是疫情原因车辆工作量增加</w:t>
      </w:r>
      <w:r>
        <w:rPr>
          <w:rFonts w:hint="eastAsia" w:ascii="仿宋_GB2312" w:hAnsi="Times New Roman" w:eastAsia="仿宋_GB2312" w:cs="Wingdings"/>
          <w:sz w:val="32"/>
          <w:szCs w:val="32"/>
          <w:lang w:eastAsia="zh-CN"/>
        </w:rPr>
        <w:t>，全部用于公务用车运行维护</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1.08</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76.01</w:t>
      </w:r>
      <w:r>
        <w:rPr>
          <w:rFonts w:hint="eastAsia" w:ascii="仿宋_GB2312" w:hAnsi="Times New Roman" w:eastAsia="仿宋_GB2312" w:cs="Wingdings"/>
          <w:sz w:val="32"/>
          <w:szCs w:val="32"/>
        </w:rPr>
        <w:t>%,主要是疫情原因车辆工作量增加。</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%,主要是未发生‘公务用车购置’经费支出；较上年增加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%,主要是未发生‘公务用车购置’经费支出。</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,发生运行维护费支出2.50万元</w:t>
      </w:r>
      <w:r>
        <w:rPr>
          <w:rFonts w:hint="eastAsia" w:ascii="仿宋_GB2312" w:hAnsi="Times New Roman" w:eastAsia="仿宋_GB2312" w:cs="Wingdings"/>
          <w:sz w:val="32"/>
          <w:szCs w:val="32"/>
        </w:rPr>
        <w:t>。公车运行维护费支出较预算增加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%,主要是疫情原因车辆工作量增加</w:t>
      </w:r>
      <w:r>
        <w:rPr>
          <w:rFonts w:hint="eastAsia" w:ascii="仿宋_GB2312" w:hAnsi="Times New Roman" w:eastAsia="仿宋_GB2312" w:cs="Wingdings"/>
          <w:sz w:val="32"/>
          <w:szCs w:val="32"/>
          <w:lang w:eastAsia="zh-CN"/>
        </w:rPr>
        <w:t>，全部用于公务用车运行维护</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1.08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76.01</w:t>
      </w:r>
      <w:r>
        <w:rPr>
          <w:rFonts w:hint="eastAsia" w:ascii="仿宋_GB2312" w:hAnsi="Times New Roman" w:eastAsia="仿宋_GB2312" w:cs="Wingdings"/>
          <w:sz w:val="32"/>
          <w:szCs w:val="32"/>
        </w:rPr>
        <w:t>%，主要是疫情原因车辆工作量增加。</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本部门2020年</w:t>
      </w:r>
      <w:r>
        <w:rPr>
          <w:rFonts w:hint="eastAsia" w:ascii="仿宋_GB2312" w:hAnsi="仿宋_GB2312" w:eastAsia="仿宋_GB2312" w:cs="仿宋_GB2312"/>
          <w:b w:val="0"/>
          <w:bCs w:val="0"/>
          <w:sz w:val="32"/>
          <w:szCs w:val="32"/>
          <w:lang w:eastAsia="zh-CN"/>
        </w:rPr>
        <w:t>公务接待</w:t>
      </w:r>
      <w:r>
        <w:rPr>
          <w:rFonts w:hint="eastAsia" w:ascii="仿宋_GB2312" w:hAnsi="仿宋_GB2312" w:eastAsia="仿宋_GB2312" w:cs="仿宋_GB2312"/>
          <w:b w:val="0"/>
          <w:bCs w:val="0"/>
          <w:sz w:val="32"/>
          <w:szCs w:val="32"/>
        </w:rPr>
        <w:t>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未发生公务接待支出</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未发生公务接待支出</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highlight w:val="none"/>
        </w:rPr>
      </w:pPr>
      <w:r>
        <w:rPr>
          <w:rFonts w:hint="eastAsia" w:ascii="黑体" w:hAnsi="Times New Roman" w:eastAsia="黑体" w:cs="Times New Roman"/>
          <w:sz w:val="32"/>
          <w:szCs w:val="40"/>
          <w:highlight w:val="none"/>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（一）预算绩效管理工作开展情况。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firstLineChars="200"/>
        <w:rPr>
          <w:rFonts w:ascii="宋体" w:hAnsi="宋体" w:cs="宋体"/>
          <w:sz w:val="32"/>
          <w:szCs w:val="32"/>
        </w:rPr>
      </w:pPr>
      <w:r>
        <w:rPr>
          <w:rFonts w:hint="eastAsia" w:ascii="仿宋_GB2312" w:hAnsi="仿宋_GB2312" w:eastAsia="仿宋_GB2312" w:cs="仿宋_GB2312"/>
          <w:sz w:val="32"/>
          <w:szCs w:val="32"/>
        </w:rPr>
        <w:t>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本部门在今年部门决算公开中没有项目及项目绩效自评结果。</w:t>
      </w:r>
    </w:p>
    <w:p>
      <w:pPr>
        <w:adjustRightInd w:val="0"/>
        <w:snapToGrid w:val="0"/>
        <w:spacing w:line="60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（三）财政评价项目绩效评价结果</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3.10</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4.67</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60.10</w:t>
      </w:r>
      <w:r>
        <w:rPr>
          <w:rFonts w:hint="eastAsia" w:ascii="仿宋_GB2312" w:hAnsi="仿宋_GB2312" w:eastAsia="仿宋_GB2312" w:cs="仿宋_GB2312"/>
          <w:sz w:val="32"/>
          <w:szCs w:val="32"/>
        </w:rPr>
        <w:t>%。主要原因是压缩经费开支减少支出。</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keepNext/>
        <w:keepLines/>
        <w:snapToGrid w:val="0"/>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辆，比上年</w:t>
      </w:r>
      <w:r>
        <w:rPr>
          <w:rFonts w:hint="eastAsia" w:ascii="仿宋_GB2312" w:hAnsi="仿宋_GB2312" w:eastAsia="仿宋_GB2312" w:cs="仿宋_GB2312"/>
          <w:sz w:val="32"/>
          <w:szCs w:val="32"/>
          <w:lang w:eastAsia="zh-CN"/>
        </w:rPr>
        <w:t>相比持平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未发生公务用车变化</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无其他用车</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w:t>
      </w:r>
      <w:r>
        <w:rPr>
          <w:rFonts w:hint="eastAsia" w:ascii="仿宋_GB2312" w:hAnsi="仿宋_GB2312" w:eastAsia="仿宋_GB2312" w:cs="仿宋_GB2312"/>
          <w:sz w:val="32"/>
          <w:szCs w:val="32"/>
          <w:lang w:eastAsia="zh-CN"/>
        </w:rPr>
        <w:t>相比持平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无价值</w:t>
      </w:r>
      <w:r>
        <w:rPr>
          <w:rFonts w:hint="eastAsia" w:ascii="仿宋_GB2312" w:hAnsi="仿宋_GB2312" w:eastAsia="仿宋_GB2312" w:cs="仿宋_GB2312"/>
          <w:sz w:val="32"/>
          <w:szCs w:val="32"/>
          <w:lang w:val="en-US" w:eastAsia="zh-CN"/>
        </w:rPr>
        <w:t>50万元以上通用设备</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相比持平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无价值</w:t>
      </w:r>
      <w:r>
        <w:rPr>
          <w:rFonts w:hint="eastAsia" w:ascii="仿宋_GB2312" w:hAnsi="仿宋_GB2312" w:eastAsia="仿宋_GB2312" w:cs="仿宋_GB2312"/>
          <w:sz w:val="32"/>
          <w:szCs w:val="32"/>
          <w:lang w:val="en-US" w:eastAsia="zh-CN"/>
        </w:rPr>
        <w:t>100万元以上通用设备</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政府性基金预算、国有资金经营预算收</w:t>
      </w:r>
      <w:r>
        <w:rPr>
          <w:rFonts w:hint="eastAsia" w:ascii="仿宋_GB2312" w:hAnsi="仿宋_GB2312" w:eastAsia="仿宋_GB2312" w:cs="仿宋_GB2312"/>
          <w:sz w:val="32"/>
          <w:szCs w:val="32"/>
        </w:rPr>
        <w:t>支及结转结余情况，</w:t>
      </w:r>
      <w:r>
        <w:rPr>
          <w:rFonts w:hint="eastAsia" w:ascii="仿宋_GB2312" w:hAnsi="仿宋_GB2312" w:eastAsia="仿宋_GB2312" w:cs="仿宋_GB2312"/>
          <w:sz w:val="32"/>
          <w:szCs w:val="32"/>
          <w:highlight w:val="none"/>
        </w:rPr>
        <w:t>故政府性基金预算财政拨款收入支出决算表、国有资本经营预算财政拨款支出决算表以空表列示</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-1050925</wp:posOffset>
                </wp:positionH>
                <wp:positionV relativeFrom="paragraph">
                  <wp:posOffset>91440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75pt;margin-top:7.2pt;height:263.1pt;width:613.65pt;z-index:251660288;v-text-anchor:middle;mso-width-relative:page;mso-height-relative:page;" fillcolor="#7F7F7F [1612]" filled="t" stroked="t" coordsize="21600,21600" o:gfxdata="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eSub/ZAAAADAEAAA8A&#10;AAAAAAAAAQAgAAAAIgAAAGRycy9kb3ducmV2LnhtbFBLAQIUABQAAAAIAIdO4kDBnZ8JiAIAAEwF&#10;AAAOAAAAAAAAAAEAIAAAACgBAABkcnMvZTJvRG9jLnhtbFBLBQYAAAAABgAGAFkBAAAiBgAAAAA=&#10;">
                <v:fill type="pattern" on="t" color2="#FFFFFF [3212]" o:title="5%" focussize="0,0" r:id="rId11"/>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40.89</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28.21</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9.47</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1.11</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2.10</w:t>
            </w:r>
            <w:r>
              <w:rPr>
                <w:rFonts w:hint="eastAsia" w:ascii="宋体" w:hAnsi="宋体" w:eastAsia="宋体" w:cs="宋体"/>
                <w:color w:val="000000"/>
                <w:kern w:val="0"/>
                <w:sz w:val="18"/>
                <w:szCs w:val="18"/>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40.89</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40.89</w:t>
            </w:r>
          </w:p>
        </w:tc>
      </w:tr>
      <w:tr>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40.89</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40.89</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9792" w:type="dxa"/>
        <w:jc w:val="center"/>
        <w:tblLayout w:type="autofit"/>
        <w:tblCellMar>
          <w:top w:w="0" w:type="dxa"/>
          <w:left w:w="0" w:type="dxa"/>
          <w:bottom w:w="0" w:type="dxa"/>
          <w:right w:w="0" w:type="dxa"/>
        </w:tblCellMar>
      </w:tblPr>
      <w:tblGrid>
        <w:gridCol w:w="1033"/>
        <w:gridCol w:w="59"/>
        <w:gridCol w:w="59"/>
        <w:gridCol w:w="2270"/>
        <w:gridCol w:w="1682"/>
        <w:gridCol w:w="1682"/>
        <w:gridCol w:w="656"/>
        <w:gridCol w:w="656"/>
        <w:gridCol w:w="656"/>
        <w:gridCol w:w="656"/>
        <w:gridCol w:w="659"/>
      </w:tblGrid>
      <w:tr>
        <w:tblPrEx>
          <w:tblCellMar>
            <w:top w:w="0" w:type="dxa"/>
            <w:left w:w="0" w:type="dxa"/>
            <w:bottom w:w="0" w:type="dxa"/>
            <w:right w:w="0" w:type="dxa"/>
          </w:tblCellMar>
        </w:tblPrEx>
        <w:trPr>
          <w:trHeight w:val="670" w:hRule="atLeast"/>
          <w:jc w:val="center"/>
        </w:trPr>
        <w:tc>
          <w:tcPr>
            <w:tcW w:w="9792"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bookmarkStart w:id="0" w:name="_GoBack"/>
            <w:bookmarkEnd w:id="0"/>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82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8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40.89</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40.89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28.21</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28.21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20128</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28.21</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28.21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2012801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10.59</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2012802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17.62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17.62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9.47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9.47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2.38</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3.92</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3.17</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1.11</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1.11</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1.11</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18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864"/>
        <w:gridCol w:w="945"/>
        <w:gridCol w:w="1155"/>
        <w:gridCol w:w="878"/>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96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9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87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86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6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86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96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9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8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96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40.89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40.89</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28.21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28.21</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20128</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28.21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28.21</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2012801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10.59</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10.59</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2012802</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17.62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17.62</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9.47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9.47</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9.47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9.47</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2.38</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2.38</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3.92</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3.92</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2080506</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3.17</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3.17</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1.11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1.11</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1.11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1.11</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1.11</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1.11</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8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2176"/>
        <w:gridCol w:w="1848"/>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02"/>
              <w:gridCol w:w="615"/>
              <w:gridCol w:w="2475"/>
              <w:gridCol w:w="480"/>
              <w:gridCol w:w="641"/>
              <w:gridCol w:w="851"/>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02"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1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7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8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4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02"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61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7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80"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64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615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02"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61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7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8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64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0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61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7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8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64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40.89</w:t>
                  </w: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28.21</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28.21</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9.47</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9.47</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1.11</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1.11</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2.10</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2.10</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40.89</w:t>
                  </w: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40.89</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40.89</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0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0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40.89</w:t>
                  </w:r>
                </w:p>
              </w:tc>
              <w:tc>
                <w:tcPr>
                  <w:tcW w:w="247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64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40.89</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40.89</w:t>
                  </w:r>
                </w:p>
              </w:tc>
              <w:tc>
                <w:tcPr>
                  <w:tcW w:w="8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1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1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8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48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506"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217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84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7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84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7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84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rPr>
          <w:trHeight w:val="308" w:hRule="atLeast"/>
          <w:jc w:val="center"/>
        </w:trPr>
        <w:tc>
          <w:tcPr>
            <w:tcW w:w="348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48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40.89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40.89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28.21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28.21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20128</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民主党派及工商联事务</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28.21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28.21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2012801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10.59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10.59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2012802</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17.62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17.62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9.47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9.47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9.47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9.47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2.38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2.38</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3.92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3.92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2080506</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3.17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3.17</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1.11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1.11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1.11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1.11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1.11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1.11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22"/>
                <w:szCs w:val="22"/>
                <w:u w:val="none"/>
                <w:lang w:val="en-US" w:eastAsia="zh-CN" w:bidi="ar"/>
              </w:rPr>
              <w:t>2.10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35.41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14.12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0.60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7.78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3.92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37.79</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3.10</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2.50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2.50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2.50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2.50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2.50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2.50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rPr>
          <w:b/>
          <w:sz w:val="20"/>
          <w:szCs w:val="22"/>
          <w:highlight w:val="yellow"/>
        </w:rPr>
      </w:pPr>
      <w:r>
        <w:rPr>
          <w:rFonts w:hint="eastAsia" w:ascii="宋体" w:hAnsi="宋体" w:eastAsia="宋体" w:cs="宋体"/>
          <w:sz w:val="20"/>
          <w:szCs w:val="22"/>
        </w:rPr>
        <w:t>本部门本年度无相关收入（或支出、收支及结转结余等）情况，按要求空表列示。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rPr>
          <w:rFonts w:hint="eastAsia" w:ascii="宋体" w:hAnsi="宋体" w:eastAsia="宋体" w:cs="宋体"/>
        </w:rPr>
      </w:pPr>
      <w:r>
        <w:rPr>
          <w:rFonts w:hint="eastAsia" w:ascii="宋体" w:hAnsi="宋体" w:eastAsia="宋体" w:cs="宋体"/>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0E51A8"/>
    <w:rsid w:val="0018668E"/>
    <w:rsid w:val="001B73D2"/>
    <w:rsid w:val="001E62BF"/>
    <w:rsid w:val="00293E7B"/>
    <w:rsid w:val="002D1F4F"/>
    <w:rsid w:val="00366D90"/>
    <w:rsid w:val="003D678E"/>
    <w:rsid w:val="00801F66"/>
    <w:rsid w:val="009334BF"/>
    <w:rsid w:val="03A45F1B"/>
    <w:rsid w:val="058B71E0"/>
    <w:rsid w:val="0C35422C"/>
    <w:rsid w:val="0C6A7280"/>
    <w:rsid w:val="0E5E1717"/>
    <w:rsid w:val="0EA325C9"/>
    <w:rsid w:val="103842A2"/>
    <w:rsid w:val="182E6FD6"/>
    <w:rsid w:val="1AA26A15"/>
    <w:rsid w:val="1BCB41F1"/>
    <w:rsid w:val="1F3A01FC"/>
    <w:rsid w:val="1F433821"/>
    <w:rsid w:val="1FC07AA9"/>
    <w:rsid w:val="1FCD7DBA"/>
    <w:rsid w:val="249E7275"/>
    <w:rsid w:val="2FB96948"/>
    <w:rsid w:val="322E79BF"/>
    <w:rsid w:val="326629C4"/>
    <w:rsid w:val="3327616A"/>
    <w:rsid w:val="34C45458"/>
    <w:rsid w:val="35C83C42"/>
    <w:rsid w:val="360577AC"/>
    <w:rsid w:val="39B744B2"/>
    <w:rsid w:val="3FA162D8"/>
    <w:rsid w:val="40C84870"/>
    <w:rsid w:val="42595FED"/>
    <w:rsid w:val="45EF3FA2"/>
    <w:rsid w:val="47BA303C"/>
    <w:rsid w:val="4AC74B7E"/>
    <w:rsid w:val="4FCB559C"/>
    <w:rsid w:val="527B6E6F"/>
    <w:rsid w:val="53322DF6"/>
    <w:rsid w:val="5505584F"/>
    <w:rsid w:val="57883830"/>
    <w:rsid w:val="578D1FBA"/>
    <w:rsid w:val="59AD1241"/>
    <w:rsid w:val="5D0C63C4"/>
    <w:rsid w:val="5E8F190D"/>
    <w:rsid w:val="5F010D6A"/>
    <w:rsid w:val="64CF21C8"/>
    <w:rsid w:val="68BE5C10"/>
    <w:rsid w:val="6A73620E"/>
    <w:rsid w:val="6AB93B4F"/>
    <w:rsid w:val="6D8E1781"/>
    <w:rsid w:val="72981C52"/>
    <w:rsid w:val="73D824BD"/>
    <w:rsid w:val="750D23DB"/>
    <w:rsid w:val="76BC63DE"/>
    <w:rsid w:val="76E148EC"/>
    <w:rsid w:val="796C385E"/>
    <w:rsid w:val="7CB47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2.bmp"/><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62.42</c:v>
                </c:pt>
                <c:pt idx="1">
                  <c:v>40.89</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财政拨款支出决算结构（按功能分类）</a:t>
            </a:r>
          </a:p>
        </c:rich>
      </c:tx>
      <c:layout/>
      <c:overlay val="0"/>
      <c:spPr>
        <a:noFill/>
        <a:ln>
          <a:noFill/>
        </a:ln>
        <a:effectLst/>
      </c:spPr>
    </c:title>
    <c:autoTitleDeleted val="0"/>
    <c:plotArea>
      <c:layout>
        <c:manualLayout>
          <c:layoutTarget val="inner"/>
          <c:xMode val="edge"/>
          <c:yMode val="edge"/>
          <c:x val="0.027875"/>
          <c:y val="0.174666666666667"/>
          <c:w val="0.61525"/>
          <c:h val="0.820333333333333"/>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一般公共类服务（类）支出</c:v>
                </c:pt>
                <c:pt idx="1">
                  <c:v>社会保障和就业（类）支出</c:v>
                </c:pt>
                <c:pt idx="2">
                  <c:v>卫生健康（类）支出</c:v>
                </c:pt>
                <c:pt idx="3">
                  <c:v>住房保障（类）支出</c:v>
                </c:pt>
              </c:strCache>
            </c:strRef>
          </c:cat>
          <c:val>
            <c:numRef>
              <c:f>Sheet1!$B$2:$B$5</c:f>
              <c:numCache>
                <c:formatCode>0.00%</c:formatCode>
                <c:ptCount val="4"/>
                <c:pt idx="0">
                  <c:v>0.6899</c:v>
                </c:pt>
                <c:pt idx="1">
                  <c:v>0.2316</c:v>
                </c:pt>
                <c:pt idx="2">
                  <c:v>0.0271</c:v>
                </c:pt>
                <c:pt idx="3">
                  <c:v>0.0514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1</TotalTime>
  <ScaleCrop>false</ScaleCrop>
  <LinksUpToDate>false</LinksUpToDate>
  <CharactersWithSpaces>11585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2022-09-15T10:26:02Z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3784113ED4D54550A12B7FE94D2400D5</vt:lpwstr>
  </property>
</Properties>
</file>