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9264" behindDoc="0" locked="0" layoutInCell="1" allowOverlap="1">
            <wp:simplePos x="0" y="0"/>
            <wp:positionH relativeFrom="column">
              <wp:posOffset>-1050290</wp:posOffset>
            </wp:positionH>
            <wp:positionV relativeFrom="page">
              <wp:posOffset>-10795</wp:posOffset>
            </wp:positionV>
            <wp:extent cx="8774430" cy="10738485"/>
            <wp:effectExtent l="0" t="0" r="3810" b="5715"/>
            <wp:wrapNone/>
            <wp:docPr id="5" name="图片 5" descr="C:\Users\lenovo\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Desktop\图片1.png图片1"/>
                    <pic:cNvPicPr>
                      <a:picLocks noChangeAspect="1"/>
                    </pic:cNvPicPr>
                  </pic:nvPicPr>
                  <pic:blipFill>
                    <a:blip r:embed="rId13"/>
                    <a:stretch>
                      <a:fillRect/>
                    </a:stretch>
                  </pic:blipFill>
                  <pic:spPr>
                    <a:xfrm>
                      <a:off x="0" y="0"/>
                      <a:ext cx="8774430" cy="10738485"/>
                    </a:xfrm>
                    <a:prstGeom prst="rect">
                      <a:avLst/>
                    </a:prstGeom>
                  </pic:spPr>
                </pic:pic>
              </a:graphicData>
            </a:graphic>
          </wp:anchor>
        </w:drawing>
      </w:r>
      <w:r>
        <w:br w:type="page"/>
      </w:r>
    </w:p>
    <w:p>
      <w:pPr>
        <w:jc w:val="center"/>
        <w:rPr>
          <w:rFonts w:hint="eastAsia" w:ascii="黑体" w:hAnsi="黑体" w:eastAsia="黑体" w:cs="黑体"/>
          <w:sz w:val="72"/>
          <w:szCs w:val="96"/>
        </w:rPr>
      </w:pPr>
    </w:p>
    <w:p>
      <w:pPr>
        <w:jc w:val="center"/>
        <w:rPr>
          <w:rFonts w:ascii="黑体" w:hAnsi="黑体" w:eastAsia="黑体" w:cs="黑体"/>
          <w:sz w:val="72"/>
          <w:szCs w:val="96"/>
          <w:highlight w:val="yellow"/>
        </w:rPr>
      </w:pPr>
      <w:r>
        <w:rPr>
          <w:rFonts w:hint="eastAsia" w:ascii="黑体" w:hAnsi="黑体" w:eastAsia="黑体" w:cs="黑体"/>
          <w:sz w:val="72"/>
          <w:szCs w:val="96"/>
        </w:rPr>
        <w:t>满城区文化广电和旅游局</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rPr>
        <w:t>二〇二一年十月</w:t>
      </w:r>
    </w:p>
    <w:p>
      <w:pPr>
        <w:snapToGrid w:val="0"/>
        <w:jc w:val="center"/>
        <w:rPr>
          <w:rFonts w:ascii="楷体_GB2312" w:hAnsi="楷体_GB2312" w:eastAsia="楷体_GB2312" w:cs="楷体_GB2312"/>
          <w:color w:val="000000" w:themeColor="text1"/>
          <w:kern w:val="0"/>
          <w:sz w:val="40"/>
          <w:szCs w:val="40"/>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26" o:spid="_x0000_s1026" o:spt="202" type="#_x0000_t202" style="position:absolute;left:0pt;margin-left:-85.7pt;margin-top:80.7pt;height:263.1pt;width:613.65pt;z-index:251660288;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path/>
            <v:fill type="pattern" on="t" o:title="5%" focussize="0,0" r:id="rId14"/>
            <v:stroke weight="1pt" color="#A6A6A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p>
    <w:p/>
    <w:p/>
    <w:p/>
    <w:p/>
    <w:p/>
    <w:p/>
    <w:p/>
    <w:p/>
    <w:p/>
    <w:p/>
    <w:p/>
    <w:p/>
    <w:p/>
    <w:p/>
    <w:p/>
    <w:p/>
    <w:p/>
    <w:p/>
    <w:p/>
    <w:p/>
    <w:p/>
    <w:p/>
    <w:p/>
    <w:p/>
    <w:p/>
    <w:p/>
    <w:p/>
    <w:p/>
    <w:p/>
    <w:p/>
    <w:p/>
    <w:p/>
    <w:p/>
    <w:p>
      <w:r>
        <w:rPr>
          <w:rFonts w:hint="eastAsia" w:ascii="黑体" w:eastAsia="黑体" w:cs="黑体"/>
          <w:b/>
          <w:bCs/>
          <w:kern w:val="0"/>
          <w:sz w:val="32"/>
          <w:szCs w:val="32"/>
        </w:rPr>
        <w:t>一、部门职责</w:t>
      </w:r>
    </w:p>
    <w:p>
      <w:pPr>
        <w:widowControl/>
        <w:spacing w:line="540" w:lineRule="exact"/>
        <w:ind w:firstLine="640" w:firstLineChars="200"/>
        <w:rPr>
          <w:rFonts w:ascii="仿宋" w:hAnsi="仿宋" w:eastAsia="仿宋" w:cs="宋体"/>
          <w:kern w:val="0"/>
          <w:sz w:val="24"/>
        </w:rPr>
      </w:pPr>
      <w:r>
        <w:rPr>
          <w:rFonts w:hint="eastAsia" w:ascii="仿宋" w:hAnsi="仿宋" w:eastAsia="仿宋" w:cs="宋体"/>
          <w:kern w:val="0"/>
          <w:sz w:val="32"/>
          <w:szCs w:val="32"/>
        </w:rPr>
        <w:t>保定市满城区文化广电和旅游局为区政府工作部门，机构规格为正科级。根据满办字（2019）18号关于《保定市满城区文化广电和旅游局职能配置、内设机构和人员编制规定》的通知要求，保定市满城区文化广电和旅游局主要职责是：</w:t>
      </w:r>
    </w:p>
    <w:p>
      <w:pPr>
        <w:numPr>
          <w:ilvl w:val="0"/>
          <w:numId w:val="1"/>
        </w:num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贯彻落实党中央关于文化、广播电视、旅游和文物工作的方针政策和省委、市委、区委的决策部署，坚持和加强党对文化、广播电视、旅游和文物工作的集中统一领导。</w:t>
      </w:r>
    </w:p>
    <w:p>
      <w:pPr>
        <w:numPr>
          <w:ilvl w:val="0"/>
          <w:numId w:val="1"/>
        </w:num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拟定全区文化、广播电视、旅游、文物政策措施和规范性文件并组织实施，负责本部门依法行政工作。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（三）拟订全区文化和旅游事业、文化和旅游产业、广播电视领域事业、文物保护事业发展规划并组织实施，推进文化、广播电视、旅游、文物融合发展，推进文化、广播电视、旅游、文物领域体制机制改革。</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四）管理全区重大文化、广播电视和旅游活动，指导全区重点文化、诗词之乡、广播电视和旅游设施建设，组织满城文化、广播电视和旅游整体形象推广，促进文化产业和旅游产业对外合作和市场推广，制定全区文化、旅游市场开发营销战略并组织实施，指导、推进全域旅游。</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（五）指导、管理全区文艺事业。推动艺术创作生产，扶持体现社会主义核心价值观、具有导向性代表性示范性的文艺作品，推动全区各门类艺术、各艺术品种发展，推动中华优秀传统文化和满城文化传承发展。</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六）负责全区公共文化、广播电视、旅游事业发展。推进全区公共文化服务体系建设和旅游、文物公共服务体系建设，深入实施文化和旅游惠民工程，统筹推进全区基本公共文化、广播电视和旅游服务标准化、均等化。</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（七）指导、推进全区文化、广播电视和旅游科技创新发展，推进文化、广播电视和旅游行业信息化、标准化建设。</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八）组织实施广播电视节目评价工作。监督管理、审查广播电视和网络视听节目内容及质量，指导、监管广播电视广告播放。指导、监督实施行业技术标准，负责对广播电视节目传输覆盖、监测和安全播出监督管理，指导、推进应急广播体系建设。负责对全区各类广播电视机构进行业务指导和行业监管，会同有关部门对全区网络视听节目服务机构进行管理，推进广播电视与新媒体新技术新业态融合发展。  </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（九）负责全区非物质文化遗产保护，推动非物质文化遗产的传承、保护、普及、弘扬和振兴。</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统筹规划全区文化产业、广播电视产业、旅游产业、文物保护与利用及相关产业。组织实施文化、旅游和文物资源普查、挖掘、保护和开发利用工作，促进文化产业、广播电视产业、旅游产业、文物保护与利用及相关产业融合发展。</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（十一）指导全区文化、广播电视和旅游市场发展。对文化、广播电视和旅游市场经营进行行业监管，推进全区文化、广播电视和旅游行业信用体系建设，依法规范文化、广播电视和旅游市场。</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（十二）统筹全区文化、广播电视、旅游、文物综合执法，组织查处全区性、跨区域文化、广播电视、旅游、文物等市场违法行为，检查督办大案要案，维护市场秩序。</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三）指导和管理全区文物保护利用与考古工作。组织管理基本建设涉及文物的保护抢救、考古发掘和开发利用相关工作。协调、指导和监督全区文物安全工作，履行文物行政督察职责，协同相关部门负责历史文化遗迹申报和监督管理工作。指导和监督社会文物管理工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（十四）承担全区文化、广播电视和旅游行业安全综合协调和监督管理工作，负责全区文化、广播电视和旅游行业突发应急事件的处理工作。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（十五）负责管理全区文化、广播电视和旅游对外 及对港澳台合作、交流、宣传、推广工作。</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（十六）完成区委、区政府交办的其他任务。</w:t>
      </w: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p>
    <w:p>
      <w:pPr>
        <w:spacing w:line="500" w:lineRule="exact"/>
        <w:rPr>
          <w:rFonts w:ascii="仿宋" w:hAnsi="仿宋" w:eastAsia="仿宋" w:cs="仿宋"/>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  1个，具体情况如下：</w:t>
      </w:r>
    </w:p>
    <w:tbl>
      <w:tblPr>
        <w:tblStyle w:val="8"/>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ascii="仿宋_GB2312" w:hAnsi="Calibri" w:eastAsia="仿宋_GB2312" w:cs="Arial Black"/>
                <w:kern w:val="0"/>
                <w:sz w:val="28"/>
                <w:szCs w:val="28"/>
              </w:rPr>
            </w:pPr>
            <w:r>
              <w:rPr>
                <w:rFonts w:hint="eastAsia" w:ascii="宋体" w:hAnsi="宋体" w:cs="宋体"/>
                <w:kern w:val="0"/>
                <w:sz w:val="32"/>
                <w:szCs w:val="32"/>
              </w:rPr>
              <w:t>保定市满城区文化广电和旅游局</w:t>
            </w:r>
            <w:r>
              <w:rPr>
                <w:rFonts w:hint="eastAsia" w:ascii="仿宋_GB2312" w:hAnsi="Calibri" w:eastAsia="仿宋_GB2312" w:cs="Arial Black"/>
                <w:kern w:val="0"/>
                <w:sz w:val="28"/>
                <w:szCs w:val="28"/>
              </w:rPr>
              <w:t>(本级)</w:t>
            </w:r>
          </w:p>
        </w:tc>
        <w:tc>
          <w:tcPr>
            <w:tcW w:w="2404"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行政单位</w:t>
            </w:r>
          </w:p>
        </w:tc>
        <w:tc>
          <w:tcPr>
            <w:tcW w:w="2622"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w:pict>
          <v:shape id="_x0000_s1031" o:spid="_x0000_s1031" o:spt="202" type="#_x0000_t202" style="position:absolute;left:0pt;margin-left:-85.7pt;margin-top:238.15pt;height:173.25pt;width:613.65pt;z-index:25166233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文本框 15" o:spid="_x0000_s1030" o:spt="202" type="#_x0000_t202" style="position:absolute;left:0pt;margin-left:-80.95pt;margin-top:-207.65pt;height:263.1pt;width:613.65pt;z-index:251663360;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path/>
            <v:fill type="pattern" on="t" o:title="5%" focussize="0,0" r:id="rId14"/>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2020年部门决算情况说明</w:t>
                  </w:r>
                </w:p>
                <w:p>
                  <w:pPr>
                    <w:widowControl/>
                    <w:jc w:val="center"/>
                  </w:pPr>
                </w:p>
                <w:p/>
              </w:txbxContent>
            </v:textbox>
          </v:shape>
        </w:pic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spacing w:line="500" w:lineRule="exact"/>
        <w:ind w:firstLine="640" w:firstLineChars="200"/>
        <w:rPr>
          <w:rFonts w:ascii="宋体" w:cs="宋体"/>
          <w:b/>
          <w:szCs w:val="21"/>
        </w:rPr>
      </w:pPr>
      <w:r>
        <w:rPr>
          <w:rFonts w:hint="eastAsia" w:ascii="仿宋_GB2312" w:hAnsi="Times New Roman" w:eastAsia="仿宋_GB2312" w:cs="Wingdings"/>
          <w:sz w:val="32"/>
          <w:szCs w:val="32"/>
        </w:rPr>
        <w:t>本部门2020年度收、支总计（含结转和结余）5292.10万元。与2019年度决算相比，收支各减少4359.30万元，下降45.16%，主要原因是</w:t>
      </w:r>
      <w:r>
        <w:rPr>
          <w:rFonts w:hint="eastAsia" w:ascii="仿宋" w:hAnsi="仿宋" w:eastAsia="仿宋" w:cs="宋体"/>
          <w:sz w:val="32"/>
          <w:szCs w:val="32"/>
        </w:rPr>
        <w:t>专项资金减少。</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Wingdings"/>
          <w:sz w:val="32"/>
          <w:szCs w:val="32"/>
        </w:rPr>
        <w:t>本部门2020年度本年收入合计5292.10万元，其中：财政拨款收入5292.10万元，占100%；事业收入0万元，占0%；经营收入0万元，占0%；其他收入0万元，占0%。</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本部门2020年度本年支出合计5292.10万元，其中：基本支出</w:t>
      </w:r>
      <w:r>
        <w:rPr>
          <w:rFonts w:ascii="宋体" w:hAnsi="宋体" w:cs="宋体"/>
          <w:sz w:val="32"/>
          <w:szCs w:val="32"/>
        </w:rPr>
        <w:t>1212</w:t>
      </w:r>
      <w:r>
        <w:rPr>
          <w:rFonts w:hint="eastAsia" w:ascii="宋体" w:hAnsi="宋体" w:cs="宋体"/>
          <w:sz w:val="32"/>
          <w:szCs w:val="32"/>
        </w:rPr>
        <w:t>.</w:t>
      </w:r>
      <w:r>
        <w:rPr>
          <w:rFonts w:ascii="宋体" w:hAnsi="宋体" w:cs="宋体"/>
          <w:sz w:val="32"/>
          <w:szCs w:val="32"/>
        </w:rPr>
        <w:t>4</w:t>
      </w:r>
      <w:r>
        <w:rPr>
          <w:rFonts w:hint="eastAsia" w:ascii="宋体" w:hAnsi="宋体" w:cs="宋体"/>
          <w:sz w:val="32"/>
          <w:szCs w:val="32"/>
        </w:rPr>
        <w:t>2</w:t>
      </w:r>
      <w:r>
        <w:rPr>
          <w:rFonts w:hint="eastAsia" w:ascii="仿宋_GB2312" w:hAnsi="Times New Roman" w:eastAsia="仿宋_GB2312" w:cs="Wingdings"/>
          <w:sz w:val="32"/>
          <w:szCs w:val="32"/>
        </w:rPr>
        <w:t>万元，占22.91%；项目支出4079.68万元，占77.09%；经营支出0万元，占0%。</w:t>
      </w:r>
    </w:p>
    <w:p>
      <w:pPr>
        <w:keepNext/>
        <w:keepLines/>
        <w:snapToGrid w:val="0"/>
        <w:spacing w:line="600" w:lineRule="exact"/>
        <w:ind w:firstLine="627" w:firstLineChars="196"/>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本部门2020年度财政拨款收支均为一般公共预算财政拨款，其中本年收入5292.10万元,比2019年度减少4359.30万元，降低45.16%，主要是</w:t>
      </w:r>
      <w:r>
        <w:rPr>
          <w:rFonts w:hint="eastAsia" w:ascii="仿宋" w:hAnsi="仿宋" w:eastAsia="仿宋" w:cs="宋体"/>
          <w:sz w:val="32"/>
          <w:szCs w:val="32"/>
        </w:rPr>
        <w:t>专项资金减少</w:t>
      </w:r>
      <w:r>
        <w:rPr>
          <w:rFonts w:hint="eastAsia" w:ascii="仿宋_GB2312" w:hAnsi="Times New Roman" w:eastAsia="仿宋_GB2312" w:cs="Wingdings"/>
          <w:sz w:val="32"/>
          <w:szCs w:val="32"/>
        </w:rPr>
        <w:t>；本年支出5292.10万元，减少4359.30万元，降低45.16%，主要是</w:t>
      </w:r>
      <w:r>
        <w:rPr>
          <w:rFonts w:hint="eastAsia" w:ascii="仿宋" w:hAnsi="仿宋" w:eastAsia="仿宋" w:cs="宋体"/>
          <w:sz w:val="32"/>
          <w:szCs w:val="32"/>
        </w:rPr>
        <w:t>专项资金减少</w:t>
      </w:r>
      <w:r>
        <w:rPr>
          <w:rFonts w:hint="eastAsia" w:ascii="仿宋_GB2312" w:hAnsi="Times New Roman" w:eastAsia="仿宋_GB2312" w:cs="Wingdings"/>
          <w:sz w:val="32"/>
          <w:szCs w:val="32"/>
        </w:rPr>
        <w:t>。</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5292.10万元，完成年初预算的518.30%,比年初预算增加4271.08万元，决算数大于预算数主要原因是增加了专项资金的支出；本年支出5292.10万元，完成年初预算的518.30%,比年初预算增加4271.08万元</w:t>
      </w:r>
      <w:r>
        <w:rPr>
          <w:rFonts w:hint="eastAsia" w:ascii="仿宋" w:hAnsi="仿宋" w:eastAsia="仿宋" w:cs="Wingdings"/>
          <w:sz w:val="32"/>
          <w:szCs w:val="32"/>
        </w:rPr>
        <w:t>，决算数大于预算数主要原因是专项资金支出增加。</w:t>
      </w:r>
    </w:p>
    <w:p>
      <w:pPr>
        <w:numPr>
          <w:ilvl w:val="0"/>
          <w:numId w:val="2"/>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580" w:lineRule="exact"/>
        <w:ind w:firstLine="640" w:firstLineChars="200"/>
        <w:rPr>
          <w:rFonts w:ascii="仿宋" w:hAnsi="仿宋" w:eastAsia="仿宋" w:cs="DengXian-Regular"/>
          <w:sz w:val="32"/>
          <w:szCs w:val="32"/>
        </w:rPr>
      </w:pPr>
      <w:r>
        <w:rPr>
          <w:rFonts w:hint="eastAsia" w:ascii="仿宋_GB2312" w:hAnsi="Times New Roman" w:eastAsia="仿宋_GB2312" w:cs="Wingdings"/>
          <w:sz w:val="32"/>
          <w:szCs w:val="32"/>
        </w:rPr>
        <w:t>2020 年度财政拨款支出5292.10万元，主要用于以下方面</w:t>
      </w:r>
      <w:r>
        <w:rPr>
          <w:rFonts w:hint="eastAsia" w:ascii="仿宋" w:hAnsi="仿宋" w:eastAsia="仿宋" w:cs="DengXian-Regular"/>
          <w:sz w:val="32"/>
          <w:szCs w:val="32"/>
        </w:rPr>
        <w:t>文化旅游与传媒支出5083.64万元；占96.06%，社会保障和就业（类）支出127.05万元，占2.40</w:t>
      </w:r>
      <w:r>
        <w:rPr>
          <w:rFonts w:ascii="仿宋" w:hAnsi="仿宋" w:eastAsia="仿宋" w:cs="DengXian-Regular"/>
          <w:sz w:val="32"/>
          <w:szCs w:val="32"/>
        </w:rPr>
        <w:t>%</w:t>
      </w:r>
      <w:r>
        <w:rPr>
          <w:rFonts w:hint="eastAsia" w:ascii="仿宋" w:hAnsi="仿宋" w:eastAsia="仿宋" w:cs="DengXian-Regular"/>
          <w:sz w:val="32"/>
          <w:szCs w:val="32"/>
        </w:rPr>
        <w:t>；住房保障支出49.19万元，占0.93</w:t>
      </w:r>
      <w:r>
        <w:rPr>
          <w:rFonts w:ascii="仿宋" w:hAnsi="仿宋" w:eastAsia="仿宋" w:cs="DengXian-Regular"/>
          <w:sz w:val="32"/>
          <w:szCs w:val="32"/>
        </w:rPr>
        <w:t>%;</w:t>
      </w:r>
      <w:r>
        <w:rPr>
          <w:rFonts w:hint="eastAsia" w:ascii="仿宋" w:hAnsi="仿宋" w:eastAsia="仿宋" w:cs="DengXian-Regular"/>
          <w:sz w:val="32"/>
          <w:szCs w:val="32"/>
        </w:rPr>
        <w:t>卫生与健康支出32.22万元，占0.61%。</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年度财政拨款基本支出1212.42万元，其中：人员经费 1187.95万元，主要包括基本工资、津贴补贴、奖金、绩效工资、机关事业单位基本养老保险缴费、职业年金缴费、职工基本医疗保险缴费、住房公积金、其他工资福利支出、抚恤金；公用经费 24.46万元，主要包括办公费、印刷费、咨询费、水费、电费、邮电费、租赁费、公务用车运行维护费。</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本部门2020年度“三公”经费财政拨款支出预算为7.50万元，支出决算为6.80万元，完成预算的90.66%,较预算减少0.70万元，降低9.33%，</w:t>
      </w:r>
      <w:r>
        <w:rPr>
          <w:rFonts w:hint="eastAsia" w:ascii="仿宋" w:hAnsi="仿宋" w:eastAsia="仿宋" w:cs="Wingdings"/>
          <w:sz w:val="32"/>
          <w:szCs w:val="32"/>
        </w:rPr>
        <w:t>主要</w:t>
      </w:r>
      <w:r>
        <w:rPr>
          <w:rFonts w:hint="eastAsia" w:ascii="仿宋" w:hAnsi="仿宋" w:eastAsia="仿宋" w:cs="DengXian-Regular"/>
          <w:sz w:val="32"/>
          <w:szCs w:val="32"/>
        </w:rPr>
        <w:t>是</w:t>
      </w:r>
      <w:r>
        <w:rPr>
          <w:rFonts w:hint="eastAsia" w:ascii="仿宋" w:hAnsi="仿宋" w:eastAsia="仿宋" w:cs="楷体_GB2312"/>
          <w:sz w:val="32"/>
          <w:szCs w:val="32"/>
        </w:rPr>
        <w:t>厉行节约，压缩三公经费支出</w:t>
      </w:r>
      <w:r>
        <w:rPr>
          <w:rFonts w:hint="eastAsia" w:ascii="仿宋" w:hAnsi="仿宋" w:eastAsia="仿宋" w:cs="Wingdings"/>
          <w:sz w:val="32"/>
          <w:szCs w:val="32"/>
        </w:rPr>
        <w:t>；较2019年度增加0.22万元，增长3.23%，主要是旅游文化市场督查及</w:t>
      </w:r>
      <w:r>
        <w:rPr>
          <w:rFonts w:hint="eastAsia" w:ascii="仿宋_GB2312" w:hAnsi="Times New Roman" w:eastAsia="仿宋_GB2312" w:cs="Wingdings"/>
          <w:sz w:val="32"/>
          <w:szCs w:val="32"/>
        </w:rPr>
        <w:t>安全生产检查用车增加。</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本部门2020年因公出国（境）费支出0万元，较年初预算持平。</w:t>
      </w:r>
      <w:r>
        <w:rPr>
          <w:rFonts w:hint="eastAsia" w:ascii="仿宋_GB2312" w:hAnsi="Times New Roman" w:eastAsia="仿宋_GB2312" w:cs="Wingdings"/>
          <w:sz w:val="32"/>
          <w:szCs w:val="32"/>
        </w:rPr>
        <w:t>因公出国（境）团组0个、共0人、参加其他单位组织的因公出国（境）团组0个、共0人/无本单位组织的出国（境）团组。因公出国（境）费支出较预算持平主要是无因公出国费用；较上年持平，主要是无因公出国费用。</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本部门2020年公务用车购置及运行维护费支出6.80万元，完成预算的90.66%，</w:t>
      </w:r>
      <w:r>
        <w:rPr>
          <w:rFonts w:hint="eastAsia" w:ascii="仿宋_GB2312" w:hAnsi="Times New Roman" w:eastAsia="仿宋_GB2312" w:cs="Wingdings"/>
          <w:sz w:val="32"/>
          <w:szCs w:val="32"/>
        </w:rPr>
        <w:t>较预算减少0.70万元，降低9.33%,</w:t>
      </w:r>
      <w:r>
        <w:rPr>
          <w:rFonts w:hint="eastAsia" w:ascii="仿宋" w:hAnsi="仿宋" w:eastAsia="仿宋" w:cs="Wingdings"/>
          <w:sz w:val="32"/>
          <w:szCs w:val="32"/>
        </w:rPr>
        <w:t>主要是</w:t>
      </w:r>
      <w:r>
        <w:rPr>
          <w:rFonts w:hint="eastAsia" w:ascii="仿宋" w:hAnsi="仿宋" w:eastAsia="仿宋" w:cs="楷体_GB2312"/>
          <w:sz w:val="32"/>
          <w:szCs w:val="32"/>
        </w:rPr>
        <w:t>厉行节约，压缩三公经费支出</w:t>
      </w:r>
      <w:r>
        <w:rPr>
          <w:rFonts w:hint="eastAsia" w:ascii="仿宋" w:hAnsi="仿宋" w:eastAsia="仿宋" w:cs="Wingdings"/>
          <w:sz w:val="32"/>
          <w:szCs w:val="32"/>
        </w:rPr>
        <w:t>；</w:t>
      </w:r>
      <w:r>
        <w:rPr>
          <w:rFonts w:hint="eastAsia" w:ascii="仿宋_GB2312" w:hAnsi="Times New Roman" w:eastAsia="仿宋_GB2312" w:cs="Wingdings"/>
          <w:sz w:val="32"/>
          <w:szCs w:val="32"/>
        </w:rPr>
        <w:t>较上年增加0.22万元，增长3.34%，主要是旅游文化市场督查及安全生产检查用车增加，</w:t>
      </w:r>
      <w:r>
        <w:rPr>
          <w:rFonts w:hint="eastAsia" w:ascii="仿宋_GB2312" w:hAnsi="仿宋_GB2312" w:eastAsia="仿宋_GB2312" w:cs="仿宋_GB2312"/>
          <w:sz w:val="32"/>
          <w:szCs w:val="32"/>
        </w:rPr>
        <w:t>相应的公务用车费用增加。</w:t>
      </w:r>
      <w:r>
        <w:rPr>
          <w:rFonts w:hint="eastAsia" w:ascii="仿宋_GB2312" w:hAnsi="Times New Roman" w:eastAsia="仿宋_GB2312" w:cs="Mongolian Baiti"/>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本部门2020年度公务用车购置量0辆，发生“公务用车购置”经费支出0万元。未发生公务用车购置经费支出。较年初预算持平，叫上年决算持平。</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本部门2020年度单位公务用车保有量3辆,发生运行维护费支出6.80万元，。公车运行维护费支出较预算减少0.7万元，降低9.33%,</w:t>
      </w:r>
      <w:r>
        <w:rPr>
          <w:rFonts w:hint="eastAsia" w:ascii="仿宋" w:hAnsi="仿宋" w:eastAsia="仿宋" w:cs="Wingdings"/>
          <w:sz w:val="32"/>
          <w:szCs w:val="32"/>
        </w:rPr>
        <w:t>主要是</w:t>
      </w:r>
      <w:r>
        <w:rPr>
          <w:rFonts w:hint="eastAsia" w:ascii="仿宋" w:hAnsi="仿宋" w:eastAsia="仿宋" w:cs="楷体_GB2312"/>
          <w:sz w:val="32"/>
          <w:szCs w:val="32"/>
        </w:rPr>
        <w:t>厉行节约，压缩三公经费支出</w:t>
      </w:r>
      <w:r>
        <w:rPr>
          <w:rFonts w:hint="eastAsia" w:ascii="仿宋" w:hAnsi="仿宋" w:eastAsia="仿宋" w:cs="Wingdings"/>
          <w:sz w:val="32"/>
          <w:szCs w:val="32"/>
        </w:rPr>
        <w:t>；较上年增加0.22万元，增长3.23%，主要是旅</w:t>
      </w:r>
      <w:r>
        <w:rPr>
          <w:rFonts w:hint="eastAsia" w:ascii="仿宋_GB2312" w:hAnsi="Times New Roman" w:eastAsia="仿宋_GB2312" w:cs="Wingdings"/>
          <w:sz w:val="32"/>
          <w:szCs w:val="32"/>
        </w:rPr>
        <w:t>游文化市场督查及安全生产检查用车增加。</w:t>
      </w:r>
    </w:p>
    <w:p>
      <w:pPr>
        <w:numPr>
          <w:ilvl w:val="0"/>
          <w:numId w:val="3"/>
        </w:num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公务接待费。</w:t>
      </w:r>
      <w:r>
        <w:rPr>
          <w:rFonts w:hint="eastAsia" w:ascii="仿宋_GB2312" w:hAnsi="仿宋_GB2312" w:eastAsia="仿宋_GB2312" w:cs="仿宋_GB2312"/>
          <w:sz w:val="32"/>
          <w:szCs w:val="32"/>
        </w:rPr>
        <w:t>本部门2020年公务接待费支出0万元，与年初预算持平。发生</w:t>
      </w:r>
      <w:r>
        <w:rPr>
          <w:rFonts w:hint="eastAsia" w:ascii="仿宋_GB2312" w:hAnsi="Times New Roman" w:eastAsia="仿宋_GB2312" w:cs="Wingdings"/>
          <w:sz w:val="32"/>
          <w:szCs w:val="32"/>
        </w:rPr>
        <w:t>公务接待共0批次、0人次。较上年度决算持平，主要是未发生公务接待费用。</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ind w:firstLine="640" w:firstLineChars="200"/>
        <w:jc w:val="left"/>
        <w:rPr>
          <w:rFonts w:ascii="仿宋" w:hAnsi="仿宋" w:eastAsia="仿宋" w:cs="楷体_GB2312"/>
          <w:color w:val="000000"/>
          <w:sz w:val="32"/>
          <w:szCs w:val="32"/>
        </w:rPr>
      </w:pPr>
      <w:r>
        <w:rPr>
          <w:rFonts w:hint="eastAsia" w:ascii="仿宋_GB2312" w:hAnsi="仿宋_GB2312" w:eastAsia="仿宋_GB2312" w:cs="仿宋_GB2312"/>
          <w:sz w:val="32"/>
          <w:szCs w:val="32"/>
        </w:rPr>
        <w:t>根据预算绩效管理要求，本部门组织对2020年度项目支出全面开展绩效自评，其中，二级项目2个，共涉及资金127.06万元，组织对2020年中央补助地方美术馆、公共图书馆、文化馆（站）免费开放补助资金及2020年中央补助地方公共文化服务体系建设专项资金开展了部门评价，涉及一般公共预算支出127.06万元。</w:t>
      </w:r>
      <w:r>
        <w:rPr>
          <w:rFonts w:hint="eastAsia" w:ascii="仿宋" w:hAnsi="仿宋" w:eastAsia="仿宋" w:cs="楷体_GB2312"/>
          <w:color w:val="000000"/>
          <w:sz w:val="32"/>
          <w:szCs w:val="32"/>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pStyle w:val="1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本部门在今年部门决算公开中反映2020年中央补助地方美术馆、公共图书馆、文化馆（站）免费开放补助资金及2020年中央补助地方公共文化服务体系建设专项资金等2个项目绩效自评结果。</w:t>
      </w:r>
    </w:p>
    <w:p>
      <w:pPr>
        <w:pStyle w:val="10"/>
        <w:ind w:firstLine="640" w:firstLineChars="200"/>
        <w:rPr>
          <w:rFonts w:ascii="仿宋" w:hAnsi="仿宋" w:eastAsia="仿宋" w:cs="仿宋_GB2312"/>
          <w:sz w:val="32"/>
          <w:szCs w:val="32"/>
          <w:lang w:eastAsia="zh-CN"/>
        </w:rPr>
      </w:pPr>
      <w:r>
        <w:rPr>
          <w:rFonts w:hint="eastAsia" w:ascii="仿宋" w:hAnsi="仿宋" w:eastAsia="仿宋" w:cs="仿宋_GB2312"/>
          <w:sz w:val="32"/>
          <w:szCs w:val="32"/>
        </w:rPr>
        <w:t>绩效自评表附后</w:t>
      </w:r>
      <w:r>
        <w:rPr>
          <w:rFonts w:hint="eastAsia" w:ascii="仿宋" w:hAnsi="仿宋" w:eastAsia="仿宋" w:cs="仿宋_GB2312"/>
          <w:sz w:val="32"/>
          <w:szCs w:val="32"/>
          <w:lang w:eastAsia="zh-CN"/>
        </w:rPr>
        <w:t>：</w:t>
      </w:r>
    </w:p>
    <w:p>
      <w:pPr>
        <w:jc w:val="center"/>
        <w:rPr>
          <w:rFonts w:hint="eastAsia" w:ascii="仿宋" w:hAnsi="仿宋" w:eastAsia="仿宋"/>
          <w:sz w:val="44"/>
          <w:szCs w:val="44"/>
        </w:rPr>
      </w:pPr>
      <w:r>
        <w:rPr>
          <w:rFonts w:hint="eastAsia" w:ascii="仿宋" w:hAnsi="仿宋" w:eastAsia="仿宋"/>
          <w:sz w:val="44"/>
          <w:szCs w:val="44"/>
        </w:rPr>
        <w:t>2020年中央补助地方公共图书馆、文化馆（站）免费开放补助资金绩效自评表</w:t>
      </w:r>
    </w:p>
    <w:p>
      <w:pPr>
        <w:jc w:val="center"/>
        <w:rPr>
          <w:rFonts w:ascii="仿宋" w:hAnsi="仿宋" w:eastAsia="仿宋"/>
          <w:sz w:val="44"/>
          <w:szCs w:val="44"/>
        </w:rPr>
      </w:pPr>
    </w:p>
    <w:tbl>
      <w:tblPr>
        <w:tblStyle w:val="8"/>
        <w:tblW w:w="8931"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0"/>
        <w:gridCol w:w="788"/>
        <w:gridCol w:w="426"/>
        <w:gridCol w:w="283"/>
        <w:gridCol w:w="2268"/>
        <w:gridCol w:w="851"/>
        <w:gridCol w:w="1559"/>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4" w:type="dxa"/>
            <w:gridSpan w:val="3"/>
            <w:vAlign w:val="center"/>
          </w:tcPr>
          <w:p>
            <w:pPr>
              <w:jc w:val="center"/>
            </w:pPr>
            <w:r>
              <w:t>专项名称</w:t>
            </w:r>
          </w:p>
        </w:tc>
        <w:tc>
          <w:tcPr>
            <w:tcW w:w="7087" w:type="dxa"/>
            <w:gridSpan w:val="5"/>
            <w:vAlign w:val="center"/>
          </w:tcPr>
          <w:p>
            <w:pPr>
              <w:jc w:val="center"/>
            </w:pPr>
            <w:r>
              <w:rPr>
                <w:rFonts w:hint="eastAsia"/>
              </w:rPr>
              <w:t>2020年中央补助地方公共图书馆、文化馆（站）免费开放补助资金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4" w:type="dxa"/>
            <w:gridSpan w:val="3"/>
            <w:vAlign w:val="center"/>
          </w:tcPr>
          <w:p>
            <w:pPr>
              <w:jc w:val="center"/>
            </w:pPr>
            <w:r>
              <w:t>中央主管部门</w:t>
            </w:r>
          </w:p>
        </w:tc>
        <w:tc>
          <w:tcPr>
            <w:tcW w:w="2551" w:type="dxa"/>
            <w:gridSpan w:val="2"/>
            <w:vAlign w:val="center"/>
          </w:tcPr>
          <w:p>
            <w:pPr>
              <w:jc w:val="center"/>
            </w:pPr>
            <w:r>
              <w:t>文化和旅游部</w:t>
            </w:r>
          </w:p>
        </w:tc>
        <w:tc>
          <w:tcPr>
            <w:tcW w:w="2410" w:type="dxa"/>
            <w:gridSpan w:val="2"/>
            <w:vAlign w:val="center"/>
          </w:tcPr>
          <w:p>
            <w:pPr>
              <w:jc w:val="center"/>
            </w:pPr>
            <w:r>
              <w:t>省级财政部门</w:t>
            </w:r>
          </w:p>
        </w:tc>
        <w:tc>
          <w:tcPr>
            <w:tcW w:w="2126" w:type="dxa"/>
            <w:vAlign w:val="center"/>
          </w:tcPr>
          <w:p>
            <w:pPr>
              <w:jc w:val="center"/>
            </w:pPr>
            <w:r>
              <w:t>河北省财政厅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4" w:type="dxa"/>
            <w:gridSpan w:val="3"/>
            <w:vAlign w:val="center"/>
          </w:tcPr>
          <w:p>
            <w:pPr>
              <w:jc w:val="center"/>
            </w:pPr>
            <w:r>
              <w:t>省级主管部门</w:t>
            </w:r>
          </w:p>
        </w:tc>
        <w:tc>
          <w:tcPr>
            <w:tcW w:w="2551" w:type="dxa"/>
            <w:gridSpan w:val="2"/>
            <w:vAlign w:val="center"/>
          </w:tcPr>
          <w:p>
            <w:pPr>
              <w:jc w:val="center"/>
            </w:pPr>
            <w:r>
              <w:t>河北省文化和旅游厅</w:t>
            </w:r>
          </w:p>
        </w:tc>
        <w:tc>
          <w:tcPr>
            <w:tcW w:w="2410" w:type="dxa"/>
            <w:gridSpan w:val="2"/>
            <w:vAlign w:val="center"/>
          </w:tcPr>
          <w:p>
            <w:pPr>
              <w:jc w:val="center"/>
            </w:pPr>
            <w:r>
              <w:t>实施单位</w:t>
            </w:r>
          </w:p>
        </w:tc>
        <w:tc>
          <w:tcPr>
            <w:tcW w:w="2126" w:type="dxa"/>
            <w:vAlign w:val="center"/>
          </w:tcPr>
          <w:p>
            <w:pPr>
              <w:jc w:val="center"/>
            </w:pPr>
            <w:r>
              <w:t>保定市满城区文旅局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4" w:type="dxa"/>
            <w:gridSpan w:val="3"/>
            <w:vMerge w:val="restart"/>
            <w:vAlign w:val="center"/>
          </w:tcPr>
          <w:p>
            <w:pPr>
              <w:jc w:val="center"/>
            </w:pPr>
            <w:r>
              <w:t>资金情况（万元）</w:t>
            </w:r>
          </w:p>
        </w:tc>
        <w:tc>
          <w:tcPr>
            <w:tcW w:w="2551" w:type="dxa"/>
            <w:gridSpan w:val="2"/>
            <w:vAlign w:val="center"/>
          </w:tcPr>
          <w:p>
            <w:pPr>
              <w:jc w:val="center"/>
            </w:pPr>
            <w:r>
              <w:t>年度资金总额</w:t>
            </w:r>
          </w:p>
        </w:tc>
        <w:tc>
          <w:tcPr>
            <w:tcW w:w="4536" w:type="dxa"/>
            <w:gridSpan w:val="3"/>
            <w:vAlign w:val="center"/>
          </w:tcPr>
          <w:p>
            <w:pPr>
              <w:jc w:val="center"/>
            </w:pPr>
            <w:r>
              <w:rPr>
                <w:rFonts w:hint="eastAsia"/>
              </w:rPr>
              <w:t>47.5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4" w:type="dxa"/>
            <w:gridSpan w:val="3"/>
            <w:vMerge w:val="continue"/>
            <w:vAlign w:val="center"/>
          </w:tcPr>
          <w:p>
            <w:pPr>
              <w:jc w:val="center"/>
            </w:pPr>
          </w:p>
        </w:tc>
        <w:tc>
          <w:tcPr>
            <w:tcW w:w="2551" w:type="dxa"/>
            <w:gridSpan w:val="2"/>
            <w:vAlign w:val="center"/>
          </w:tcPr>
          <w:p>
            <w:pPr>
              <w:jc w:val="center"/>
            </w:pPr>
            <w:r>
              <w:t>其中：财政资金</w:t>
            </w:r>
          </w:p>
        </w:tc>
        <w:tc>
          <w:tcPr>
            <w:tcW w:w="4536" w:type="dxa"/>
            <w:gridSpan w:val="3"/>
            <w:vAlign w:val="center"/>
          </w:tcPr>
          <w:p>
            <w:pPr>
              <w:jc w:val="center"/>
            </w:pPr>
            <w:r>
              <w:rPr>
                <w:rFonts w:hint="eastAsia"/>
              </w:rPr>
              <w:t>47.5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1844" w:type="dxa"/>
            <w:gridSpan w:val="3"/>
            <w:vMerge w:val="continue"/>
            <w:vAlign w:val="center"/>
          </w:tcPr>
          <w:p>
            <w:pPr>
              <w:jc w:val="center"/>
            </w:pPr>
          </w:p>
        </w:tc>
        <w:tc>
          <w:tcPr>
            <w:tcW w:w="2551" w:type="dxa"/>
            <w:gridSpan w:val="2"/>
            <w:vAlign w:val="center"/>
          </w:tcPr>
          <w:p>
            <w:pPr>
              <w:jc w:val="center"/>
            </w:pPr>
            <w:r>
              <w:t>其他资金</w:t>
            </w:r>
          </w:p>
        </w:tc>
        <w:tc>
          <w:tcPr>
            <w:tcW w:w="4536" w:type="dxa"/>
            <w:gridSpan w:val="3"/>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trPr>
        <w:tc>
          <w:tcPr>
            <w:tcW w:w="630" w:type="dxa"/>
          </w:tcPr>
          <w:p>
            <w:r>
              <w:t>年度总体目标</w:t>
            </w:r>
          </w:p>
        </w:tc>
        <w:tc>
          <w:tcPr>
            <w:tcW w:w="8301" w:type="dxa"/>
            <w:gridSpan w:val="7"/>
          </w:tcPr>
          <w:p>
            <w:r>
              <w:t>保定市满城区图书馆、文化馆、乡镇文化站，全部免费向社会公众开展基本公共文化服务。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 w:type="dxa"/>
            <w:vMerge w:val="restart"/>
            <w:vAlign w:val="center"/>
          </w:tcPr>
          <w:p>
            <w:pPr>
              <w:jc w:val="center"/>
            </w:pPr>
            <w:r>
              <w:t>绩效指标</w:t>
            </w:r>
          </w:p>
        </w:tc>
        <w:tc>
          <w:tcPr>
            <w:tcW w:w="788" w:type="dxa"/>
            <w:vAlign w:val="center"/>
          </w:tcPr>
          <w:p>
            <w:pPr>
              <w:jc w:val="center"/>
            </w:pPr>
            <w:r>
              <w:t>一级指标</w:t>
            </w:r>
          </w:p>
        </w:tc>
        <w:tc>
          <w:tcPr>
            <w:tcW w:w="709" w:type="dxa"/>
            <w:gridSpan w:val="2"/>
            <w:vAlign w:val="center"/>
          </w:tcPr>
          <w:p>
            <w:pPr>
              <w:jc w:val="center"/>
            </w:pPr>
            <w:r>
              <w:t>二级指标</w:t>
            </w:r>
          </w:p>
        </w:tc>
        <w:tc>
          <w:tcPr>
            <w:tcW w:w="3119" w:type="dxa"/>
            <w:gridSpan w:val="2"/>
          </w:tcPr>
          <w:p>
            <w:r>
              <w:t>三级指标</w:t>
            </w:r>
          </w:p>
        </w:tc>
        <w:tc>
          <w:tcPr>
            <w:tcW w:w="3685" w:type="dxa"/>
            <w:gridSpan w:val="2"/>
          </w:tcPr>
          <w:p>
            <w: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 w:type="dxa"/>
            <w:vMerge w:val="continue"/>
            <w:vAlign w:val="center"/>
          </w:tcPr>
          <w:p>
            <w:pPr>
              <w:jc w:val="center"/>
            </w:pPr>
          </w:p>
        </w:tc>
        <w:tc>
          <w:tcPr>
            <w:tcW w:w="788" w:type="dxa"/>
            <w:vMerge w:val="restart"/>
            <w:vAlign w:val="center"/>
          </w:tcPr>
          <w:p>
            <w:pPr>
              <w:jc w:val="center"/>
            </w:pPr>
            <w:r>
              <w:t>产出指标</w:t>
            </w:r>
          </w:p>
        </w:tc>
        <w:tc>
          <w:tcPr>
            <w:tcW w:w="709" w:type="dxa"/>
            <w:gridSpan w:val="2"/>
            <w:vAlign w:val="center"/>
          </w:tcPr>
          <w:p>
            <w:pPr>
              <w:jc w:val="center"/>
            </w:pPr>
            <w:r>
              <w:t>数量指标</w:t>
            </w:r>
          </w:p>
        </w:tc>
        <w:tc>
          <w:tcPr>
            <w:tcW w:w="3119" w:type="dxa"/>
            <w:gridSpan w:val="2"/>
          </w:tcPr>
          <w:p>
            <w:r>
              <w:t>补助资金到位率</w:t>
            </w:r>
          </w:p>
        </w:tc>
        <w:tc>
          <w:tcPr>
            <w:tcW w:w="3685" w:type="dxa"/>
            <w:gridSpan w:val="2"/>
          </w:tcPr>
          <w:p>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 w:type="dxa"/>
            <w:vMerge w:val="continue"/>
            <w:vAlign w:val="center"/>
          </w:tcPr>
          <w:p>
            <w:pPr>
              <w:jc w:val="center"/>
            </w:pPr>
          </w:p>
        </w:tc>
        <w:tc>
          <w:tcPr>
            <w:tcW w:w="788" w:type="dxa"/>
            <w:vMerge w:val="continue"/>
            <w:vAlign w:val="center"/>
          </w:tcPr>
          <w:p>
            <w:pPr>
              <w:jc w:val="center"/>
            </w:pPr>
          </w:p>
        </w:tc>
        <w:tc>
          <w:tcPr>
            <w:tcW w:w="709" w:type="dxa"/>
            <w:gridSpan w:val="2"/>
            <w:vAlign w:val="center"/>
          </w:tcPr>
          <w:p>
            <w:pPr>
              <w:jc w:val="center"/>
            </w:pPr>
            <w:r>
              <w:t>质量指标</w:t>
            </w:r>
          </w:p>
        </w:tc>
        <w:tc>
          <w:tcPr>
            <w:tcW w:w="3119" w:type="dxa"/>
            <w:gridSpan w:val="2"/>
          </w:tcPr>
          <w:p>
            <w:r>
              <w:t>举办文化活动较上年增长率</w:t>
            </w:r>
          </w:p>
        </w:tc>
        <w:tc>
          <w:tcPr>
            <w:tcW w:w="3685" w:type="dxa"/>
            <w:gridSpan w:val="2"/>
          </w:tcPr>
          <w:p>
            <w:r>
              <w:rPr>
                <w:rFonts w:hint="eastAsia" w:asciiTheme="minorEastAsia" w:hAnsiTheme="minorEastAsia"/>
              </w:rPr>
              <w:t>≧</w:t>
            </w:r>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8" w:hRule="atLeast"/>
        </w:trPr>
        <w:tc>
          <w:tcPr>
            <w:tcW w:w="630" w:type="dxa"/>
            <w:vMerge w:val="continue"/>
            <w:vAlign w:val="center"/>
          </w:tcPr>
          <w:p>
            <w:pPr>
              <w:jc w:val="center"/>
            </w:pPr>
          </w:p>
        </w:tc>
        <w:tc>
          <w:tcPr>
            <w:tcW w:w="788" w:type="dxa"/>
            <w:vMerge w:val="restart"/>
            <w:vAlign w:val="center"/>
          </w:tcPr>
          <w:p>
            <w:pPr>
              <w:jc w:val="center"/>
            </w:pPr>
            <w:r>
              <w:t>效果指标</w:t>
            </w:r>
          </w:p>
        </w:tc>
        <w:tc>
          <w:tcPr>
            <w:tcW w:w="709" w:type="dxa"/>
            <w:gridSpan w:val="2"/>
            <w:vAlign w:val="center"/>
          </w:tcPr>
          <w:p>
            <w:pPr>
              <w:jc w:val="center"/>
            </w:pPr>
            <w:r>
              <w:t>可持续影响指标</w:t>
            </w:r>
          </w:p>
        </w:tc>
        <w:tc>
          <w:tcPr>
            <w:tcW w:w="3119" w:type="dxa"/>
            <w:gridSpan w:val="2"/>
          </w:tcPr>
          <w:p>
            <w:r>
              <w:t>免费开放文化场馆（站）正常运转</w:t>
            </w:r>
          </w:p>
        </w:tc>
        <w:tc>
          <w:tcPr>
            <w:tcW w:w="3685" w:type="dxa"/>
            <w:gridSpan w:val="2"/>
          </w:tcPr>
          <w:p>
            <w:r>
              <w:rPr>
                <w:rFonts w:hint="eastAsia" w:asciiTheme="minorEastAsia" w:hAnsiTheme="minorEastAsia"/>
              </w:rPr>
              <w:t>≧</w:t>
            </w:r>
            <w:r>
              <w:rPr>
                <w:rFonts w:hint="eastAsi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 w:type="dxa"/>
            <w:vMerge w:val="continue"/>
            <w:vAlign w:val="center"/>
          </w:tcPr>
          <w:p>
            <w:pPr>
              <w:jc w:val="center"/>
            </w:pPr>
          </w:p>
        </w:tc>
        <w:tc>
          <w:tcPr>
            <w:tcW w:w="788" w:type="dxa"/>
            <w:vMerge w:val="continue"/>
            <w:vAlign w:val="center"/>
          </w:tcPr>
          <w:p>
            <w:pPr>
              <w:jc w:val="center"/>
            </w:pPr>
          </w:p>
        </w:tc>
        <w:tc>
          <w:tcPr>
            <w:tcW w:w="709" w:type="dxa"/>
            <w:gridSpan w:val="2"/>
            <w:vAlign w:val="center"/>
          </w:tcPr>
          <w:p>
            <w:pPr>
              <w:jc w:val="center"/>
            </w:pPr>
            <w:r>
              <w:t>社会效益指标</w:t>
            </w:r>
          </w:p>
        </w:tc>
        <w:tc>
          <w:tcPr>
            <w:tcW w:w="3119" w:type="dxa"/>
            <w:gridSpan w:val="2"/>
          </w:tcPr>
          <w:p>
            <w:r>
              <w:t>免费开放服务水平稳步提升</w:t>
            </w:r>
          </w:p>
        </w:tc>
        <w:tc>
          <w:tcPr>
            <w:tcW w:w="3685" w:type="dxa"/>
            <w:gridSpan w:val="2"/>
          </w:tcPr>
          <w:p>
            <w: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0" w:hRule="atLeast"/>
        </w:trPr>
        <w:tc>
          <w:tcPr>
            <w:tcW w:w="630" w:type="dxa"/>
            <w:vMerge w:val="continue"/>
            <w:vAlign w:val="center"/>
          </w:tcPr>
          <w:p>
            <w:pPr>
              <w:jc w:val="center"/>
            </w:pPr>
          </w:p>
        </w:tc>
        <w:tc>
          <w:tcPr>
            <w:tcW w:w="788" w:type="dxa"/>
            <w:vAlign w:val="center"/>
          </w:tcPr>
          <w:p>
            <w:pPr>
              <w:jc w:val="center"/>
            </w:pPr>
            <w:r>
              <w:t>满意度指标</w:t>
            </w:r>
          </w:p>
        </w:tc>
        <w:tc>
          <w:tcPr>
            <w:tcW w:w="709" w:type="dxa"/>
            <w:gridSpan w:val="2"/>
            <w:vAlign w:val="center"/>
          </w:tcPr>
          <w:p>
            <w:pPr>
              <w:jc w:val="center"/>
            </w:pPr>
            <w:r>
              <w:t>服务对象满意度指标</w:t>
            </w:r>
          </w:p>
        </w:tc>
        <w:tc>
          <w:tcPr>
            <w:tcW w:w="3119" w:type="dxa"/>
            <w:gridSpan w:val="2"/>
          </w:tcPr>
          <w:p>
            <w:r>
              <w:t>受益群众对免费开放场馆（站）服务的满意度</w:t>
            </w:r>
          </w:p>
        </w:tc>
        <w:tc>
          <w:tcPr>
            <w:tcW w:w="3685" w:type="dxa"/>
            <w:gridSpan w:val="2"/>
          </w:tcPr>
          <w:p>
            <w:r>
              <w:t>满意度</w:t>
            </w:r>
            <w:r>
              <w:rPr>
                <w:rFonts w:hint="eastAsia" w:asciiTheme="minorEastAsia" w:hAnsiTheme="minorEastAsia"/>
              </w:rPr>
              <w:t>≧90%</w:t>
            </w:r>
          </w:p>
        </w:tc>
      </w:tr>
    </w:tbl>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2020年中央补助地方公共文化服务体系建设专项资金绩效自评表</w:t>
      </w:r>
    </w:p>
    <w:p>
      <w:pPr>
        <w:jc w:val="center"/>
        <w:rPr>
          <w:sz w:val="44"/>
          <w:szCs w:val="44"/>
        </w:rPr>
      </w:pPr>
    </w:p>
    <w:tbl>
      <w:tblPr>
        <w:tblStyle w:val="8"/>
        <w:tblW w:w="8931"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0"/>
        <w:gridCol w:w="788"/>
        <w:gridCol w:w="426"/>
        <w:gridCol w:w="283"/>
        <w:gridCol w:w="2268"/>
        <w:gridCol w:w="851"/>
        <w:gridCol w:w="1559"/>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4" w:type="dxa"/>
            <w:gridSpan w:val="3"/>
            <w:vAlign w:val="center"/>
          </w:tcPr>
          <w:p>
            <w:pPr>
              <w:jc w:val="center"/>
            </w:pPr>
            <w:r>
              <w:t>专项名称</w:t>
            </w:r>
          </w:p>
        </w:tc>
        <w:tc>
          <w:tcPr>
            <w:tcW w:w="7087" w:type="dxa"/>
            <w:gridSpan w:val="5"/>
            <w:vAlign w:val="center"/>
          </w:tcPr>
          <w:p>
            <w:pPr>
              <w:jc w:val="center"/>
            </w:pPr>
            <w:r>
              <w:rPr>
                <w:rFonts w:hint="eastAsia"/>
              </w:rPr>
              <w:t>2020年中央补助地方公共文化服务体系建设专项资金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4" w:type="dxa"/>
            <w:gridSpan w:val="3"/>
            <w:vAlign w:val="center"/>
          </w:tcPr>
          <w:p>
            <w:pPr>
              <w:jc w:val="center"/>
            </w:pPr>
            <w:r>
              <w:t>中央主管部门</w:t>
            </w:r>
          </w:p>
        </w:tc>
        <w:tc>
          <w:tcPr>
            <w:tcW w:w="2551" w:type="dxa"/>
            <w:gridSpan w:val="2"/>
            <w:vAlign w:val="center"/>
          </w:tcPr>
          <w:p>
            <w:pPr>
              <w:jc w:val="center"/>
            </w:pPr>
            <w:r>
              <w:t>文化和旅游部等</w:t>
            </w:r>
          </w:p>
        </w:tc>
        <w:tc>
          <w:tcPr>
            <w:tcW w:w="2410" w:type="dxa"/>
            <w:gridSpan w:val="2"/>
            <w:vAlign w:val="center"/>
          </w:tcPr>
          <w:p>
            <w:pPr>
              <w:jc w:val="center"/>
            </w:pPr>
            <w:r>
              <w:t>省级财政部门</w:t>
            </w:r>
          </w:p>
        </w:tc>
        <w:tc>
          <w:tcPr>
            <w:tcW w:w="2126" w:type="dxa"/>
            <w:vAlign w:val="center"/>
          </w:tcPr>
          <w:p>
            <w:pPr>
              <w:jc w:val="center"/>
            </w:pPr>
            <w:r>
              <w:t>河北省财政厅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4" w:type="dxa"/>
            <w:gridSpan w:val="3"/>
            <w:vAlign w:val="center"/>
          </w:tcPr>
          <w:p>
            <w:pPr>
              <w:jc w:val="center"/>
            </w:pPr>
            <w:r>
              <w:t>省级主管部门</w:t>
            </w:r>
          </w:p>
        </w:tc>
        <w:tc>
          <w:tcPr>
            <w:tcW w:w="2551" w:type="dxa"/>
            <w:gridSpan w:val="2"/>
            <w:vAlign w:val="center"/>
          </w:tcPr>
          <w:p>
            <w:pPr>
              <w:jc w:val="center"/>
            </w:pPr>
            <w:r>
              <w:t>河北省文化和旅游厅等</w:t>
            </w:r>
          </w:p>
        </w:tc>
        <w:tc>
          <w:tcPr>
            <w:tcW w:w="2410" w:type="dxa"/>
            <w:gridSpan w:val="2"/>
            <w:vAlign w:val="center"/>
          </w:tcPr>
          <w:p>
            <w:pPr>
              <w:jc w:val="center"/>
            </w:pPr>
            <w:r>
              <w:t>实施单位</w:t>
            </w:r>
          </w:p>
        </w:tc>
        <w:tc>
          <w:tcPr>
            <w:tcW w:w="2126" w:type="dxa"/>
            <w:vAlign w:val="center"/>
          </w:tcPr>
          <w:p>
            <w:pPr>
              <w:jc w:val="center"/>
            </w:pPr>
            <w:r>
              <w:t>保定市满城区文旅局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4" w:type="dxa"/>
            <w:gridSpan w:val="3"/>
            <w:vMerge w:val="restart"/>
            <w:vAlign w:val="center"/>
          </w:tcPr>
          <w:p>
            <w:pPr>
              <w:jc w:val="center"/>
            </w:pPr>
            <w:r>
              <w:t>资金情况（万元）</w:t>
            </w:r>
          </w:p>
        </w:tc>
        <w:tc>
          <w:tcPr>
            <w:tcW w:w="2551" w:type="dxa"/>
            <w:gridSpan w:val="2"/>
            <w:vAlign w:val="center"/>
          </w:tcPr>
          <w:p>
            <w:pPr>
              <w:jc w:val="center"/>
            </w:pPr>
            <w:r>
              <w:t>年度资金总额</w:t>
            </w:r>
          </w:p>
        </w:tc>
        <w:tc>
          <w:tcPr>
            <w:tcW w:w="4536" w:type="dxa"/>
            <w:gridSpan w:val="3"/>
            <w:vAlign w:val="center"/>
          </w:tcPr>
          <w:p>
            <w:pPr>
              <w:jc w:val="center"/>
            </w:pPr>
            <w:r>
              <w:rPr>
                <w:rFonts w:hint="eastAsia"/>
              </w:rPr>
              <w:t>79.56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4" w:type="dxa"/>
            <w:gridSpan w:val="3"/>
            <w:vMerge w:val="continue"/>
            <w:vAlign w:val="center"/>
          </w:tcPr>
          <w:p>
            <w:pPr>
              <w:jc w:val="center"/>
            </w:pPr>
          </w:p>
        </w:tc>
        <w:tc>
          <w:tcPr>
            <w:tcW w:w="2551" w:type="dxa"/>
            <w:gridSpan w:val="2"/>
            <w:vAlign w:val="center"/>
          </w:tcPr>
          <w:p>
            <w:pPr>
              <w:jc w:val="center"/>
            </w:pPr>
            <w:r>
              <w:t>其中：财政资金</w:t>
            </w:r>
          </w:p>
        </w:tc>
        <w:tc>
          <w:tcPr>
            <w:tcW w:w="4536" w:type="dxa"/>
            <w:gridSpan w:val="3"/>
            <w:vAlign w:val="center"/>
          </w:tcPr>
          <w:p>
            <w:pPr>
              <w:jc w:val="center"/>
            </w:pPr>
            <w:r>
              <w:rPr>
                <w:rFonts w:hint="eastAsia"/>
              </w:rPr>
              <w:t>79.56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1844" w:type="dxa"/>
            <w:gridSpan w:val="3"/>
            <w:vMerge w:val="continue"/>
            <w:vAlign w:val="center"/>
          </w:tcPr>
          <w:p>
            <w:pPr>
              <w:jc w:val="center"/>
            </w:pPr>
          </w:p>
        </w:tc>
        <w:tc>
          <w:tcPr>
            <w:tcW w:w="2551" w:type="dxa"/>
            <w:gridSpan w:val="2"/>
            <w:vAlign w:val="center"/>
          </w:tcPr>
          <w:p>
            <w:pPr>
              <w:jc w:val="center"/>
            </w:pPr>
            <w:r>
              <w:t>其他资金</w:t>
            </w:r>
          </w:p>
        </w:tc>
        <w:tc>
          <w:tcPr>
            <w:tcW w:w="4536" w:type="dxa"/>
            <w:gridSpan w:val="3"/>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trPr>
        <w:tc>
          <w:tcPr>
            <w:tcW w:w="630" w:type="dxa"/>
          </w:tcPr>
          <w:p>
            <w:r>
              <w:t>年度总体目标</w:t>
            </w:r>
          </w:p>
        </w:tc>
        <w:tc>
          <w:tcPr>
            <w:tcW w:w="8301" w:type="dxa"/>
            <w:gridSpan w:val="7"/>
          </w:tcPr>
          <w:p>
            <w:r>
              <w:t>引导和支持满城区提供基本文化服务项目，改善基础公共文化设施条件，加强基层公共文化服务人才建设，加快构建现代公共文化服务体系，促进基本公共文化服务标准化、均等化。保障广大群众基本文化权益。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 w:type="dxa"/>
            <w:vMerge w:val="restart"/>
            <w:vAlign w:val="center"/>
          </w:tcPr>
          <w:p>
            <w:pPr>
              <w:jc w:val="center"/>
            </w:pPr>
            <w:r>
              <w:t>绩效指标</w:t>
            </w:r>
          </w:p>
        </w:tc>
        <w:tc>
          <w:tcPr>
            <w:tcW w:w="788" w:type="dxa"/>
            <w:vAlign w:val="center"/>
          </w:tcPr>
          <w:p>
            <w:pPr>
              <w:jc w:val="center"/>
            </w:pPr>
            <w:r>
              <w:t>一级指标</w:t>
            </w:r>
          </w:p>
        </w:tc>
        <w:tc>
          <w:tcPr>
            <w:tcW w:w="709" w:type="dxa"/>
            <w:gridSpan w:val="2"/>
            <w:vAlign w:val="center"/>
          </w:tcPr>
          <w:p>
            <w:pPr>
              <w:jc w:val="center"/>
            </w:pPr>
            <w:r>
              <w:t>二级指标</w:t>
            </w:r>
          </w:p>
        </w:tc>
        <w:tc>
          <w:tcPr>
            <w:tcW w:w="3119" w:type="dxa"/>
            <w:gridSpan w:val="2"/>
          </w:tcPr>
          <w:p>
            <w:r>
              <w:t>三级指标</w:t>
            </w:r>
          </w:p>
        </w:tc>
        <w:tc>
          <w:tcPr>
            <w:tcW w:w="3685" w:type="dxa"/>
            <w:gridSpan w:val="2"/>
          </w:tcPr>
          <w:p>
            <w: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 w:type="dxa"/>
            <w:vMerge w:val="continue"/>
            <w:vAlign w:val="center"/>
          </w:tcPr>
          <w:p>
            <w:pPr>
              <w:jc w:val="center"/>
            </w:pPr>
          </w:p>
        </w:tc>
        <w:tc>
          <w:tcPr>
            <w:tcW w:w="788" w:type="dxa"/>
            <w:vMerge w:val="restart"/>
            <w:vAlign w:val="center"/>
          </w:tcPr>
          <w:p>
            <w:pPr>
              <w:jc w:val="center"/>
            </w:pPr>
            <w:r>
              <w:t>产出指标</w:t>
            </w:r>
          </w:p>
        </w:tc>
        <w:tc>
          <w:tcPr>
            <w:tcW w:w="709" w:type="dxa"/>
            <w:gridSpan w:val="2"/>
            <w:vAlign w:val="center"/>
          </w:tcPr>
          <w:p>
            <w:pPr>
              <w:jc w:val="center"/>
            </w:pPr>
            <w:r>
              <w:t>数量指标</w:t>
            </w:r>
          </w:p>
        </w:tc>
        <w:tc>
          <w:tcPr>
            <w:tcW w:w="3119" w:type="dxa"/>
            <w:gridSpan w:val="2"/>
          </w:tcPr>
          <w:p>
            <w:r>
              <w:t>平均每个农家书屋更新快种类</w:t>
            </w:r>
          </w:p>
        </w:tc>
        <w:tc>
          <w:tcPr>
            <w:tcW w:w="3685" w:type="dxa"/>
            <w:gridSpan w:val="2"/>
          </w:tcPr>
          <w:p>
            <w:r>
              <w:rPr>
                <w:rFonts w:hint="eastAsia"/>
              </w:rPr>
              <w:t>60种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 w:type="dxa"/>
            <w:vMerge w:val="continue"/>
            <w:vAlign w:val="center"/>
          </w:tcPr>
          <w:p>
            <w:pPr>
              <w:jc w:val="center"/>
            </w:pPr>
          </w:p>
        </w:tc>
        <w:tc>
          <w:tcPr>
            <w:tcW w:w="788" w:type="dxa"/>
            <w:vMerge w:val="continue"/>
            <w:vAlign w:val="center"/>
          </w:tcPr>
          <w:p>
            <w:pPr>
              <w:jc w:val="center"/>
            </w:pPr>
          </w:p>
        </w:tc>
        <w:tc>
          <w:tcPr>
            <w:tcW w:w="709" w:type="dxa"/>
            <w:gridSpan w:val="2"/>
            <w:vAlign w:val="center"/>
          </w:tcPr>
          <w:p>
            <w:pPr>
              <w:jc w:val="center"/>
            </w:pPr>
            <w:r>
              <w:t>质量指标</w:t>
            </w:r>
          </w:p>
        </w:tc>
        <w:tc>
          <w:tcPr>
            <w:tcW w:w="3119" w:type="dxa"/>
            <w:gridSpan w:val="2"/>
          </w:tcPr>
          <w:p>
            <w:r>
              <w:t>全年乡镇和村文化专兼职人员集中培训次数</w:t>
            </w:r>
          </w:p>
        </w:tc>
        <w:tc>
          <w:tcPr>
            <w:tcW w:w="3685" w:type="dxa"/>
            <w:gridSpan w:val="2"/>
          </w:tcPr>
          <w:p>
            <w:r>
              <w:rPr>
                <w:rFonts w:hint="eastAsia" w:asciiTheme="minorEastAsia" w:hAnsiTheme="minorEastAsia"/>
              </w:rPr>
              <w:t>10次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0" w:hRule="atLeast"/>
        </w:trPr>
        <w:tc>
          <w:tcPr>
            <w:tcW w:w="630" w:type="dxa"/>
            <w:vMerge w:val="continue"/>
            <w:vAlign w:val="center"/>
          </w:tcPr>
          <w:p>
            <w:pPr>
              <w:jc w:val="center"/>
            </w:pPr>
          </w:p>
        </w:tc>
        <w:tc>
          <w:tcPr>
            <w:tcW w:w="788" w:type="dxa"/>
            <w:vAlign w:val="center"/>
          </w:tcPr>
          <w:p>
            <w:pPr>
              <w:jc w:val="center"/>
            </w:pPr>
            <w:r>
              <w:t>效果指标</w:t>
            </w:r>
          </w:p>
        </w:tc>
        <w:tc>
          <w:tcPr>
            <w:tcW w:w="709" w:type="dxa"/>
            <w:gridSpan w:val="2"/>
            <w:vAlign w:val="center"/>
          </w:tcPr>
          <w:p>
            <w:pPr>
              <w:jc w:val="center"/>
            </w:pPr>
            <w:r>
              <w:t>社会效益指标</w:t>
            </w:r>
          </w:p>
        </w:tc>
        <w:tc>
          <w:tcPr>
            <w:tcW w:w="3119" w:type="dxa"/>
            <w:gridSpan w:val="2"/>
          </w:tcPr>
          <w:p>
            <w:r>
              <w:t>基本公共文化服务水平</w:t>
            </w:r>
          </w:p>
        </w:tc>
        <w:tc>
          <w:tcPr>
            <w:tcW w:w="3685" w:type="dxa"/>
            <w:gridSpan w:val="2"/>
          </w:tcPr>
          <w:p>
            <w:r>
              <w:t>稳步提升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0" w:hRule="atLeast"/>
        </w:trPr>
        <w:tc>
          <w:tcPr>
            <w:tcW w:w="630" w:type="dxa"/>
            <w:vMerge w:val="continue"/>
            <w:vAlign w:val="center"/>
          </w:tcPr>
          <w:p>
            <w:pPr>
              <w:jc w:val="center"/>
            </w:pPr>
          </w:p>
        </w:tc>
        <w:tc>
          <w:tcPr>
            <w:tcW w:w="788" w:type="dxa"/>
            <w:vAlign w:val="center"/>
          </w:tcPr>
          <w:p>
            <w:pPr>
              <w:jc w:val="center"/>
            </w:pPr>
            <w:r>
              <w:t>满意度指标</w:t>
            </w:r>
          </w:p>
        </w:tc>
        <w:tc>
          <w:tcPr>
            <w:tcW w:w="709" w:type="dxa"/>
            <w:gridSpan w:val="2"/>
            <w:vAlign w:val="center"/>
          </w:tcPr>
          <w:p>
            <w:pPr>
              <w:jc w:val="center"/>
            </w:pPr>
            <w:r>
              <w:t>服务对象满意度指标</w:t>
            </w:r>
          </w:p>
        </w:tc>
        <w:tc>
          <w:tcPr>
            <w:tcW w:w="3119" w:type="dxa"/>
            <w:gridSpan w:val="2"/>
          </w:tcPr>
          <w:p>
            <w:r>
              <w:t>群众对国家基本公共文化服务满意度</w:t>
            </w:r>
          </w:p>
        </w:tc>
        <w:tc>
          <w:tcPr>
            <w:tcW w:w="3685" w:type="dxa"/>
            <w:gridSpan w:val="2"/>
          </w:tcPr>
          <w:p>
            <w:r>
              <w:t>满意度</w:t>
            </w:r>
            <w:r>
              <w:rPr>
                <w:rFonts w:hint="eastAsia" w:asciiTheme="minorEastAsia" w:hAnsiTheme="minorEastAsia"/>
              </w:rPr>
              <w:t>≧90%</w:t>
            </w:r>
          </w:p>
        </w:tc>
      </w:tr>
    </w:tbl>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p>
    <w:p>
      <w:pPr>
        <w:pStyle w:val="6"/>
        <w:shd w:val="clear" w:color="auto" w:fill="FFFFFF"/>
        <w:spacing w:before="0" w:beforeAutospacing="0" w:after="240" w:afterAutospacing="0"/>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2020年中央补助地方美术馆、公共图书馆、文化馆（站）免费开放补助资金</w:t>
      </w:r>
      <w:r>
        <w:rPr>
          <w:rFonts w:hint="eastAsia" w:ascii="仿宋" w:hAnsi="仿宋" w:eastAsia="仿宋" w:cs="仿宋_GB2312"/>
          <w:sz w:val="32"/>
          <w:szCs w:val="32"/>
        </w:rPr>
        <w:t>全年预算数为</w:t>
      </w:r>
      <w:r>
        <w:rPr>
          <w:rFonts w:hint="eastAsia" w:ascii="仿宋_GB2312" w:hAnsi="仿宋_GB2312" w:eastAsia="仿宋_GB2312" w:cs="仿宋_GB2312"/>
          <w:sz w:val="32"/>
          <w:szCs w:val="32"/>
        </w:rPr>
        <w:t>47.5万元</w:t>
      </w:r>
      <w:r>
        <w:rPr>
          <w:rFonts w:hint="eastAsia" w:ascii="仿宋" w:hAnsi="仿宋" w:eastAsia="仿宋" w:cs="仿宋_GB2312"/>
          <w:sz w:val="32"/>
          <w:szCs w:val="32"/>
        </w:rPr>
        <w:t>，执行数为47.5万元，完成预算的100%；</w:t>
      </w:r>
      <w:r>
        <w:rPr>
          <w:rFonts w:hint="eastAsia" w:ascii="仿宋_GB2312" w:hAnsi="仿宋_GB2312" w:eastAsia="仿宋_GB2312" w:cs="仿宋_GB2312"/>
          <w:sz w:val="32"/>
          <w:szCs w:val="32"/>
        </w:rPr>
        <w:t>2020年中央补助地方公共文化服务体系建设专项资金</w:t>
      </w:r>
      <w:r>
        <w:rPr>
          <w:rFonts w:hint="eastAsia" w:ascii="仿宋" w:hAnsi="仿宋" w:eastAsia="仿宋" w:cs="仿宋_GB2312"/>
          <w:sz w:val="32"/>
          <w:szCs w:val="32"/>
        </w:rPr>
        <w:t>全年预算数为</w:t>
      </w:r>
      <w:r>
        <w:rPr>
          <w:rFonts w:hint="eastAsia" w:ascii="仿宋_GB2312" w:hAnsi="仿宋_GB2312" w:eastAsia="仿宋_GB2312" w:cs="仿宋_GB2312"/>
          <w:sz w:val="32"/>
          <w:szCs w:val="32"/>
        </w:rPr>
        <w:t>79.56万元</w:t>
      </w:r>
      <w:r>
        <w:rPr>
          <w:rFonts w:hint="eastAsia" w:ascii="仿宋" w:hAnsi="仿宋" w:eastAsia="仿宋" w:cs="仿宋_GB2312"/>
          <w:sz w:val="32"/>
          <w:szCs w:val="32"/>
        </w:rPr>
        <w:t>，执行数为64.26万元，完成预算的81.00%。</w:t>
      </w:r>
    </w:p>
    <w:p>
      <w:pPr>
        <w:pStyle w:val="6"/>
        <w:shd w:val="clear" w:color="auto" w:fill="FFFFFF"/>
        <w:spacing w:before="0" w:beforeAutospacing="0" w:after="240" w:afterAutospacing="0"/>
        <w:ind w:firstLine="640" w:firstLineChars="200"/>
        <w:rPr>
          <w:rFonts w:ascii="仿宋" w:hAnsi="仿宋" w:eastAsia="仿宋"/>
          <w:color w:val="333333"/>
          <w:spacing w:val="8"/>
          <w:sz w:val="32"/>
          <w:szCs w:val="32"/>
        </w:rPr>
      </w:pPr>
      <w:r>
        <w:rPr>
          <w:rFonts w:hint="eastAsia" w:ascii="仿宋" w:hAnsi="仿宋" w:eastAsia="仿宋" w:cs="仿宋_GB2312"/>
          <w:sz w:val="32"/>
          <w:szCs w:val="32"/>
        </w:rPr>
        <w:t>项目绩效目标完成情况：(</w:t>
      </w:r>
      <w:r>
        <w:rPr>
          <w:rFonts w:hint="eastAsia" w:ascii="仿宋" w:hAnsi="仿宋" w:eastAsia="仿宋"/>
          <w:color w:val="333333"/>
          <w:spacing w:val="8"/>
          <w:sz w:val="32"/>
          <w:szCs w:val="32"/>
        </w:rPr>
        <w:t>1).项目资金到位情况分析。2020年，县财政将127.06万资金下达到位，专项资金到位率100%。</w:t>
      </w:r>
    </w:p>
    <w:p>
      <w:pPr>
        <w:pStyle w:val="6"/>
        <w:shd w:val="clear" w:color="auto" w:fill="FFFFFF"/>
        <w:spacing w:before="0" w:beforeAutospacing="0" w:after="240" w:afterAutospacing="0"/>
        <w:ind w:firstLine="672" w:firstLineChars="200"/>
        <w:rPr>
          <w:rFonts w:ascii="仿宋" w:hAnsi="仿宋" w:eastAsia="仿宋"/>
          <w:color w:val="333333"/>
          <w:spacing w:val="8"/>
          <w:sz w:val="32"/>
          <w:szCs w:val="32"/>
        </w:rPr>
      </w:pPr>
      <w:r>
        <w:rPr>
          <w:rFonts w:hint="eastAsia" w:ascii="仿宋" w:hAnsi="仿宋" w:eastAsia="仿宋"/>
          <w:color w:val="333333"/>
          <w:spacing w:val="8"/>
          <w:sz w:val="32"/>
          <w:szCs w:val="32"/>
        </w:rPr>
        <w:t>项目资金执行情况分析。</w:t>
      </w:r>
    </w:p>
    <w:p>
      <w:pPr>
        <w:pStyle w:val="6"/>
        <w:shd w:val="clear" w:color="auto" w:fill="FFFFFF"/>
        <w:spacing w:before="0" w:beforeAutospacing="0" w:after="240" w:afterAutospacing="0"/>
        <w:ind w:firstLine="672" w:firstLineChars="200"/>
        <w:rPr>
          <w:rFonts w:ascii="仿宋" w:hAnsi="仿宋" w:eastAsia="仿宋"/>
          <w:color w:val="333333"/>
          <w:spacing w:val="8"/>
          <w:sz w:val="32"/>
          <w:szCs w:val="32"/>
        </w:rPr>
      </w:pPr>
      <w:r>
        <w:rPr>
          <w:rFonts w:hint="eastAsia" w:ascii="仿宋" w:hAnsi="仿宋" w:eastAsia="仿宋"/>
          <w:color w:val="333333"/>
          <w:spacing w:val="8"/>
          <w:sz w:val="32"/>
          <w:szCs w:val="32"/>
        </w:rPr>
        <w:t>上级资金到位后，县财政及时将资金下拨，专项资金高效运行,发挥资金使用效益，无截留、挪用项目资金行为。</w:t>
      </w:r>
      <w:r>
        <w:rPr>
          <w:rFonts w:hint="eastAsia" w:ascii="仿宋_GB2312" w:hAnsi="仿宋_GB2312" w:eastAsia="仿宋_GB2312" w:cs="仿宋_GB2312"/>
          <w:sz w:val="32"/>
          <w:szCs w:val="32"/>
        </w:rPr>
        <w:t>2020年中央补助地方</w:t>
      </w:r>
      <w:r>
        <w:rPr>
          <w:rFonts w:hint="eastAsia" w:ascii="仿宋" w:hAnsi="仿宋" w:eastAsia="仿宋"/>
          <w:color w:val="333333"/>
          <w:spacing w:val="8"/>
          <w:sz w:val="32"/>
          <w:szCs w:val="32"/>
        </w:rPr>
        <w:t>公共文化服务体系建设专项资金严格按照《中央补助地方公共文化服务体系建设专项资金管理暂行办法》(财教〔2015〕527号)规定，加强资金管理，提高资金使用效益，并按照《中共中央国务院关于全面实施预算绩效管理的意见》的要求,完善绩效目标管理，做好绩效运行监控个绩效评价，确保资金规范使用。</w:t>
      </w:r>
      <w:r>
        <w:rPr>
          <w:rFonts w:hint="eastAsia" w:ascii="仿宋" w:hAnsi="仿宋" w:eastAsia="仿宋"/>
          <w:color w:val="333333"/>
          <w:spacing w:val="8"/>
          <w:sz w:val="32"/>
          <w:szCs w:val="32"/>
          <w:shd w:val="clear" w:color="auto" w:fill="FFFFFF"/>
        </w:rPr>
        <w:t>通过公共文化服务体系建设的完善和提升，不断提高公共文化服务水平，营造了良好的农村文化活动氛围，保障了基层群众基本文化权益，群众满意度逐年提升。</w:t>
      </w:r>
    </w:p>
    <w:p>
      <w:pPr>
        <w:pStyle w:val="6"/>
        <w:shd w:val="clear" w:color="auto" w:fill="FFFFFF"/>
        <w:spacing w:before="0" w:beforeAutospacing="0" w:after="240" w:afterAutospacing="0"/>
        <w:ind w:firstLine="472" w:firstLineChars="147"/>
        <w:rPr>
          <w:rFonts w:ascii="仿宋" w:hAnsi="仿宋" w:eastAsia="仿宋"/>
          <w:color w:val="333333"/>
          <w:spacing w:val="8"/>
          <w:sz w:val="32"/>
          <w:szCs w:val="32"/>
          <w:shd w:val="clear" w:color="auto" w:fill="FFFFFF"/>
        </w:rPr>
      </w:pPr>
      <w:r>
        <w:rPr>
          <w:rFonts w:hint="eastAsia" w:ascii="楷体_GB2312" w:hAnsi="楷体_GB2312" w:eastAsia="楷体_GB2312" w:cs="楷体_GB2312"/>
          <w:b/>
          <w:bCs/>
          <w:sz w:val="32"/>
          <w:szCs w:val="32"/>
        </w:rPr>
        <w:t>（三）财政评价项目绩效评价结果</w:t>
      </w:r>
    </w:p>
    <w:p>
      <w:pPr>
        <w:pStyle w:val="6"/>
        <w:shd w:val="clear" w:color="auto" w:fill="FFFFFF"/>
        <w:spacing w:before="0" w:beforeAutospacing="0" w:after="240" w:afterAutospacing="0"/>
        <w:ind w:firstLine="672" w:firstLineChars="200"/>
        <w:rPr>
          <w:rFonts w:ascii="仿宋" w:hAnsi="仿宋" w:eastAsia="仿宋"/>
          <w:color w:val="333333"/>
          <w:spacing w:val="8"/>
          <w:sz w:val="32"/>
          <w:szCs w:val="32"/>
        </w:rPr>
      </w:pPr>
      <w:r>
        <w:rPr>
          <w:rFonts w:hint="eastAsia" w:ascii="仿宋" w:hAnsi="仿宋" w:eastAsia="仿宋"/>
          <w:color w:val="333333"/>
          <w:spacing w:val="8"/>
          <w:sz w:val="32"/>
          <w:szCs w:val="32"/>
        </w:rPr>
        <w:t>2020年度无财政评价项目绩效</w:t>
      </w:r>
    </w:p>
    <w:p>
      <w:pPr>
        <w:keepNext/>
        <w:keepLines/>
        <w:snapToGrid w:val="0"/>
        <w:spacing w:line="600" w:lineRule="exact"/>
        <w:ind w:firstLine="627" w:firstLineChars="196"/>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本部门2020年度机关运行经费支出6.80万元，比2019年度增加0.22万元，增长3.34%。主要原因是</w:t>
      </w:r>
      <w:r>
        <w:rPr>
          <w:rFonts w:hint="eastAsia" w:ascii="仿宋_GB2312" w:hAnsi="Times New Roman" w:eastAsia="仿宋_GB2312" w:cs="Wingdings"/>
          <w:sz w:val="32"/>
          <w:szCs w:val="32"/>
        </w:rPr>
        <w:t>旅游文化市场督查及安全生产检查用车增加</w:t>
      </w:r>
      <w:r>
        <w:rPr>
          <w:rFonts w:hint="eastAsia" w:ascii="仿宋_GB2312" w:hAnsi="仿宋_GB2312" w:eastAsia="仿宋_GB2312" w:cs="仿宋_GB2312"/>
          <w:sz w:val="32"/>
          <w:szCs w:val="32"/>
        </w:rPr>
        <w:t>，相应的公务用车费用增加</w:t>
      </w:r>
    </w:p>
    <w:p>
      <w:pPr>
        <w:keepNext/>
        <w:keepLines/>
        <w:numPr>
          <w:ilvl w:val="0"/>
          <w:numId w:val="4"/>
        </w:numPr>
        <w:snapToGrid w:val="0"/>
        <w:spacing w:line="600" w:lineRule="exact"/>
        <w:ind w:firstLine="643"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政府采购情况</w:t>
      </w:r>
    </w:p>
    <w:p>
      <w:pPr>
        <w:snapToGri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本部门2020年度政府采购支出总额47.80万元，从采购类型来看，</w:t>
      </w:r>
      <w:r>
        <w:rPr>
          <w:rFonts w:hint="eastAsia" w:ascii="仿宋_GB2312" w:hAnsi="仿宋_GB2312" w:eastAsia="仿宋_GB2312" w:cs="仿宋_GB2312"/>
          <w:color w:val="000000"/>
          <w:kern w:val="0"/>
          <w:sz w:val="32"/>
          <w:szCs w:val="32"/>
        </w:rPr>
        <w:t>政府采购货物支出0 万元、政府采购工程支出0万元、政府采购服务支出47.8万元。授予中小企业合同金47.80万元，占政府采购支出总额的100%，其中授予小微企业合同金额0万元，占政府采购支出总额的0%。</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 w:hAnsi="仿宋" w:eastAsia="仿宋" w:cs="DengXian-Regular"/>
          <w:sz w:val="32"/>
          <w:szCs w:val="32"/>
        </w:rPr>
      </w:pPr>
      <w:r>
        <w:rPr>
          <w:rFonts w:hint="eastAsia" w:ascii="仿宋_GB2312" w:hAnsi="仿宋_GB2312" w:eastAsia="仿宋_GB2312" w:cs="仿宋_GB2312"/>
          <w:sz w:val="32"/>
          <w:szCs w:val="32"/>
        </w:rPr>
        <w:t>截至2020年12月31日，本部门共有车辆3辆，主要是</w:t>
      </w:r>
      <w:r>
        <w:rPr>
          <w:rFonts w:hint="eastAsia" w:ascii="仿宋" w:hAnsi="仿宋" w:eastAsia="仿宋" w:cs="DengXian-Regular"/>
          <w:sz w:val="32"/>
          <w:szCs w:val="32"/>
        </w:rPr>
        <w:t>应急保障用车1辆，执法执勤用车2辆。</w:t>
      </w:r>
    </w:p>
    <w:p>
      <w:pPr>
        <w:adjustRightInd w:val="0"/>
        <w:snapToGrid w:val="0"/>
        <w:spacing w:line="600" w:lineRule="exact"/>
        <w:ind w:firstLine="640" w:firstLineChars="200"/>
        <w:rPr>
          <w:rFonts w:ascii="仿宋" w:hAnsi="仿宋" w:eastAsia="仿宋_GB2312" w:cs="DengXian-Regular"/>
          <w:sz w:val="32"/>
          <w:szCs w:val="32"/>
        </w:rPr>
      </w:pPr>
      <w:r>
        <w:rPr>
          <w:rFonts w:hint="eastAsia" w:ascii="仿宋_GB2312" w:hAnsi="仿宋_GB2312" w:eastAsia="仿宋_GB2312" w:cs="仿宋_GB2312"/>
          <w:sz w:val="32"/>
          <w:szCs w:val="32"/>
        </w:rPr>
        <w:t>单位价值50万元以上通用设备0台（套），与上年持平，单位价值100万元以上专用设备0台（套）与上年持平。</w:t>
      </w:r>
    </w:p>
    <w:p>
      <w:pPr>
        <w:keepNext/>
        <w:keepLines/>
        <w:snapToGrid w:val="0"/>
        <w:spacing w:line="600" w:lineRule="exact"/>
        <w:ind w:firstLine="640" w:firstLineChars="200"/>
        <w:outlineLvl w:val="2"/>
        <w:rPr>
          <w:rFonts w:ascii="黑体" w:hAnsi="黑体" w:eastAsia="黑体" w:cs="黑体"/>
          <w:b/>
          <w:sz w:val="32"/>
          <w:szCs w:val="32"/>
        </w:rPr>
      </w:pPr>
      <w:r>
        <w:rPr>
          <w:rFonts w:hint="eastAsia" w:ascii="黑体" w:hAnsi="黑体" w:eastAsia="黑体" w:cs="黑体"/>
          <w:sz w:val="32"/>
          <w:szCs w:val="32"/>
        </w:rPr>
        <w:t>十、其他需要说明的情况</w:t>
      </w:r>
    </w:p>
    <w:p>
      <w:pPr>
        <w:rPr>
          <w:rFonts w:ascii="仿宋" w:hAnsi="仿宋" w:eastAsia="仿宋" w:cs="DengXian-Regular"/>
          <w:sz w:val="32"/>
          <w:szCs w:val="32"/>
        </w:rPr>
      </w:pPr>
      <w:r>
        <w:rPr>
          <w:rFonts w:ascii="仿宋" w:hAnsi="仿宋" w:eastAsia="仿宋" w:cs="DengXian-Regular"/>
          <w:sz w:val="32"/>
          <w:szCs w:val="32"/>
        </w:rPr>
        <w:t xml:space="preserve">1. </w:t>
      </w:r>
      <w:r>
        <w:rPr>
          <w:rFonts w:hint="eastAsia" w:ascii="仿宋" w:hAnsi="仿宋" w:eastAsia="仿宋" w:cs="DengXian-Regular"/>
          <w:sz w:val="32"/>
          <w:szCs w:val="32"/>
        </w:rPr>
        <w:t>本部门</w:t>
      </w:r>
      <w:r>
        <w:rPr>
          <w:rFonts w:ascii="仿宋" w:hAnsi="仿宋" w:eastAsia="仿宋" w:cs="DengXian-Regular"/>
          <w:sz w:val="32"/>
          <w:szCs w:val="32"/>
        </w:rPr>
        <w:t>20</w:t>
      </w:r>
      <w:r>
        <w:rPr>
          <w:rFonts w:hint="eastAsia" w:ascii="仿宋" w:hAnsi="仿宋" w:eastAsia="仿宋" w:cs="DengXian-Regular"/>
          <w:sz w:val="32"/>
          <w:szCs w:val="32"/>
        </w:rPr>
        <w:t>20年度未发生政府性基金预算财政拨款、国有资本经营预算财政拨款收支及结转结余情况，故</w:t>
      </w:r>
      <w:r>
        <w:rPr>
          <w:rFonts w:hint="eastAsia" w:ascii="仿宋" w:hAnsi="仿宋" w:eastAsia="仿宋" w:cs="DengXian-Regular"/>
          <w:sz w:val="32"/>
          <w:szCs w:val="32"/>
          <w:lang w:val="en-US" w:eastAsia="zh-CN"/>
        </w:rPr>
        <w:t>公开08</w:t>
      </w:r>
      <w:r>
        <w:rPr>
          <w:rFonts w:hint="eastAsia" w:ascii="仿宋" w:hAnsi="仿宋" w:eastAsia="仿宋" w:cs="DengXian-Regular"/>
          <w:sz w:val="32"/>
          <w:szCs w:val="32"/>
        </w:rPr>
        <w:t>表、</w:t>
      </w:r>
      <w:r>
        <w:rPr>
          <w:rFonts w:hint="eastAsia" w:ascii="仿宋" w:hAnsi="仿宋" w:eastAsia="仿宋" w:cs="DengXian-Regular"/>
          <w:sz w:val="32"/>
          <w:szCs w:val="32"/>
          <w:lang w:val="en-US" w:eastAsia="zh-CN"/>
        </w:rPr>
        <w:t>09</w:t>
      </w:r>
      <w:bookmarkStart w:id="0" w:name="_GoBack"/>
      <w:bookmarkEnd w:id="0"/>
      <w:r>
        <w:rPr>
          <w:rFonts w:hint="eastAsia" w:ascii="仿宋" w:hAnsi="仿宋" w:eastAsia="仿宋" w:cs="DengXian-Regular"/>
          <w:sz w:val="32"/>
          <w:szCs w:val="32"/>
        </w:rPr>
        <w:t>表以空表列示。</w:t>
      </w:r>
    </w:p>
    <w:p>
      <w:pPr>
        <w:adjustRightInd w:val="0"/>
        <w:snapToGrid w:val="0"/>
        <w:spacing w:line="580" w:lineRule="exact"/>
        <w:rPr>
          <w:rFonts w:ascii="仿宋" w:hAnsi="仿宋" w:eastAsia="仿宋" w:cs="DengXian-Regular"/>
          <w:sz w:val="32"/>
          <w:szCs w:val="32"/>
        </w:rPr>
      </w:pPr>
      <w:r>
        <w:rPr>
          <w:rFonts w:ascii="仿宋" w:hAnsi="仿宋" w:eastAsia="仿宋" w:cs="DengXian-Regular"/>
          <w:sz w:val="32"/>
          <w:szCs w:val="32"/>
        </w:rPr>
        <w:t xml:space="preserve">2. </w:t>
      </w:r>
      <w:r>
        <w:rPr>
          <w:rFonts w:hint="eastAsia" w:ascii="仿宋" w:hAnsi="仿宋" w:eastAsia="仿宋" w:cs="DengXian-Regular"/>
          <w:sz w:val="32"/>
          <w:szCs w:val="32"/>
        </w:rPr>
        <w:t>由于决算公开表格中金额数值应当保留两位小数，公开数据为四舍五入计算结果，个别数据合计项与分项之和存在小数点后差额，特此说明。</w:t>
      </w:r>
    </w:p>
    <w:p>
      <w:pPr>
        <w:widowControl/>
        <w:numPr>
          <w:ilvl w:val="0"/>
          <w:numId w:val="5"/>
        </w:numPr>
        <w:spacing w:line="580" w:lineRule="exact"/>
        <w:ind w:firstLine="883"/>
        <w:jc w:val="left"/>
        <w:rPr>
          <w:rFonts w:ascii="仿宋" w:hAnsi="仿宋" w:eastAsia="仿宋" w:cs="MS-UIGothic,Bold"/>
          <w:b/>
          <w:bCs/>
          <w:kern w:val="0"/>
          <w:sz w:val="32"/>
          <w:szCs w:val="32"/>
        </w:rPr>
        <w:sectPr>
          <w:pgSz w:w="11906" w:h="16838"/>
          <w:pgMar w:top="2098" w:right="1474" w:bottom="1984" w:left="1588" w:header="851" w:footer="992" w:gutter="0"/>
          <w:pgNumType w:fmt="numberInDash"/>
          <w:cols w:space="0" w:num="1"/>
          <w:docGrid w:type="lines" w:linePitch="312" w:charSpace="0"/>
        </w:sectPr>
      </w:pPr>
    </w:p>
    <w:p>
      <w:pPr>
        <w:rPr>
          <w:rFonts w:ascii="仿宋_GB2312" w:hAnsi="宋体" w:eastAsia="仿宋_GB2312" w:cs="Arial Black"/>
          <w:sz w:val="32"/>
          <w:szCs w:val="32"/>
        </w:rPr>
      </w:pPr>
      <w:r>
        <w:rPr>
          <w:sz w:val="72"/>
        </w:rPr>
        <w:pict>
          <v:shape id="_x0000_s1029" o:spid="_x0000_s1029" o:spt="202" type="#_x0000_t202" style="position:absolute;left:0pt;margin-left:-80.5pt;margin-top:15.9pt;height:263.1pt;width:613.65pt;z-index:251661312;v-text-anchor:middle;mso-width-relative:page;mso-height-relative:page;" fillcolor="#7F7F7F"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path/>
            <v:fill type="pattern" on="t" o:title="5%" focussize="0,0" r:id="rId14"/>
            <v:stroke weight="0.5pt" color="#7F7F7F"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w:pict>
          <v:shape id="_x0000_s1028" o:spid="_x0000_s1028" o:spt="202" type="#_x0000_t202" style="position:absolute;left:0pt;margin-left:-80.9pt;margin-top:90.65pt;height:263.1pt;width:613.65pt;z-index:251665408;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path/>
            <v:fill type="pattern" on="t" o:title="5%" focussize="0,0" r:id="rId14"/>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2020年度部门决算报表</w:t>
                  </w:r>
                </w:p>
                <w:p/>
              </w:txbxContent>
            </v:textbox>
          </v:shape>
        </w:pict>
      </w:r>
    </w:p>
    <w:tbl>
      <w:tblPr>
        <w:tblStyle w:val="7"/>
        <w:tblW w:w="9252" w:type="dxa"/>
        <w:tblInd w:w="0" w:type="dxa"/>
        <w:tblLayout w:type="fixed"/>
        <w:tblCellMar>
          <w:top w:w="15" w:type="dxa"/>
          <w:left w:w="15" w:type="dxa"/>
          <w:bottom w:w="15" w:type="dxa"/>
          <w:right w:w="15" w:type="dxa"/>
        </w:tblCellMar>
      </w:tblPr>
      <w:tblGrid>
        <w:gridCol w:w="2356"/>
        <w:gridCol w:w="353"/>
        <w:gridCol w:w="79"/>
        <w:gridCol w:w="346"/>
        <w:gridCol w:w="1417"/>
        <w:gridCol w:w="2665"/>
        <w:gridCol w:w="432"/>
        <w:gridCol w:w="1604"/>
      </w:tblGrid>
      <w:tr>
        <w:tblPrEx>
          <w:tblCellMar>
            <w:top w:w="15" w:type="dxa"/>
            <w:left w:w="15" w:type="dxa"/>
            <w:bottom w:w="15" w:type="dxa"/>
            <w:right w:w="15" w:type="dxa"/>
          </w:tblCellMar>
        </w:tblPrEx>
        <w:trPr>
          <w:trHeight w:val="227" w:hRule="atLeast"/>
        </w:trPr>
        <w:tc>
          <w:tcPr>
            <w:tcW w:w="9252" w:type="dxa"/>
            <w:gridSpan w:val="8"/>
            <w:tcBorders>
              <w:right w:val="single" w:color="808080" w:sz="4" w:space="0"/>
            </w:tcBorders>
            <w:shd w:val="clear" w:color="auto" w:fill="FFFFFF"/>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收入支出决算总表</w:t>
            </w:r>
          </w:p>
        </w:tc>
      </w:tr>
      <w:tr>
        <w:tblPrEx>
          <w:tblCellMar>
            <w:top w:w="15" w:type="dxa"/>
            <w:left w:w="15" w:type="dxa"/>
            <w:bottom w:w="15" w:type="dxa"/>
            <w:right w:w="15" w:type="dxa"/>
          </w:tblCellMar>
        </w:tblPrEx>
        <w:trPr>
          <w:trHeight w:val="227" w:hRule="atLeast"/>
        </w:trPr>
        <w:tc>
          <w:tcPr>
            <w:tcW w:w="2356" w:type="dxa"/>
            <w:shd w:val="clear" w:color="auto" w:fill="FFFFFF"/>
            <w:vAlign w:val="center"/>
          </w:tcPr>
          <w:p>
            <w:pPr>
              <w:jc w:val="left"/>
              <w:rPr>
                <w:rFonts w:ascii="宋体" w:hAnsi="宋体" w:eastAsia="宋体" w:cs="宋体"/>
                <w:color w:val="000000"/>
                <w:sz w:val="18"/>
                <w:szCs w:val="18"/>
              </w:rPr>
            </w:pPr>
          </w:p>
        </w:tc>
        <w:tc>
          <w:tcPr>
            <w:tcW w:w="432" w:type="dxa"/>
            <w:gridSpan w:val="2"/>
            <w:shd w:val="clear" w:color="auto" w:fill="FFFFFF"/>
            <w:vAlign w:val="center"/>
          </w:tcPr>
          <w:p>
            <w:pPr>
              <w:jc w:val="left"/>
              <w:rPr>
                <w:rFonts w:ascii="宋体" w:hAnsi="宋体" w:eastAsia="宋体" w:cs="宋体"/>
                <w:color w:val="000000"/>
                <w:sz w:val="18"/>
                <w:szCs w:val="18"/>
              </w:rPr>
            </w:pPr>
          </w:p>
        </w:tc>
        <w:tc>
          <w:tcPr>
            <w:tcW w:w="1763" w:type="dxa"/>
            <w:gridSpan w:val="2"/>
            <w:shd w:val="clear" w:color="auto" w:fill="FFFFFF"/>
            <w:vAlign w:val="center"/>
          </w:tcPr>
          <w:p>
            <w:pPr>
              <w:jc w:val="left"/>
              <w:rPr>
                <w:rFonts w:ascii="宋体" w:hAnsi="宋体" w:eastAsia="宋体" w:cs="宋体"/>
                <w:color w:val="000000"/>
                <w:sz w:val="18"/>
                <w:szCs w:val="18"/>
              </w:rPr>
            </w:pPr>
          </w:p>
        </w:tc>
        <w:tc>
          <w:tcPr>
            <w:tcW w:w="2665" w:type="dxa"/>
            <w:shd w:val="clear" w:color="auto" w:fill="FFFFFF"/>
            <w:vAlign w:val="center"/>
          </w:tcPr>
          <w:p>
            <w:pPr>
              <w:jc w:val="left"/>
              <w:rPr>
                <w:rFonts w:ascii="宋体" w:hAnsi="宋体" w:eastAsia="宋体" w:cs="宋体"/>
                <w:color w:val="000000"/>
                <w:sz w:val="18"/>
                <w:szCs w:val="18"/>
              </w:rPr>
            </w:pPr>
          </w:p>
        </w:tc>
        <w:tc>
          <w:tcPr>
            <w:tcW w:w="432" w:type="dxa"/>
            <w:shd w:val="clear" w:color="auto" w:fill="FFFFFF"/>
            <w:vAlign w:val="center"/>
          </w:tcPr>
          <w:p>
            <w:pPr>
              <w:jc w:val="left"/>
              <w:rPr>
                <w:rFonts w:ascii="宋体" w:hAnsi="宋体" w:eastAsia="宋体" w:cs="宋体"/>
                <w:color w:val="000000"/>
                <w:sz w:val="18"/>
                <w:szCs w:val="18"/>
              </w:rPr>
            </w:pPr>
          </w:p>
        </w:tc>
        <w:tc>
          <w:tcPr>
            <w:tcW w:w="1604" w:type="dxa"/>
            <w:tcBorders>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公开01表</w:t>
            </w:r>
          </w:p>
        </w:tc>
      </w:tr>
      <w:tr>
        <w:tblPrEx>
          <w:tblCellMar>
            <w:top w:w="15" w:type="dxa"/>
            <w:left w:w="15" w:type="dxa"/>
            <w:bottom w:w="15" w:type="dxa"/>
            <w:right w:w="15" w:type="dxa"/>
          </w:tblCellMar>
        </w:tblPrEx>
        <w:trPr>
          <w:trHeight w:val="227" w:hRule="atLeast"/>
        </w:trPr>
        <w:tc>
          <w:tcPr>
            <w:tcW w:w="2356" w:type="dxa"/>
            <w:tcBorders>
              <w:bottom w:val="single" w:color="808080" w:sz="4" w:space="0"/>
            </w:tcBorders>
            <w:shd w:val="clear" w:color="auto" w:fill="FFFFFF"/>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w:t>
            </w:r>
            <w:r>
              <w:rPr>
                <w:rFonts w:hint="eastAsia" w:ascii="宋体" w:hAnsi="宋体" w:eastAsia="宋体" w:cs="宋体"/>
                <w:color w:val="000000"/>
                <w:kern w:val="0"/>
                <w:sz w:val="18"/>
                <w:szCs w:val="18"/>
              </w:rPr>
              <w:t>保定市满城区文化广电和旅游局</w:t>
            </w:r>
          </w:p>
        </w:tc>
        <w:tc>
          <w:tcPr>
            <w:tcW w:w="432" w:type="dxa"/>
            <w:gridSpan w:val="2"/>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763" w:type="dxa"/>
            <w:gridSpan w:val="2"/>
            <w:tcBorders>
              <w:bottom w:val="single" w:color="808080" w:sz="4" w:space="0"/>
            </w:tcBorders>
            <w:shd w:val="clear" w:color="auto" w:fill="FFFFFF"/>
            <w:vAlign w:val="center"/>
          </w:tcPr>
          <w:p>
            <w:pPr>
              <w:jc w:val="center"/>
              <w:rPr>
                <w:rFonts w:ascii="宋体" w:hAnsi="宋体" w:eastAsia="宋体" w:cs="宋体"/>
                <w:color w:val="000000"/>
                <w:sz w:val="24"/>
              </w:rPr>
            </w:pPr>
          </w:p>
        </w:tc>
        <w:tc>
          <w:tcPr>
            <w:tcW w:w="2665"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432"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604" w:type="dxa"/>
            <w:tcBorders>
              <w:bottom w:val="single" w:color="808080" w:sz="4" w:space="0"/>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CellMar>
            <w:top w:w="15" w:type="dxa"/>
            <w:left w:w="15" w:type="dxa"/>
            <w:bottom w:w="15" w:type="dxa"/>
            <w:right w:w="15" w:type="dxa"/>
          </w:tblCellMar>
        </w:tblPrEx>
        <w:trPr>
          <w:trHeight w:val="284" w:hRule="exact"/>
        </w:trPr>
        <w:tc>
          <w:tcPr>
            <w:tcW w:w="4551" w:type="dxa"/>
            <w:gridSpan w:val="5"/>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收入</w:t>
            </w:r>
          </w:p>
        </w:tc>
        <w:tc>
          <w:tcPr>
            <w:tcW w:w="4701"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支出</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25" w:type="dxa"/>
            <w:gridSpan w:val="2"/>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32" w:type="dxa"/>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6"/>
                <w:szCs w:val="16"/>
              </w:rPr>
              <w:t>5292.10</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一、一般公共服务支出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二、政府性基金预算财政拨款收入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二、外交支出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三、国有资本经营预算财政拨款收入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四、上级补助收入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四、公共安全支出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五、事业收入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五、教育支出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六、经营收入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六、科学技术支出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37</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七、附属单位上缴收入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七、文化旅游体育与传媒支出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5083.64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八、其他收入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八、社会保障和就业支出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127.05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九、卫生健康支出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32.22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十、节能环保支出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十一、城乡社区支出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十二、农林水支出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十三、交通运输支出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十四、资源勘探工业信息等支出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十五、商业服务业等支出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十六、金融支出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十七、援助其他地区支出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十八、自然资源海洋气象等支出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十九、住房保障支出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49.19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二十、粮油物资储备支出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二十一、国有资本经营预算支出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二十二、灾害防治及应急管理支出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二十三、其他支出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二十四、债务还本支出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二十五、债务付息支出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二十六、抗疫特别国债安排的支出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57</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本年收入合计</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6"/>
                <w:szCs w:val="16"/>
              </w:rPr>
              <w:t>5292.10</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本年支出合计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58</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6"/>
                <w:szCs w:val="16"/>
              </w:rPr>
              <w:t>5292.10</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使用非财政拨款结余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结余分配</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59</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年初结转和结余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年末结转和结余</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60</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61</w:t>
            </w:r>
          </w:p>
        </w:tc>
        <w:tc>
          <w:tcPr>
            <w:tcW w:w="1604"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25" w:type="dxa"/>
            <w:gridSpan w:val="2"/>
            <w:tcBorders>
              <w:bottom w:val="single" w:color="000000" w:sz="18"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6"/>
                <w:szCs w:val="16"/>
              </w:rPr>
              <w:t>5292.10</w:t>
            </w:r>
          </w:p>
        </w:tc>
        <w:tc>
          <w:tcPr>
            <w:tcW w:w="2665" w:type="dxa"/>
            <w:tcBorders>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6"/>
                <w:szCs w:val="16"/>
              </w:rPr>
              <w:t>5292.10</w:t>
            </w:r>
          </w:p>
        </w:tc>
      </w:tr>
      <w:tr>
        <w:tblPrEx>
          <w:tblCellMar>
            <w:top w:w="15" w:type="dxa"/>
            <w:left w:w="15" w:type="dxa"/>
            <w:bottom w:w="15" w:type="dxa"/>
            <w:right w:w="15" w:type="dxa"/>
          </w:tblCellMar>
        </w:tblPrEx>
        <w:trPr>
          <w:trHeight w:val="340" w:hRule="exact"/>
        </w:trPr>
        <w:tc>
          <w:tcPr>
            <w:tcW w:w="9252" w:type="dxa"/>
            <w:gridSpan w:val="8"/>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注：本表反映部门（或单位）本年度的总收支和年末结转结余情况。本套报表金额单位转换时可能存在尾数误差。</w:t>
            </w:r>
          </w:p>
        </w:tc>
      </w:tr>
    </w:tbl>
    <w:p>
      <w:pPr>
        <w:spacing w:line="400" w:lineRule="exact"/>
        <w:jc w:val="center"/>
        <w:rPr>
          <w:rFonts w:hint="eastAsia"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7"/>
        <w:tblW w:w="9580" w:type="dxa"/>
        <w:jc w:val="center"/>
        <w:tblLayout w:type="autofit"/>
        <w:tblCellMar>
          <w:top w:w="0" w:type="dxa"/>
          <w:left w:w="0" w:type="dxa"/>
          <w:bottom w:w="0" w:type="dxa"/>
          <w:right w:w="0" w:type="dxa"/>
        </w:tblCellMar>
      </w:tblPr>
      <w:tblGrid>
        <w:gridCol w:w="3150"/>
        <w:gridCol w:w="36"/>
        <w:gridCol w:w="36"/>
        <w:gridCol w:w="3550"/>
        <w:gridCol w:w="815"/>
        <w:gridCol w:w="815"/>
        <w:gridCol w:w="236"/>
        <w:gridCol w:w="236"/>
        <w:gridCol w:w="315"/>
        <w:gridCol w:w="619"/>
        <w:gridCol w:w="498"/>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18"/>
                <w:szCs w:val="18"/>
              </w:rPr>
              <w:t>保定市满城区文化广电和旅游局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附属单位上缴收入</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5292.10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5292.10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文化旅游体育和传媒支出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5083.64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5083.64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文化和旅游</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4890.08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4890.08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621.43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621.43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2070104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图书馆</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2070112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文化和旅游市场管理</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其他文化和旅游支出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4236.91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4236.91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广播电视</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2070804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广播</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173.56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173.56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2079999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173.56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173.56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127.05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127.05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127.05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127.05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49.19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tbl>
      <w:tblPr>
        <w:tblStyle w:val="7"/>
        <w:tblW w:w="9680" w:type="dxa"/>
        <w:jc w:val="center"/>
        <w:tblLayout w:type="fixed"/>
        <w:tblCellMar>
          <w:top w:w="0" w:type="dxa"/>
          <w:left w:w="0" w:type="dxa"/>
          <w:bottom w:w="0" w:type="dxa"/>
          <w:right w:w="0" w:type="dxa"/>
        </w:tblCellMar>
      </w:tblPr>
      <w:tblGrid>
        <w:gridCol w:w="941"/>
        <w:gridCol w:w="53"/>
        <w:gridCol w:w="111"/>
        <w:gridCol w:w="1581"/>
        <w:gridCol w:w="939"/>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58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3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公开03表</w:t>
            </w:r>
          </w:p>
        </w:tc>
      </w:tr>
      <w:tr>
        <w:tblPrEx>
          <w:tblCellMar>
            <w:top w:w="0" w:type="dxa"/>
            <w:left w:w="0" w:type="dxa"/>
            <w:bottom w:w="0" w:type="dxa"/>
            <w:right w:w="0" w:type="dxa"/>
          </w:tblCellMar>
        </w:tblPrEx>
        <w:trPr>
          <w:trHeight w:val="313" w:hRule="atLeast"/>
          <w:jc w:val="center"/>
        </w:trPr>
        <w:tc>
          <w:tcPr>
            <w:tcW w:w="3625"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rPr>
              <w:t>部门：保定市满城区文化广电和旅游局</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23" w:hRule="atLeast"/>
          <w:jc w:val="center"/>
        </w:trPr>
        <w:tc>
          <w:tcPr>
            <w:tcW w:w="268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93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581"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9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8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9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8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9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68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93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0" w:type="dxa"/>
            <w:bottom w:w="0" w:type="dxa"/>
            <w:right w:w="0" w:type="dxa"/>
          </w:tblCellMar>
        </w:tblPrEx>
        <w:trPr>
          <w:trHeight w:val="323" w:hRule="atLeast"/>
          <w:jc w:val="center"/>
        </w:trPr>
        <w:tc>
          <w:tcPr>
            <w:tcW w:w="268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5292.10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1212.42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4079.68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文化旅游体育和传媒支出</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5083.64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1003.96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4079.68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20701</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文化和旅游</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4890.08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1003.96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3886.12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2070101</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行政运行</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621.43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621.43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2070104</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图书馆</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2070112</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文化和旅游市场管理</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21.73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21.73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2070199</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其他文化和旅游支出</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4236.91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360.79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3876.12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20708</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广播电视</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20.00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20.00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2070804</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广播</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20.00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20.00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20799</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其他文化旅游体育与传媒支出</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173.56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173.56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2079999</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其他文化旅游体育与传媒支出</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173.56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173.56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208</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社会保障和就业支出</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127.05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127.05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20805</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行政事业单位养老支出</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127.05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127.05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2080505</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机关事业单位基本养老保险缴费支出</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94.63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94.63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2080506</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机关事业单位职业年金缴费支出</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32.42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32.42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210</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卫生健康支出</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21011</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行政事业单位医疗</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2101101</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行政单位医疗</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221</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住房保障支出</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49.19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49.19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22102</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住房改革支出</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49.19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49.19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2210201</w:t>
            </w:r>
          </w:p>
        </w:tc>
        <w:tc>
          <w:tcPr>
            <w:tcW w:w="1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住房公积金</w:t>
            </w:r>
          </w:p>
        </w:tc>
        <w:tc>
          <w:tcPr>
            <w:tcW w:w="9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49.19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49.19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注：本表反映部门本年度各项支出情况。</w:t>
            </w:r>
          </w:p>
        </w:tc>
      </w:tr>
    </w:tbl>
    <w:p/>
    <w:tbl>
      <w:tblPr>
        <w:tblStyle w:val="7"/>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7"/>
              <w:tblW w:w="9736" w:type="dxa"/>
              <w:tblInd w:w="0" w:type="dxa"/>
              <w:tblLayout w:type="fixed"/>
              <w:tblCellMar>
                <w:top w:w="0" w:type="dxa"/>
                <w:left w:w="108" w:type="dxa"/>
                <w:bottom w:w="0" w:type="dxa"/>
                <w:right w:w="108" w:type="dxa"/>
              </w:tblCellMar>
            </w:tblPr>
            <w:tblGrid>
              <w:gridCol w:w="2317"/>
              <w:gridCol w:w="465"/>
              <w:gridCol w:w="748"/>
              <w:gridCol w:w="2456"/>
              <w:gridCol w:w="446"/>
              <w:gridCol w:w="498"/>
              <w:gridCol w:w="851"/>
              <w:gridCol w:w="850"/>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部门：</w:t>
                  </w:r>
                  <w:r>
                    <w:rPr>
                      <w:rFonts w:hint="eastAsia" w:ascii="宋体" w:hAnsi="宋体" w:eastAsia="宋体" w:cs="宋体"/>
                      <w:color w:val="000000"/>
                      <w:kern w:val="0"/>
                      <w:sz w:val="18"/>
                      <w:szCs w:val="18"/>
                    </w:rPr>
                    <w:t>保定市满城区文化广电和旅游局</w:t>
                  </w:r>
                </w:p>
              </w:tc>
              <w:tc>
                <w:tcPr>
                  <w:tcW w:w="245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49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51"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850"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45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46"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9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1"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0"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5292.10</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5083.64</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5083.64</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127.05</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127.05</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49.19</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49.19</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5292.10</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5292.10</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5292.10</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5292.10</w:t>
                  </w:r>
                </w:p>
              </w:tc>
              <w:tc>
                <w:tcPr>
                  <w:tcW w:w="245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46"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49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5292.10</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5292.10</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公开05表</w:t>
            </w:r>
          </w:p>
        </w:tc>
      </w:tr>
      <w:tr>
        <w:tblPrEx>
          <w:tblCellMar>
            <w:top w:w="0" w:type="dxa"/>
            <w:left w:w="0" w:type="dxa"/>
            <w:bottom w:w="0" w:type="dxa"/>
            <w:right w:w="0" w:type="dxa"/>
          </w:tblCellMar>
        </w:tblPrEx>
        <w:trPr>
          <w:trHeight w:val="255" w:hRule="atLeast"/>
          <w:jc w:val="center"/>
        </w:trPr>
        <w:tc>
          <w:tcPr>
            <w:tcW w:w="3003"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rPr>
              <w:t>部门：保定市满城区文化广电和旅游局</w:t>
            </w: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5292.10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1212.42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4079.68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文化旅游体育和传媒支出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5083.64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1003.96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4079.68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文化和旅游</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4890.08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1003.96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3886.12</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2070101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621.43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621.43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2070104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图书馆</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2070112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文化和旅游市场管理</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21.73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21.73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2070199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其他文化和旅游支出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4236.91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360.79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3876.12</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广播电视</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20.00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20.00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2070804</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广播</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20.00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20.00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其他文化旅游体育与传媒支出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173.56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173.56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2079999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其他文化旅游体育与传媒支出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173.56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173.56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127.05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127.05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行政事业单位养老支出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127.05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127.05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94.63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94.63</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2080506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机关事业单位职业年金缴费支出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32.42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32.42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32.22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32.22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32.22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32.22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32.22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32.22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49.19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49.19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49.19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49.19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49.19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cs="宋体" w:asciiTheme="minorEastAsia" w:hAnsiTheme="minorEastAsia"/>
                <w:color w:val="000000"/>
                <w:sz w:val="18"/>
                <w:szCs w:val="18"/>
              </w:rPr>
            </w:pPr>
            <w:r>
              <w:rPr>
                <w:rFonts w:hint="eastAsia" w:cs="宋体" w:asciiTheme="minorEastAsia" w:hAnsiTheme="minorEastAsia"/>
                <w:color w:val="000000"/>
                <w:sz w:val="18"/>
                <w:szCs w:val="18"/>
              </w:rPr>
              <w:t>49.19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7"/>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0" w:type="dxa"/>
            <w:bottom w:w="0" w:type="dxa"/>
            <w:right w:w="0" w:type="dxa"/>
          </w:tblCellMar>
        </w:tblPrEx>
        <w:trPr>
          <w:trHeight w:val="61" w:hRule="atLeast"/>
          <w:jc w:val="center"/>
        </w:trPr>
        <w:tc>
          <w:tcPr>
            <w:tcW w:w="3728"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16"/>
                <w:szCs w:val="16"/>
              </w:rPr>
              <w:t>部门：</w:t>
            </w:r>
            <w:r>
              <w:rPr>
                <w:rFonts w:hint="eastAsia" w:ascii="宋体" w:hAnsi="宋体" w:eastAsia="宋体" w:cs="宋体"/>
                <w:color w:val="000000"/>
                <w:kern w:val="0"/>
                <w:sz w:val="18"/>
                <w:szCs w:val="18"/>
              </w:rPr>
              <w:t>保定市满城区文化广电和旅游局</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1182.26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24.46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688.11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8.67</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28.55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1.50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51.35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1.90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127.59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1.50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116.61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43.41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0.72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40.46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49.19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37.00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1.38</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5.69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5.69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6.80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1187.95</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hint="eastAsia" w:ascii="宋体" w:hAnsi="宋体" w:eastAsia="宋体" w:cs="宋体"/>
                <w:color w:val="000000"/>
                <w:sz w:val="16"/>
                <w:szCs w:val="16"/>
              </w:rPr>
              <w:t>24.46</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7"/>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60" w:hRule="atLeast"/>
          <w:jc w:val="center"/>
        </w:trPr>
        <w:tc>
          <w:tcPr>
            <w:tcW w:w="4518" w:type="dxa"/>
            <w:gridSpan w:val="3"/>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rPr>
              <w:t>部门：保定市满城区文化广电和旅游局</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7.50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7.50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7.50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6.80</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6.80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6.80</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7"/>
        <w:tblW w:w="9510" w:type="dxa"/>
        <w:jc w:val="center"/>
        <w:tblLayout w:type="autofit"/>
        <w:tblCellMar>
          <w:top w:w="0" w:type="dxa"/>
          <w:left w:w="0" w:type="dxa"/>
          <w:bottom w:w="0" w:type="dxa"/>
          <w:right w:w="0" w:type="dxa"/>
        </w:tblCellMar>
      </w:tblPr>
      <w:tblGrid>
        <w:gridCol w:w="3090"/>
        <w:gridCol w:w="36"/>
        <w:gridCol w:w="36"/>
        <w:gridCol w:w="830"/>
        <w:gridCol w:w="920"/>
        <w:gridCol w:w="920"/>
        <w:gridCol w:w="920"/>
        <w:gridCol w:w="920"/>
        <w:gridCol w:w="920"/>
        <w:gridCol w:w="92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部门：保定市满城区文化广电和旅游局</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r>
        <w:rPr>
          <w:rFonts w:hint="eastAsia" w:ascii="宋体" w:hAnsi="宋体" w:eastAsia="宋体" w:cs="宋体"/>
          <w:sz w:val="20"/>
          <w:szCs w:val="22"/>
        </w:rPr>
        <w:t>注：本表反映部门本年度政府性基金预算财政拨款收入、支出及结转结余情况。本部门本年度无相关支出情况，按要求以空表列示。</w:t>
      </w:r>
    </w:p>
    <w:tbl>
      <w:tblPr>
        <w:tblStyle w:val="7"/>
        <w:tblW w:w="9064" w:type="dxa"/>
        <w:tblInd w:w="0" w:type="dxa"/>
        <w:tblLayout w:type="autofit"/>
        <w:tblCellMar>
          <w:top w:w="0" w:type="dxa"/>
          <w:left w:w="0" w:type="dxa"/>
          <w:bottom w:w="0" w:type="dxa"/>
          <w:right w:w="0" w:type="dxa"/>
        </w:tblCellMar>
      </w:tblPr>
      <w:tblGrid>
        <w:gridCol w:w="66"/>
        <w:gridCol w:w="1225"/>
        <w:gridCol w:w="263"/>
        <w:gridCol w:w="2950"/>
        <w:gridCol w:w="1193"/>
        <w:gridCol w:w="241"/>
        <w:gridCol w:w="1988"/>
        <w:gridCol w:w="2362"/>
      </w:tblGrid>
      <w:tr>
        <w:tblPrEx>
          <w:tblCellMar>
            <w:top w:w="0" w:type="dxa"/>
            <w:left w:w="0" w:type="dxa"/>
            <w:bottom w:w="0" w:type="dxa"/>
            <w:right w:w="0" w:type="dxa"/>
          </w:tblCellMar>
        </w:tblPrEx>
        <w:trPr>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3"/>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5386"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18"/>
                <w:szCs w:val="18"/>
              </w:rPr>
              <w:t>保定市满城区文化广电和旅游局</w:t>
            </w:r>
          </w:p>
        </w:tc>
        <w:tc>
          <w:tcPr>
            <w:tcW w:w="3678" w:type="dxa"/>
            <w:gridSpan w:val="3"/>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sectPr>
          <w:pgSz w:w="11906" w:h="16838"/>
          <w:pgMar w:top="1984" w:right="1531" w:bottom="2098" w:left="1531" w:header="851" w:footer="992" w:gutter="0"/>
          <w:cols w:space="425" w:num="1"/>
          <w:docGrid w:type="lines" w:linePitch="312" w:charSpace="0"/>
        </w:sectPr>
      </w:pPr>
      <w:r>
        <w:rPr>
          <w:rFonts w:hint="eastAsia" w:ascii="宋体" w:hAnsi="宋体" w:eastAsia="宋体" w:cs="宋体"/>
        </w:rPr>
        <w:t>注：本表反映部门本年度国有资本经营预算财政拨款收入、支出及结转结余情况。本部门本年度无相关支出情况，按要求以空表列示.</w:t>
      </w:r>
    </w:p>
    <w:p>
      <w:pPr>
        <w:tabs>
          <w:tab w:val="left" w:pos="235"/>
        </w:tabs>
        <w:spacing w:line="600" w:lineRule="exact"/>
        <w:jc w:val="left"/>
        <w:rPr>
          <w:rFonts w:ascii="仿宋_GB2312" w:hAnsi="Cambria" w:eastAsia="仿宋_GB2312" w:cs="Arial Black"/>
          <w:kern w:val="0"/>
          <w:sz w:val="32"/>
          <w:szCs w:val="32"/>
        </w:rPr>
      </w:pPr>
      <w:r>
        <w:rPr>
          <w:sz w:val="32"/>
        </w:rPr>
        <w:pict>
          <v:rect id="_x0000_s1027" o:spid="_x0000_s1027" o:spt="1" style="position:absolute;left:0pt;margin-left:760.1pt;margin-top:-20.75pt;height:842.2pt;width:601pt;z-index:251664384;v-text-anchor:middle;mso-width-relative:page;mso-height-relative:page;" fillcolor="#E5EFF8" filled="t" stroked="f" coordsize="21600,21600" o:gfxdata="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Jv376TaAAAADgEAAA8AAAAAAAAAAQAgAAAAIgAAAGRycy9kb3ducmV2LnhtbFBLAQIUABQA&#10;AAAIAIdO4kCLuRV+mQIAAB8FAAAOAAAAAAAAAAEAIAAAACkBAABkcnMvZTJvRG9jLnhtbFBLBQYA&#10;AAAABgAGAFkBAAA0BgAAAAA=&#10;">
            <v:path/>
            <v:fill on="t" focussize="0,0"/>
            <v:stroke on="f" weight="1pt"/>
            <v:imagedata o:title=""/>
            <o:lock v:ext="edit"/>
          </v:rect>
        </w:pic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 w:name="DengXian-Regular">
    <w:altName w:val="宋体"/>
    <w:panose1 w:val="00000000000000000000"/>
    <w:charset w:val="86"/>
    <w:family w:val="auto"/>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090E3E"/>
    <w:multiLevelType w:val="singleLevel"/>
    <w:tmpl w:val="AB090E3E"/>
    <w:lvl w:ilvl="0" w:tentative="0">
      <w:start w:val="8"/>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E47A2C2"/>
    <w:multiLevelType w:val="singleLevel"/>
    <w:tmpl w:val="5E47A2C2"/>
    <w:lvl w:ilvl="0" w:tentative="0">
      <w:start w:val="1"/>
      <w:numFmt w:val="chineseCounting"/>
      <w:suff w:val="nothing"/>
      <w:lvlText w:val="（%1）"/>
      <w:lvlJc w:val="left"/>
    </w:lvl>
  </w:abstractNum>
  <w:abstractNum w:abstractNumId="3">
    <w:nsid w:val="5F222FFA"/>
    <w:multiLevelType w:val="singleLevel"/>
    <w:tmpl w:val="5F222FFA"/>
    <w:lvl w:ilvl="0" w:tentative="0">
      <w:start w:val="1"/>
      <w:numFmt w:val="decimal"/>
      <w:suff w:val="nothing"/>
      <w:lvlText w:val="（%1）"/>
      <w:lvlJc w:val="left"/>
    </w:lvl>
  </w:abstractNum>
  <w:abstractNum w:abstractNumId="4">
    <w:nsid w:val="7827FA27"/>
    <w:multiLevelType w:val="singleLevel"/>
    <w:tmpl w:val="7827FA27"/>
    <w:lvl w:ilvl="0" w:tentative="0">
      <w:start w:val="3"/>
      <w:numFmt w:val="decimal"/>
      <w:lvlText w:val="%1."/>
      <w:lvlJc w:val="left"/>
      <w:pPr>
        <w:tabs>
          <w:tab w:val="left" w:pos="312"/>
        </w:tabs>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C45458"/>
    <w:rsid w:val="00061A05"/>
    <w:rsid w:val="00062765"/>
    <w:rsid w:val="0008766A"/>
    <w:rsid w:val="000A2FB1"/>
    <w:rsid w:val="000A596B"/>
    <w:rsid w:val="000F1C67"/>
    <w:rsid w:val="000F3C28"/>
    <w:rsid w:val="00104FCC"/>
    <w:rsid w:val="0018668E"/>
    <w:rsid w:val="001B73D2"/>
    <w:rsid w:val="001E62BF"/>
    <w:rsid w:val="00214FF5"/>
    <w:rsid w:val="00243761"/>
    <w:rsid w:val="002830F5"/>
    <w:rsid w:val="00293E7B"/>
    <w:rsid w:val="002D1F4F"/>
    <w:rsid w:val="002E5A30"/>
    <w:rsid w:val="00353DE9"/>
    <w:rsid w:val="00354B32"/>
    <w:rsid w:val="00354D0D"/>
    <w:rsid w:val="003620EC"/>
    <w:rsid w:val="00366D90"/>
    <w:rsid w:val="003B348F"/>
    <w:rsid w:val="003D678E"/>
    <w:rsid w:val="00404212"/>
    <w:rsid w:val="004A3718"/>
    <w:rsid w:val="004B6213"/>
    <w:rsid w:val="004E3092"/>
    <w:rsid w:val="00513383"/>
    <w:rsid w:val="005435A0"/>
    <w:rsid w:val="0055067C"/>
    <w:rsid w:val="00563ED5"/>
    <w:rsid w:val="00572C1E"/>
    <w:rsid w:val="005821F5"/>
    <w:rsid w:val="00591598"/>
    <w:rsid w:val="005A38B5"/>
    <w:rsid w:val="005C143C"/>
    <w:rsid w:val="005E01F5"/>
    <w:rsid w:val="00606FDE"/>
    <w:rsid w:val="00610FFF"/>
    <w:rsid w:val="0061632F"/>
    <w:rsid w:val="006908CB"/>
    <w:rsid w:val="007673D6"/>
    <w:rsid w:val="00784242"/>
    <w:rsid w:val="007E5C05"/>
    <w:rsid w:val="00801F66"/>
    <w:rsid w:val="008035C7"/>
    <w:rsid w:val="00850F24"/>
    <w:rsid w:val="00870B4F"/>
    <w:rsid w:val="00890276"/>
    <w:rsid w:val="00894482"/>
    <w:rsid w:val="009334BF"/>
    <w:rsid w:val="00943FD9"/>
    <w:rsid w:val="009779C0"/>
    <w:rsid w:val="009B27E0"/>
    <w:rsid w:val="00A106DF"/>
    <w:rsid w:val="00A4625D"/>
    <w:rsid w:val="00A75666"/>
    <w:rsid w:val="00AA1484"/>
    <w:rsid w:val="00AE71CD"/>
    <w:rsid w:val="00BA060F"/>
    <w:rsid w:val="00BA726A"/>
    <w:rsid w:val="00DC69EB"/>
    <w:rsid w:val="00DD0F1B"/>
    <w:rsid w:val="00E45E39"/>
    <w:rsid w:val="00E62B8F"/>
    <w:rsid w:val="00E715D6"/>
    <w:rsid w:val="00EB3ED8"/>
    <w:rsid w:val="00ED1B72"/>
    <w:rsid w:val="00F27413"/>
    <w:rsid w:val="00F47591"/>
    <w:rsid w:val="00F547E4"/>
    <w:rsid w:val="00F750EA"/>
    <w:rsid w:val="058B71E0"/>
    <w:rsid w:val="0EA325C9"/>
    <w:rsid w:val="2FB96948"/>
    <w:rsid w:val="3327616A"/>
    <w:rsid w:val="34C45458"/>
    <w:rsid w:val="35C83C42"/>
    <w:rsid w:val="490D2112"/>
    <w:rsid w:val="50BA4369"/>
    <w:rsid w:val="5D0C63C4"/>
    <w:rsid w:val="73D824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qFormat/>
    <w:uiPriority w:val="5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Body text|6"/>
    <w:basedOn w:val="1"/>
    <w:qFormat/>
    <w:uiPriority w:val="0"/>
    <w:pPr>
      <w:spacing w:after="60"/>
      <w:jc w:val="left"/>
    </w:pPr>
    <w:rPr>
      <w:rFonts w:ascii="Times New Roman" w:hAnsi="Times New Roman" w:eastAsia="Times New Roman" w:cs="Times New Roman"/>
      <w:color w:val="000000"/>
      <w:kern w:val="0"/>
      <w:sz w:val="28"/>
      <w:szCs w:val="28"/>
      <w:lang w:val="zh-TW" w:eastAsia="zh-TW" w:bidi="zh-TW"/>
    </w:rPr>
  </w:style>
  <w:style w:type="character" w:customStyle="1" w:styleId="11">
    <w:name w:val="批注框文本 Char"/>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GIF"/><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2115</Words>
  <Characters>12056</Characters>
  <Lines>100</Lines>
  <Paragraphs>28</Paragraphs>
  <TotalTime>1</TotalTime>
  <ScaleCrop>false</ScaleCrop>
  <LinksUpToDate>false</LinksUpToDate>
  <CharactersWithSpaces>14143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2022-09-15T10:58:06Z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19D5F7B362EA495E96C904F70D8F47BA</vt:lpwstr>
  </property>
</Properties>
</file>