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JPG" ContentType="image/.jpg"/>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9264" behindDoc="1" locked="0" layoutInCell="1" allowOverlap="1">
            <wp:simplePos x="0" y="0"/>
            <wp:positionH relativeFrom="column">
              <wp:posOffset>-972185</wp:posOffset>
            </wp:positionH>
            <wp:positionV relativeFrom="page">
              <wp:posOffset>-10160</wp:posOffset>
            </wp:positionV>
            <wp:extent cx="8789035" cy="1074674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8787322" cy="10744841"/>
                    </a:xfrm>
                    <a:prstGeom prst="rect">
                      <a:avLst/>
                    </a:prstGeom>
                  </pic:spPr>
                </pic:pic>
              </a:graphicData>
            </a:graphic>
          </wp:anchor>
        </w:drawing>
      </w:r>
      <w:r>
        <w:br w:type="page"/>
      </w:r>
    </w:p>
    <w:p>
      <w:pPr>
        <w:jc w:val="center"/>
        <w:rPr>
          <w:rFonts w:ascii="黑体" w:hAnsi="黑体" w:eastAsia="黑体" w:cs="黑体"/>
          <w:sz w:val="72"/>
          <w:szCs w:val="96"/>
        </w:rPr>
      </w:pPr>
      <w:r>
        <w:rPr>
          <w:rFonts w:hint="eastAsia" w:ascii="黑体" w:hAnsi="黑体" w:eastAsia="黑体" w:cs="黑体"/>
          <w:sz w:val="72"/>
          <w:szCs w:val="96"/>
        </w:rPr>
        <w:t>保定市满城区白龙乡</w:t>
      </w:r>
    </w:p>
    <w:p>
      <w:pPr>
        <w:jc w:val="center"/>
        <w:rPr>
          <w:rFonts w:ascii="黑体" w:hAnsi="黑体" w:eastAsia="黑体" w:cs="黑体"/>
          <w:sz w:val="72"/>
          <w:szCs w:val="96"/>
          <w:highlight w:val="yellow"/>
        </w:rPr>
      </w:pPr>
      <w:r>
        <w:rPr>
          <w:rFonts w:hint="eastAsia" w:ascii="黑体" w:hAnsi="黑体" w:eastAsia="黑体" w:cs="黑体"/>
          <w:sz w:val="72"/>
          <w:szCs w:val="96"/>
        </w:rPr>
        <w:t>人民政府</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pP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14:textFill>
            <w14:solidFill>
              <w14:schemeClr w14:val="tx1"/>
            </w14:solidFill>
          </w14:textFill>
        </w:rPr>
        <w:t>二〇二一年</w:t>
      </w:r>
      <w:r>
        <w:rPr>
          <w:rFonts w:hint="eastAsia" w:ascii="楷体_GB2312" w:hAnsi="楷体_GB2312" w:eastAsia="楷体_GB2312" w:cs="楷体_GB2312"/>
          <w:color w:val="000000" w:themeColor="text1"/>
          <w:kern w:val="0"/>
          <w:sz w:val="40"/>
          <w:szCs w:val="40"/>
          <w:lang w:val="en-US" w:eastAsia="zh-CN"/>
          <w14:textFill>
            <w14:solidFill>
              <w14:schemeClr w14:val="tx1"/>
            </w14:solidFill>
          </w14:textFill>
        </w:rPr>
        <w:t>十</w:t>
      </w:r>
      <w:r>
        <w:rPr>
          <w:rFonts w:hint="eastAsia" w:ascii="楷体_GB2312" w:hAnsi="楷体_GB2312" w:eastAsia="楷体_GB2312" w:cs="楷体_GB2312"/>
          <w:color w:val="000000" w:themeColor="text1"/>
          <w:kern w:val="0"/>
          <w:sz w:val="40"/>
          <w:szCs w:val="40"/>
          <w14:textFill>
            <w14:solidFill>
              <w14:schemeClr w14:val="tx1"/>
            </w14:solidFill>
          </w14:textFill>
        </w:rPr>
        <w:t>月</w:t>
      </w:r>
    </w:p>
    <w:p>
      <w:pPr>
        <w:snapToGrid w:val="0"/>
        <w:jc w:val="center"/>
        <w:rPr>
          <w:rFonts w:ascii="楷体_GB2312" w:hAnsi="楷体_GB2312" w:eastAsia="楷体_GB2312" w:cs="楷体_GB2312"/>
          <w:color w:val="000000" w:themeColor="text1"/>
          <w:kern w:val="0"/>
          <w:sz w:val="40"/>
          <w:szCs w:val="40"/>
          <w14:textFill>
            <w14:solidFill>
              <w14:schemeClr w14:val="tx1"/>
            </w14:solidFill>
          </w14:textFill>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61312" behindDoc="0" locked="0" layoutInCell="1" allowOverlap="1">
                <wp:simplePos x="0" y="0"/>
                <wp:positionH relativeFrom="column">
                  <wp:posOffset>-1088390</wp:posOffset>
                </wp:positionH>
                <wp:positionV relativeFrom="paragraph">
                  <wp:posOffset>1024890</wp:posOffset>
                </wp:positionV>
                <wp:extent cx="7793355" cy="3341370"/>
                <wp:effectExtent l="6985" t="15240" r="10160" b="15240"/>
                <wp:wrapNone/>
                <wp:docPr id="6" name="Text Box 2" descr="5%"/>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chemeClr val="bg1">
                              <a:lumMod val="50000"/>
                              <a:lumOff val="0"/>
                            </a:schemeClr>
                          </a:fgClr>
                          <a:bgClr>
                            <a:schemeClr val="bg1">
                              <a:lumMod val="100000"/>
                              <a:lumOff val="0"/>
                            </a:schemeClr>
                          </a:bgClr>
                        </a:pattFill>
                        <a:ln w="12700">
                          <a:solidFill>
                            <a:srgbClr val="A6A6A6"/>
                          </a:solidFill>
                          <a:round/>
                        </a:ln>
                      </wps:spPr>
                      <wps:txb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wps:txbx>
                      <wps:bodyPr rot="0" vert="horz" wrap="square" lIns="91440" tIns="45720" rIns="91440" bIns="45720" anchor="ctr" anchorCtr="0" upright="1">
                        <a:noAutofit/>
                      </wps:bodyPr>
                    </wps:wsp>
                  </a:graphicData>
                </a:graphic>
              </wp:anchor>
            </w:drawing>
          </mc:Choice>
          <mc:Fallback>
            <w:pict>
              <v:shape id="Text Box 2" o:spid="_x0000_s1026" o:spt="202" alt="5%" type="#_x0000_t202" style="position:absolute;left:0pt;margin-left:-85.7pt;margin-top:80.7pt;height:263.1pt;width:613.65pt;z-index:251661312;v-text-anchor:middle;mso-width-relative:page;mso-height-relative:page;" fillcolor="#7F7F7F [3212]"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JFS0eN0AgAAPAUAAA4AAABkcnMvZTJvRG9jLnht&#10;bK1U22rcMBB9L/QfhKCPjfeabUy8IU3YUkgvkPQDZFm+UFmjjrRrp1/fkeRsl6QPeagFRpfRmTlz&#10;ZnR5NfaaHRS6DkzB52czzpSRUHWmKfiPh937D5w5L0wlNBhV8Efl+NX27ZvLweZqAS3oSiEjEOPy&#10;wRa89d7mWeZkq3rhzsAqQ4c1YC88LbHJKhQDofc6W8xm59kAWFkEqZyj3dt0yCdEfA0g1HUn1S3I&#10;fa+MT6iotPBEybWddXwbo61rJf23unbKM11wYurjn5zQvAz/bHsp8gaFbTs5hSBeE8IzTr3oDDk9&#10;Qt0KL9geuxdQfScRHNT+TEKfJSIxI8RiPnuWm/tWWBW5UKqdPSbd/T9Y+fXwHVlXFfycMyN6EvxB&#10;jZ59hJEtOKuUk5St9buQqMG6nOzvLd3wI1lQ+UTSzt6B/OmYgZtWmEZdI8LQKlFRoPNwMzu5mnBc&#10;ACmHL1CRR7H3EIHGGvuQRcoLI3QS6fEoUohK0uZmc7FcrtecSTpbLlfz5SbKmIn86bpF5z8p6FmY&#10;FBypCiK8ONw5H8IR+ZNJ8GaF97tO68ncSr+O5nVzozEYOGxKmrKDoCra7MKIBnrfE4G0vZ7Rl8qJ&#10;tqno0vZTaBNE9H3ELf/pYBe/Fw7mwcErPUzAgefELdDQhg0kyGJDMJEW6K4KxF9wvD4PIypH7E/N&#10;EPamSinUZhI2aJlU9WM5ToVSQvVIEiOklqMHhyYt4G/OBmq3grtfe4GKM/3ZUJlczFer0J9xsVpv&#10;FrTA05Py9EQYSVAFlx45S4sbn7p6b7FrWvKVStPANRVX3UXZQxWmuKbIqamiItMDELr2dB2t/j56&#10;2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3/eYI3AAAAA0BAAAPAAAAAAAAAAEAIAAAACIAAABk&#10;cnMvZG93bnJldi54bWxQSwECFAAUAAAACACHTuJAkVLR43QCAAA8BQAADgAAAAAAAAABACAAAAAr&#10;AQAAZHJzL2Uyb0RvYy54bWxQSwUGAAAAAAYABgBZAQAAEQYAAAAA&#10;">
                <v:fill type="pattern" on="t" color2="#FFFFFF [3228]" o:title="5%" focussize="0,0" r:id="rId13"/>
                <v:stroke weight="1pt" color="#A6A6A6" joinstyle="round"/>
                <v:imagedata o:title=""/>
                <o:lock v:ext="edit" aspectratio="f"/>
                <v:textbox>
                  <w:txbxContent>
                    <w:p>
                      <w:pPr>
                        <w:widowControl/>
                        <w:jc w:val="center"/>
                        <w:rPr>
                          <w:rFonts w:ascii="黑体" w:hAnsi="黑体" w:eastAsia="黑体" w:cs="黑体"/>
                          <w:color w:val="000000" w:themeColor="text1"/>
                          <w:sz w:val="96"/>
                          <w:szCs w:val="96"/>
                          <w14:textFill>
                            <w14:solidFill>
                              <w14:schemeClr w14:val="tx1"/>
                            </w14:solidFill>
                          </w14:textFill>
                        </w:rPr>
                      </w:pPr>
                      <w:r>
                        <w:rPr>
                          <w:rFonts w:hint="eastAsia" w:ascii="黑体" w:hAnsi="黑体" w:eastAsia="黑体" w:cs="黑体"/>
                          <w:color w:val="000000" w:themeColor="text1"/>
                          <w:sz w:val="96"/>
                          <w:szCs w:val="96"/>
                          <w14:textFill>
                            <w14:solidFill>
                              <w14:schemeClr w14:val="tx1"/>
                            </w14:solidFill>
                          </w14:textFill>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（一）宣传贯彻执行党的路线方针政策和党中央、上级党组织及本乡党员代表大会</w:t>
      </w:r>
      <w:r>
        <w:rPr>
          <w:rFonts w:ascii="仿宋_GB2312" w:eastAsia="仿宋_GB2312" w:cs="Arial Black"/>
          <w:kern w:val="0"/>
          <w:sz w:val="32"/>
          <w:szCs w:val="32"/>
        </w:rPr>
        <w:t>(</w:t>
      </w:r>
      <w:r>
        <w:rPr>
          <w:rFonts w:hint="eastAsia" w:ascii="仿宋_GB2312" w:eastAsia="仿宋_GB2312" w:cs="Arial Black"/>
          <w:kern w:val="0"/>
          <w:sz w:val="32"/>
          <w:szCs w:val="32"/>
        </w:rPr>
        <w:t>党员大会</w:t>
      </w:r>
      <w:r>
        <w:rPr>
          <w:rFonts w:ascii="仿宋_GB2312" w:eastAsia="仿宋_GB2312" w:cs="Arial Black"/>
          <w:kern w:val="0"/>
          <w:sz w:val="32"/>
          <w:szCs w:val="32"/>
        </w:rPr>
        <w:t>)</w:t>
      </w:r>
      <w:r>
        <w:rPr>
          <w:rFonts w:hint="eastAsia" w:ascii="仿宋_GB2312" w:eastAsia="仿宋_GB2312" w:cs="Arial Black"/>
          <w:kern w:val="0"/>
          <w:sz w:val="32"/>
          <w:szCs w:val="32"/>
        </w:rPr>
        <w:t>的决议。贯彻执行法律、法规、规章和上级人民代表大会及其常务委员会决议及上级政府的决定、命令，执行本级人民代表大会的决议。</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（二）加强党对基层治理的全面领导，统筹抓好基层党建工作和基层党组织建设各项制度。推进全面从严治党，强化“两个责任”，确保党的路线方针政策在基层得到全面贯彻落实。</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（三）讨论和决定本乡经济建设、政治建设、文化建设、社会建设、生态文明建设和党的建设以及乡村振兴中的重大问题。</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（四）组织召开本级人民代表大会，充分行使重大事项决定权、监督权和任免权，做好人大代表工作，联系选民、反映群众意见和要求。</w:t>
      </w:r>
    </w:p>
    <w:p>
      <w:pPr>
        <w:widowControl/>
        <w:spacing w:line="600" w:lineRule="exact"/>
        <w:ind w:firstLine="640" w:firstLineChars="200"/>
        <w:jc w:val="left"/>
        <w:rPr>
          <w:rFonts w:ascii="仿宋_GB2312" w:eastAsia="仿宋_GB2312" w:cs="Arial Black"/>
          <w:kern w:val="0"/>
          <w:sz w:val="32"/>
          <w:szCs w:val="32"/>
        </w:rPr>
      </w:pPr>
      <w:r>
        <w:rPr>
          <w:rFonts w:hint="eastAsia" w:ascii="仿宋_GB2312" w:eastAsia="仿宋_GB2312" w:cs="Arial Black"/>
          <w:kern w:val="0"/>
          <w:sz w:val="32"/>
          <w:szCs w:val="32"/>
        </w:rPr>
        <w:t>（五）组织实施与群众生活密切相关的各项公共服务，落实基层“最多跑一次”改革工作，拓宽服务渠道，改进服务方式，建立健全群众办事一次办结机制，推进乡便民服务平台标准化建设，实行“一站式服务”“一枚印章管审批（服务）”，提升群众获得感和幸福感。</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六）执行本行政区域内的经济和社会发展计划、预算，管理本行政区域内的经济、教育、科学、文化、卫生健康、体育事业、人力资源和社会保障、医疗保障和财政、统计、民政、司法行政等行政工作。落实本行政区域内发展规划、专项规划、区域规划、国土空间规划。</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（七）乡党委领导乡政权机关、群团组织和其他各类组织</w:t>
      </w:r>
      <w:r>
        <w:rPr>
          <w:rFonts w:ascii="仿宋_GB2312" w:eastAsia="仿宋_GB2312" w:cs="Arial Black"/>
          <w:kern w:val="0"/>
          <w:sz w:val="32"/>
          <w:szCs w:val="32"/>
        </w:rPr>
        <w:t>,</w:t>
      </w:r>
      <w:r>
        <w:rPr>
          <w:rFonts w:hint="eastAsia" w:ascii="仿宋_GB2312" w:eastAsia="仿宋_GB2312" w:cs="Arial Black"/>
          <w:kern w:val="0"/>
          <w:sz w:val="32"/>
          <w:szCs w:val="32"/>
        </w:rPr>
        <w:t>加强指导和规范，支持和保证这些机关和组织依照国家法律法规以及各自章程履行职责。坚持党管武装的根本原则和制度</w:t>
      </w:r>
      <w:r>
        <w:rPr>
          <w:rFonts w:ascii="仿宋_GB2312" w:eastAsia="仿宋_GB2312" w:cs="Arial Black"/>
          <w:kern w:val="0"/>
          <w:sz w:val="32"/>
          <w:szCs w:val="32"/>
        </w:rPr>
        <w:t>,</w:t>
      </w:r>
      <w:r>
        <w:rPr>
          <w:rFonts w:hint="eastAsia" w:ascii="仿宋_GB2312" w:eastAsia="仿宋_GB2312" w:cs="Arial Black"/>
          <w:kern w:val="0"/>
          <w:sz w:val="32"/>
          <w:szCs w:val="32"/>
        </w:rPr>
        <w:t>协调各方力量，对乡人民武装工作实行统一领导。</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（八）加强乡党委自身建设和村党组织建设，以及其他隶属乡党委的党组织建设，抓好发展党员工作，加强党员队伍建设。维护和执行党的纪律，监督党员干部和其他任何工作人员严格遵守国家法律法规。</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（九）按照干部管理权限，负责对干部的教育、培训、选拔、考核和监督工作。协助管理上级有关部门驻乡单位的干部。做好人才服务工作。</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（十）领导本乡的基层治理，加强社会主义民主法治建设和精神文明建设，加强社会治安综合治理</w:t>
      </w:r>
      <w:r>
        <w:rPr>
          <w:rFonts w:ascii="仿宋_GB2312" w:eastAsia="仿宋_GB2312" w:cs="Arial Black"/>
          <w:kern w:val="0"/>
          <w:sz w:val="32"/>
          <w:szCs w:val="32"/>
        </w:rPr>
        <w:t>,推行</w:t>
      </w:r>
      <w:r>
        <w:rPr>
          <w:rFonts w:hint="eastAsia" w:ascii="仿宋_GB2312" w:eastAsia="仿宋_GB2312" w:cs="Arial Black"/>
          <w:kern w:val="0"/>
          <w:sz w:val="32"/>
          <w:szCs w:val="32"/>
        </w:rPr>
        <w:t>网格化管理服务，落实社会矛盾纠纷排查调处机制，综合发挥人民调解、行政调解和司法调解的作用，及时化解辖区社会矛盾，维护安全稳定。做好综合执法、应急管理、自然资源和生态环保、乡村振兴、民生保障、脱贫致富、民族宗教、防范邪教等工作。承担民兵预备役、征兵、退役军人服务、拥军优属等工作。</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十一）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600" w:lineRule="exact"/>
        <w:ind w:firstLine="640" w:firstLineChars="200"/>
        <w:rPr>
          <w:rFonts w:ascii="仿宋_GB2312" w:eastAsia="仿宋_GB2312" w:cs="Arial Black"/>
          <w:kern w:val="0"/>
          <w:sz w:val="32"/>
          <w:szCs w:val="32"/>
        </w:rPr>
      </w:pPr>
      <w:r>
        <w:rPr>
          <w:rFonts w:hint="eastAsia" w:ascii="仿宋_GB2312" w:eastAsia="仿宋_GB2312" w:cs="Arial Black"/>
          <w:kern w:val="0"/>
          <w:sz w:val="32"/>
          <w:szCs w:val="32"/>
        </w:rPr>
        <w:t>（十二）承办上级党委、人大、政府交办的其他事项。</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年度本部门决算汇编范围的独立核算单位（以下简称“单位”）共1个，具体情况如下：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ascii="仿宋_GB2312" w:hAnsi="Calibri" w:eastAsia="仿宋_GB2312" w:cs="Arial Black"/>
                <w:kern w:val="0"/>
                <w:sz w:val="28"/>
                <w:szCs w:val="28"/>
              </w:rPr>
            </w:pPr>
            <w:r>
              <w:rPr>
                <w:rFonts w:hint="eastAsia" w:ascii="仿宋_GB2312" w:hAnsi="Calibri" w:eastAsia="仿宋_GB2312" w:cs="Arial Black"/>
                <w:kern w:val="0"/>
                <w:sz w:val="28"/>
                <w:szCs w:val="28"/>
              </w:rPr>
              <w:t>保定市满城区白龙乡人民政府(本级)</w:t>
            </w:r>
          </w:p>
        </w:tc>
        <w:tc>
          <w:tcPr>
            <w:tcW w:w="2404"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行政单位</w:t>
            </w:r>
          </w:p>
        </w:tc>
        <w:tc>
          <w:tcPr>
            <w:tcW w:w="2622"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251663360" behindDoc="0" locked="0" layoutInCell="1" allowOverlap="1">
                <wp:simplePos x="0" y="0"/>
                <wp:positionH relativeFrom="column">
                  <wp:posOffset>-1028065</wp:posOffset>
                </wp:positionH>
                <wp:positionV relativeFrom="paragraph">
                  <wp:posOffset>-2637155</wp:posOffset>
                </wp:positionV>
                <wp:extent cx="7793355" cy="3341370"/>
                <wp:effectExtent l="10160" t="10795" r="6985" b="10160"/>
                <wp:wrapNone/>
                <wp:docPr id="4" name="Text Box 15" descr="5%"/>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chemeClr val="bg1">
                              <a:lumMod val="50000"/>
                              <a:lumOff val="0"/>
                            </a:schemeClr>
                          </a:fgClr>
                          <a:bgClr>
                            <a:schemeClr val="bg1">
                              <a:lumMod val="100000"/>
                              <a:lumOff val="0"/>
                            </a:schemeClr>
                          </a:bgClr>
                        </a:pattFill>
                        <a:ln w="12700">
                          <a:solidFill>
                            <a:srgbClr val="A6A6A6"/>
                          </a:solidFill>
                          <a:roun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wps:txbx>
                      <wps:bodyPr rot="0" vert="horz" wrap="square" lIns="91440" tIns="45720" rIns="91440" bIns="45720" anchor="ctr" anchorCtr="0" upright="1">
                        <a:noAutofit/>
                      </wps:bodyPr>
                    </wps:wsp>
                  </a:graphicData>
                </a:graphic>
              </wp:anchor>
            </w:drawing>
          </mc:Choice>
          <mc:Fallback>
            <w:pict>
              <v:shape id="Text Box 15" o:spid="_x0000_s1026" o:spt="202" alt="5%" type="#_x0000_t202" style="position:absolute;left:0pt;margin-left:-80.95pt;margin-top:-207.65pt;height:263.1pt;width:613.65pt;z-index:251663360;v-text-anchor:middle;mso-width-relative:page;mso-height-relative:page;" fillcolor="#7F7F7F [3212]"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DZGMt0dgIAAD0FAAAOAAAAZHJzL2Uyb0RvYy54&#10;bWytVNtu3CAQfa/Uf0BIfWy83ku2seKN0kRbVUovUtIPwBjbqJihgNdOv74DONtV0oc81EgWl+HM&#10;nDkzXF5NvSIHYZ0EXdL8bEGJ0BxqqduS/njYv/9AifNM10yBFiV9FI5e7d6+uRxNIZbQgaqFJQii&#10;XTGaknbemyLLHO9Ez9wZGKHxsAHbM49L22a1ZSOi9ypbLhbn2Qi2Nha4cA53b9MhnRHtawChaSQX&#10;t8CHXmifUK1QzCMl10nj6C5G2zSC+29N44QnqqTI1Mc/OsF5Ff7Z7pIVrWWmk3wOgb0mhGeceiY1&#10;Oj1C3TLPyGDlC6hecgsOGn/Goc8SkZgRZJEvnuXmvmNGRC6YameOSXf/D5Z/PXy3RNYlXVOiWY+C&#10;P4jJk48wkXxDSS0cx3Rt3oVMjcYVeOHe4BU/oQnWT2TtzB3wn45ouOmYbsW1tTB2gtUYaR5uZidX&#10;E44LINX4BWp0yQYPEWhqbB/SiIkhiI4qPR5VCmFx3NxuL1arDcbG8Wy1WuerbdQxY8XTdWOd/ySg&#10;J2FSUotlEOHZ4c75EA4rnkyCN8O830ulZnPD/SaaN+2NssHA2bbCKTkwLKPtPoxooIYeCaTtzQK/&#10;VE+4jVWXtp9CmyGi7yNu9U8H+/i9cJAHB6/0MAMHnjO3QENpMqIgyy3CRFqgZB2Iv+B4fR5GVA7Z&#10;n5pZGHSdUqj0LGzQMqnqp2qaC6WC+hEltpB6Dl8cnHRgf1MyYr+V1P0amBWUqM8ay+QiX69Dg8bF&#10;erNd4sKenlSnJ0xzhCop95aStLjxqa0HY2Xboa9UmhqusbgaGWUPVZjimiPHroqKzC9AaNvTdbT6&#10;++rt/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8Fw7R3QAAAA4BAAAPAAAAAAAAAAEAIAAAACIA&#10;AABkcnMvZG93bnJldi54bWxQSwECFAAUAAAACACHTuJA2RjLdHYCAAA9BQAADgAAAAAAAAABACAA&#10;AAAsAQAAZHJzL2Uyb0RvYy54bWxQSwUGAAAAAAYABgBZAQAAFAYAAAAA&#10;">
                <v:fill type="pattern" on="t" color2="#FFFFFF [3228]" o:title="5%" focussize="0,0" r:id="rId13"/>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第二部分 </w:t>
                      </w:r>
                    </w:p>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2020年部门决算情况说明</w:t>
                      </w:r>
                    </w:p>
                    <w:p>
                      <w:pPr>
                        <w:widowControl/>
                        <w:jc w:val="center"/>
                      </w:pPr>
                    </w:p>
                    <w:p/>
                  </w:txbxContent>
                </v:textbox>
              </v:shape>
            </w:pict>
          </mc:Fallback>
        </mc:AlternateContent>
      </w:r>
    </w:p>
    <w:p>
      <w:pPr>
        <w:jc w:val="center"/>
        <w:rPr>
          <w:rFonts w:ascii="黑体" w:hAnsi="黑体" w:eastAsia="黑体" w:cs="黑体"/>
          <w:sz w:val="56"/>
          <w:szCs w:val="72"/>
        </w:rPr>
      </w:pPr>
    </w:p>
    <w:p>
      <w:pPr>
        <w:pStyle w:val="10"/>
        <w:keepNext/>
        <w:keepLines/>
        <w:numPr>
          <w:ilvl w:val="0"/>
          <w:numId w:val="1"/>
        </w:numPr>
        <w:snapToGrid w:val="0"/>
        <w:spacing w:line="600" w:lineRule="exact"/>
        <w:ind w:firstLineChars="0"/>
        <w:outlineLvl w:val="1"/>
        <w:rPr>
          <w:rFonts w:ascii="黑体" w:hAnsi="Calibri" w:eastAsia="黑体" w:cs="Times New Roman"/>
          <w:sz w:val="32"/>
          <w:szCs w:val="32"/>
        </w:rPr>
      </w:pPr>
      <w:r>
        <w:br w:type="page"/>
      </w:r>
      <w:r>
        <w:rPr>
          <w:rFonts w:hint="eastAsia" w:ascii="黑体" w:hAnsi="Calibri" w:eastAsia="黑体" w:cs="Times New Roman"/>
          <w:sz w:val="32"/>
          <w:szCs w:val="32"/>
        </w:rPr>
        <w:t>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w:t>
      </w:r>
      <w:r>
        <w:rPr>
          <w:rFonts w:hint="eastAsia" w:ascii="仿宋_GB2312" w:hAnsi="Times New Roman" w:eastAsia="仿宋_GB2312" w:cs="DengXian-Regular"/>
          <w:sz w:val="32"/>
          <w:szCs w:val="32"/>
        </w:rPr>
        <w:t>20年度收入总计（含结转和结余）874.80万元。与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9年度决算相比，收入增加92.90万元，增长11.88%，主要原因是增加了</w:t>
      </w:r>
      <w:r>
        <w:rPr>
          <w:rFonts w:hint="eastAsia" w:ascii="仿宋_GB2312" w:hAnsi="Times New Roman" w:eastAsia="仿宋_GB2312" w:cs="DengXian-Regular"/>
          <w:color w:val="000000" w:themeColor="text1"/>
          <w:sz w:val="32"/>
          <w:szCs w:val="32"/>
          <w14:textFill>
            <w14:solidFill>
              <w14:schemeClr w14:val="tx1"/>
            </w14:solidFill>
          </w14:textFill>
        </w:rPr>
        <w:t>对农业生产发展项目的收入</w:t>
      </w:r>
      <w:r>
        <w:rPr>
          <w:rFonts w:hint="eastAsia" w:ascii="仿宋_GB2312" w:hAnsi="Times New Roman" w:eastAsia="仿宋_GB2312" w:cs="DengXian-Regular"/>
          <w:sz w:val="32"/>
          <w:szCs w:val="32"/>
        </w:rPr>
        <w:t>。支出总计（含结转和结余）874.80万元。与</w:t>
      </w:r>
      <w:r>
        <w:rPr>
          <w:rFonts w:ascii="仿宋_GB2312" w:hAnsi="Times New Roman" w:eastAsia="仿宋_GB2312" w:cs="DengXian-Regular"/>
          <w:sz w:val="32"/>
          <w:szCs w:val="32"/>
        </w:rPr>
        <w:t>201</w:t>
      </w:r>
      <w:r>
        <w:rPr>
          <w:rFonts w:hint="eastAsia" w:ascii="仿宋_GB2312" w:hAnsi="Times New Roman" w:eastAsia="仿宋_GB2312" w:cs="DengXian-Regular"/>
          <w:sz w:val="32"/>
          <w:szCs w:val="32"/>
        </w:rPr>
        <w:t>9年度决算相比，支出增加92.90万元，增长11.88%，主要原因是增加了对农业生产发展项目的支出。</w:t>
      </w:r>
    </w:p>
    <w:p>
      <w:pPr>
        <w:adjustRightInd w:val="0"/>
        <w:snapToGrid w:val="0"/>
        <w:spacing w:line="600" w:lineRule="exact"/>
        <w:ind w:firstLine="640" w:firstLineChars="200"/>
        <w:rPr>
          <w:rFonts w:ascii="仿宋_GB2312" w:hAnsi="Times New Roman" w:eastAsia="仿宋_GB2312" w:cs="Wingdings"/>
          <w:sz w:val="32"/>
          <w:szCs w:val="32"/>
          <w:highlight w:val="yellow"/>
        </w:rPr>
      </w:pPr>
    </w:p>
    <w:p>
      <w:pPr>
        <w:adjustRightInd w:val="0"/>
        <w:snapToGrid w:val="0"/>
        <w:spacing w:line="600" w:lineRule="exact"/>
        <w:rPr>
          <w:rFonts w:ascii="仿宋_GB2312" w:hAnsi="Times New Roman" w:eastAsia="仿宋_GB2312" w:cs="Wingdings"/>
          <w:sz w:val="32"/>
          <w:szCs w:val="32"/>
        </w:rPr>
      </w:pPr>
      <w:r>
        <w:rPr>
          <w:rFonts w:hint="eastAsia" w:ascii="仿宋_GB2312" w:hAnsi="Times New Roman" w:eastAsia="仿宋_GB2312" w:cs="Wingdings"/>
          <w:sz w:val="32"/>
          <w:szCs w:val="32"/>
        </w:rPr>
        <w:drawing>
          <wp:anchor distT="0" distB="0" distL="114300" distR="114300" simplePos="0" relativeHeight="251660288" behindDoc="1" locked="0" layoutInCell="1" allowOverlap="1">
            <wp:simplePos x="0" y="0"/>
            <wp:positionH relativeFrom="column">
              <wp:posOffset>744220</wp:posOffset>
            </wp:positionH>
            <wp:positionV relativeFrom="paragraph">
              <wp:posOffset>62230</wp:posOffset>
            </wp:positionV>
            <wp:extent cx="4157980" cy="2273300"/>
            <wp:effectExtent l="0" t="0" r="2540" b="12700"/>
            <wp:wrapNone/>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5800"/>
        </w:tabs>
        <w:adjustRightInd w:val="0"/>
        <w:snapToGrid w:val="0"/>
        <w:spacing w:line="600" w:lineRule="exact"/>
        <w:ind w:firstLine="640" w:firstLineChars="200"/>
        <w:rPr>
          <w:rFonts w:ascii="仿宋_GB2312" w:hAnsi="Times New Roman" w:eastAsia="仿宋_GB2312" w:cs="Wingdings"/>
          <w:sz w:val="18"/>
          <w:szCs w:val="18"/>
        </w:rPr>
      </w:pPr>
      <w:r>
        <w:rPr>
          <w:rFonts w:ascii="仿宋_GB2312" w:hAnsi="Times New Roman" w:eastAsia="仿宋_GB2312" w:cs="Wingdings"/>
          <w:sz w:val="32"/>
          <w:szCs w:val="32"/>
        </w:rPr>
        <w:tab/>
      </w:r>
    </w:p>
    <w:p>
      <w:pPr>
        <w:adjustRightInd w:val="0"/>
        <w:snapToGrid w:val="0"/>
        <w:spacing w:line="600" w:lineRule="exact"/>
        <w:ind w:firstLine="640" w:firstLineChars="200"/>
        <w:rPr>
          <w:rFonts w:ascii="仿宋_GB2312" w:hAnsi="Times New Roman" w:eastAsia="仿宋_GB2312" w:cs="Wingdings"/>
          <w:sz w:val="32"/>
          <w:szCs w:val="32"/>
        </w:rPr>
      </w:pPr>
    </w:p>
    <w:p>
      <w:pPr>
        <w:tabs>
          <w:tab w:val="left" w:pos="2820"/>
        </w:tabs>
        <w:adjustRightInd w:val="0"/>
        <w:snapToGrid w:val="0"/>
        <w:spacing w:line="600" w:lineRule="exact"/>
        <w:ind w:firstLine="640" w:firstLineChars="200"/>
        <w:rPr>
          <w:rFonts w:ascii="仿宋_GB2312" w:hAnsi="Times New Roman" w:eastAsia="仿宋_GB2312" w:cs="Wingdings"/>
          <w:sz w:val="20"/>
          <w:szCs w:val="20"/>
        </w:rPr>
      </w:pPr>
      <w:r>
        <w:rPr>
          <w:rFonts w:ascii="仿宋_GB2312" w:hAnsi="Times New Roman" w:eastAsia="仿宋_GB2312" w:cs="Wingdings"/>
          <w:sz w:val="32"/>
          <w:szCs w:val="32"/>
        </w:rPr>
        <w:tab/>
      </w:r>
    </w:p>
    <w:p>
      <w:pPr>
        <w:keepNext/>
        <w:keepLines/>
        <w:snapToGrid w:val="0"/>
        <w:spacing w:line="600" w:lineRule="exact"/>
        <w:ind w:firstLine="640" w:firstLineChars="200"/>
        <w:outlineLvl w:val="1"/>
        <w:rPr>
          <w:rFonts w:ascii="黑体" w:hAnsi="Calibri" w:eastAsia="黑体" w:cs="Times New Roman"/>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仿宋_GB2312" w:hAnsi="Times New Roman" w:eastAsia="仿宋_GB2312" w:cs="Wingdings"/>
          <w:sz w:val="32"/>
          <w:szCs w:val="32"/>
          <w:highlight w:val="yellow"/>
        </w:rPr>
      </w:pPr>
      <w:r>
        <w:rPr>
          <w:rFonts w:hint="eastAsia" w:ascii="仿宋_GB2312" w:hAnsi="Times New Roman" w:eastAsia="仿宋_GB2312" w:cs="Wingdings"/>
          <w:sz w:val="32"/>
          <w:szCs w:val="32"/>
        </w:rPr>
        <w:t>本部门2020年度本年收入合计874.80万元，其中：财政拨款收入874.80万元，占100%；事业收入0万元，占0 %；经营收入0万元，占0 %；其他收入0万元，占0 %。</w: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600" w:lineRule="exact"/>
        <w:ind w:firstLine="800" w:firstLineChars="25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本部门2020年度本年支出合计874.00万元，其中：基本支出503.12万元，占57.57%；项目支出370.88万元，占42.43%；经营支出0.00万元，占0 %。</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财政拨款收支均为一般公共预算财政拨款，其中本年收入874.80万元,比2019年度增加92.90万元，增长11.88%，主要是增加了对农业生产发展的项目收入；本年支出874.00万元，增加92.10万元，增长11.78%，主要是增加了对农业生产发展的项目支出。</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一般公共预算财政拨款收入874.80万元，完成年初预算的117.01%,比年初预算增加127.15万元，决算数大于预算数主要原因是追加了项目支出；本年支出874.00万元，完成年初预算的116.90%,比年初预算增加126.35万元，决算数大于预算数主要原因是主要是完成了追加的项目支出。</w:t>
      </w:r>
    </w:p>
    <w:p>
      <w:pPr>
        <w:numPr>
          <w:ilvl w:val="0"/>
          <w:numId w:val="2"/>
        </w:num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支出874.00万元，主要用于以下方面：一般公共服务（类）支出447.68万元，占51.23%，；文化旅游体育与传媒（类）支出12.00万元，占1.37%；社会保障和就业（类）支出62.67万元，占7.17%；卫生健康（类）支出25.73万元，占2.94%；农林水（类）支出307.23万元，占35.15%；住房保障（类）支出18.70万元，占 2.14%。</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年度财政拨款基本支出503.13万元，其中：人员经费 465.30万元，主要包括基本工资、津贴补贴、奖金、绩效工资、机关事业单位基本养老保险缴费、职业年金缴费、职工基本医疗保险缴费、住房公积金、其他社会保障缴费、退休费、抚恤金、生活补助、奖励金；公用经费 37.83万元，主要包括办公费、邮电费、取暖费、公务用车运行维护费、其他交通费用、其他商品和服务支出。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本部门2020年度“三公”经费财政拨款支出预算为7.20万元，支出决算为7.20万元，完成预算的100%,与年初预算持平；较2019年度减少0.82万元，降低10.22%，主要是我单位</w:t>
      </w:r>
      <w:r>
        <w:rPr>
          <w:rFonts w:hint="eastAsia" w:ascii="仿宋_GB2312" w:hAnsi="宋体" w:eastAsia="仿宋_GB2312"/>
          <w:sz w:val="32"/>
          <w:szCs w:val="32"/>
        </w:rPr>
        <w:t>厉行节约，压缩三公经费支出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本部门2020年因公出国（境）费支出0万元，完成预算的100%。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与年初预算持平，未发生因公出国（境）费支出；因公出国（境）费支出与2019年度决算支出持平，未发生因公出国（境）费支出。</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本部门2020年公务用车购置及运行维护费支出7.20万元，完成预算的100%，与年初预算数持平</w:t>
      </w:r>
      <w:r>
        <w:rPr>
          <w:rFonts w:hint="eastAsia" w:ascii="仿宋_GB2312" w:hAnsi="Times New Roman" w:eastAsia="仿宋_GB2312" w:cs="Wingdings"/>
          <w:sz w:val="32"/>
          <w:szCs w:val="32"/>
        </w:rPr>
        <w:t>；较上年减少0.82万元，降低10.22%,主要是我单位</w:t>
      </w:r>
      <w:r>
        <w:rPr>
          <w:rFonts w:hint="eastAsia" w:ascii="仿宋_GB2312" w:hAnsi="宋体" w:eastAsia="仿宋_GB2312"/>
          <w:sz w:val="32"/>
          <w:szCs w:val="32"/>
        </w:rPr>
        <w:t>厉行节约，压缩三公经费支出</w:t>
      </w:r>
      <w:r>
        <w:rPr>
          <w:rFonts w:hint="eastAsia" w:ascii="仿宋_GB2312" w:hAnsi="Times New Roman" w:eastAsia="仿宋_GB2312" w:cs="Wingdings"/>
          <w:sz w:val="32"/>
          <w:szCs w:val="32"/>
        </w:rPr>
        <w:t>。</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本部门2020年度公务用车购置量0辆，发生“公务用车购置”经费支出0.00万元。公务用车购置费支出与年初预算持平；与2019年度决算支出持平。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本部门2020年度单位公务用车保有量2辆,发生运行维护费支出7.20万元。公车运行维护费支出与年初预算持平；较上年减少0.82万元，降低10.22%，主要是我单位</w:t>
      </w:r>
      <w:r>
        <w:rPr>
          <w:rFonts w:hint="eastAsia" w:ascii="仿宋_GB2312" w:hAnsi="宋体" w:eastAsia="仿宋_GB2312"/>
          <w:sz w:val="32"/>
          <w:szCs w:val="32"/>
        </w:rPr>
        <w:t>厉行节约，压缩三公经费支出</w:t>
      </w:r>
      <w:r>
        <w:rPr>
          <w:rFonts w:hint="eastAsia" w:ascii="仿宋_GB2312" w:hAnsi="Times New Roman" w:eastAsia="仿宋_GB2312" w:cs="Wingdings"/>
          <w:sz w:val="32"/>
          <w:szCs w:val="32"/>
        </w:rPr>
        <w:t>。</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本部门2020年公务接待费支出0万元，完成预算的100%。发生</w:t>
      </w:r>
      <w:r>
        <w:rPr>
          <w:rFonts w:hint="eastAsia" w:ascii="仿宋_GB2312" w:hAnsi="Times New Roman" w:eastAsia="仿宋_GB2312" w:cs="Wingdings"/>
          <w:sz w:val="32"/>
          <w:szCs w:val="32"/>
        </w:rPr>
        <w:t>公务接待共0批次、0人次。公务接待费支出与年初预算持平；与2019年度决算支出持平。</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根据预算绩效管理要求，本部门组织对2020年度项目支出全面开展绩效自评，其中，一般公共预算一级项目14个，二级项目0个，共涉及资金262.79万元，占一般公共预算项目支出总额的70.86%。</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组织对“拆除东龙门村、南水峪村、北水峪村涉河违建所需经费”、“信访重点人稳控经费”2个一级项目开展了部门评价，涉及一般公共预算支出33.00万元。从评价情况来看，本部门对2个项目均能按时、按质、按量对资金予以作用及发放到位。</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本部门在今年部门决算公开中反映拆除东龙门村、南水峪村、北水峪村涉河违建所需经费及信访重点人稳控经费2个项目绩效自评结果。</w:t>
      </w:r>
    </w:p>
    <w:p>
      <w:pPr>
        <w:numPr>
          <w:ilvl w:val="0"/>
          <w:numId w:val="3"/>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拆除东龙门村、南水峪村、北水峪村涉河违建所需经费项目自评综述：根据年初设定的绩效目标，拆除东龙门村、南水峪村、北水峪村涉河违建所需经费项目绩效自评得分为100分。全年预算数为30.00万元，执行数为30.00万元，完成预算的100 %。项目绩效目标完成情况：一是完成了本乡涉河违建的拆除工作；二是保护了本乡的生态环境。发现的主要问题及原因：无。下一步改进措施：无。</w:t>
      </w:r>
    </w:p>
    <w:p>
      <w:pPr>
        <w:numPr>
          <w:ilvl w:val="0"/>
          <w:numId w:val="3"/>
        </w:num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信访重点人稳控经费项目自评综述：根据年初设定的绩效目标，信访重点人稳控经费项目绩效自评得分为100分。全年预算数为3.00万元，执行数为3.00万元，完成预算的100 %。项目绩效目标完成情况：一是维护村内稳定和正常秩序；二是保证了乡政府各项工作的稳定开展。发现的主要问题及原因：无。下一步改进措施：无。</w:t>
      </w:r>
    </w:p>
    <w:p>
      <w:pPr>
        <w:adjustRightInd w:val="0"/>
        <w:snapToGrid w:val="0"/>
        <w:spacing w:line="60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（三）财政评价项目绩效评价结果</w:t>
      </w:r>
      <w:r>
        <w:rPr>
          <w:rFonts w:hint="eastAsia" w:ascii="仿宋_GB2312" w:hAnsi="仿宋_GB2312" w:eastAsia="仿宋_GB2312" w:cs="仿宋_GB2312"/>
          <w:b/>
          <w:bCs/>
          <w:sz w:val="32"/>
          <w:szCs w:val="32"/>
        </w:rPr>
        <w:t>。</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本部门2020年度机关运行经费支出37.83万元，比2019年度减少39.88万元，降低54.85%。主要原因是</w:t>
      </w:r>
      <w:r>
        <w:rPr>
          <w:rFonts w:hint="eastAsia" w:ascii="仿宋_GB2312" w:hAnsi="Times New Roman" w:eastAsia="仿宋_GB2312" w:cs="Wingdings"/>
          <w:sz w:val="32"/>
          <w:szCs w:val="32"/>
        </w:rPr>
        <w:t>单位</w:t>
      </w:r>
      <w:r>
        <w:rPr>
          <w:rFonts w:hint="eastAsia" w:ascii="仿宋_GB2312" w:hAnsi="宋体" w:eastAsia="仿宋_GB2312"/>
          <w:sz w:val="32"/>
          <w:szCs w:val="32"/>
        </w:rPr>
        <w:t>厉行节约，压缩机关运行经费支出</w:t>
      </w:r>
      <w:r>
        <w:rPr>
          <w:rFonts w:hint="eastAsia" w:ascii="仿宋_GB2312" w:hAnsi="仿宋_GB2312" w:eastAsia="仿宋_GB2312" w:cs="仿宋_GB2312"/>
          <w:sz w:val="32"/>
          <w:szCs w:val="32"/>
        </w:rPr>
        <w:t>。</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八、政府采购情况</w:t>
      </w:r>
    </w:p>
    <w:p>
      <w:pPr>
        <w:snapToGrid w:val="0"/>
        <w:spacing w:line="600" w:lineRule="exact"/>
        <w:ind w:firstLine="640" w:firstLineChars="200"/>
        <w:jc w:val="left"/>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rPr>
        <w:t>本部门2020年度政府采购支出总额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万元，从采购类型来看，</w:t>
      </w:r>
      <w:r>
        <w:rPr>
          <w:rFonts w:hint="eastAsia"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p>
    <w:p>
      <w:pPr>
        <w:snapToGrid w:val="0"/>
        <w:spacing w:line="600" w:lineRule="exact"/>
        <w:ind w:firstLine="640" w:firstLineChars="200"/>
        <w:jc w:val="left"/>
        <w:rPr>
          <w:rFonts w:ascii="黑体" w:hAnsi="黑体" w:eastAsia="黑体" w:cs="黑体"/>
          <w:sz w:val="32"/>
          <w:szCs w:val="32"/>
        </w:rPr>
      </w:pPr>
      <w:bookmarkStart w:id="0" w:name="_GoBack"/>
      <w:bookmarkEnd w:id="0"/>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2辆，与上年保有数持平。其中，副部（省）级及以上领导用车0辆，主要领导干部用车0辆，机要通信用车0辆，应急保障用车0辆，执法执勤用车0辆，特种专业技术用车0辆，离退休干部用车0辆，其他用车2辆，其他用车主要是防火巡逻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单位价值50万元以上通用设备0台（套），与上年持平，单位价值100万元以上专用设备0台（套），与上年持平。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w:t>
      </w:r>
      <w:r>
        <w:rPr>
          <w:rFonts w:hint="eastAsia" w:ascii="仿宋_GB2312" w:hAnsi="Times New Roman" w:eastAsia="仿宋_GB2312" w:cs="DengXian-Regular"/>
          <w:sz w:val="32"/>
          <w:szCs w:val="32"/>
        </w:rPr>
        <w:t>政府性基金预算财政拨款收入支出决算表、国有资本经营预算财政拨款支出决算表</w:t>
      </w:r>
      <w:r>
        <w:rPr>
          <w:rFonts w:hint="eastAsia" w:ascii="仿宋_GB2312" w:hAnsi="仿宋_GB2312" w:eastAsia="仿宋_GB2312" w:cs="仿宋_GB2312"/>
          <w:sz w:val="32"/>
          <w:szCs w:val="32"/>
        </w:rPr>
        <w:t>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mc:AlternateContent>
          <mc:Choice Requires="wps">
            <w:drawing>
              <wp:anchor distT="0" distB="0" distL="114300" distR="114300" simplePos="0" relativeHeight="251662336" behindDoc="0" locked="0" layoutInCell="1" allowOverlap="1">
                <wp:simplePos x="0" y="0"/>
                <wp:positionH relativeFrom="column">
                  <wp:posOffset>-1022350</wp:posOffset>
                </wp:positionH>
                <wp:positionV relativeFrom="paragraph">
                  <wp:posOffset>201930</wp:posOffset>
                </wp:positionV>
                <wp:extent cx="7793355" cy="3341370"/>
                <wp:effectExtent l="6350" t="11430" r="10795" b="9525"/>
                <wp:wrapNone/>
                <wp:docPr id="2" name="Text Box 5" descr="5%"/>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chemeClr val="bg1">
                              <a:lumMod val="50000"/>
                              <a:lumOff val="0"/>
                            </a:schemeClr>
                          </a:fgClr>
                          <a:bgClr>
                            <a:schemeClr val="bg1">
                              <a:lumMod val="100000"/>
                              <a:lumOff val="0"/>
                            </a:schemeClr>
                          </a:bgClr>
                        </a:pattFill>
                        <a:ln w="6350">
                          <a:solidFill>
                            <a:schemeClr val="bg1">
                              <a:lumMod val="50000"/>
                              <a:lumOff val="0"/>
                            </a:schemeClr>
                          </a:solidFill>
                          <a:round/>
                        </a:ln>
                      </wps:spPr>
                      <wps:txb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wps:txbx>
                      <wps:bodyPr rot="0" vert="horz" wrap="square" lIns="91440" tIns="45720" rIns="91440" bIns="45720" anchor="ctr" anchorCtr="0" upright="1">
                        <a:noAutofit/>
                      </wps:bodyPr>
                    </wps:wsp>
                  </a:graphicData>
                </a:graphic>
              </wp:anchor>
            </w:drawing>
          </mc:Choice>
          <mc:Fallback>
            <w:pict>
              <v:shape id="Text Box 5" o:spid="_x0000_s1026" o:spt="202" alt="5%" type="#_x0000_t202" style="position:absolute;left:0pt;margin-left:-80.5pt;margin-top:15.9pt;height:263.1pt;width:613.65pt;z-index:251662336;v-text-anchor:middle;mso-width-relative:page;mso-height-relative:page;" fillcolor="#7F7F7F [3212]"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I+Clk1wAgAAcAUAAA4AAABkcnMvZTJvRG9jLnhtbLVU&#10;227UMBB9R+IfLEs80uwtXRo1W5VdLUIqF6nlAxzHuQjHY2xnk/L1jO3ssrQ89AEcKfJlfGbOzBlf&#10;34ydJAdhbAsqp/OLGSVCcShbVef028P+7TtKrGOqZBKUyOmjsPRm8/rV9aAzsYAGZCkMQRBls0Hn&#10;tHFOZ0lieSM6Zi9AC4WHFZiOOVyaOikNGxC9k8liNrtMBjClNsCFtbi7i4d0QjQvAYSqarnYAe87&#10;oVxENUIyh5Rs02pLNyHaqhLcfakqKxyROUWmLvzRCc4L/0821yyrDdNNy6cQ2EtCeMKpY61Cpyeo&#10;HXOM9KZ9BtW13ICFyl1w6JJIJGQEWcxnT3Jz3zAtAhdMtdWnpNt/B8s/H74a0pY5XVCiWIcFfxCj&#10;I+9hJCklpbAcs5W+8YkatM3Q/l7jDTeiBconkLb6Dvh3SxRsG6ZqcWsMDI1gJQY69zeTs6sRx3qQ&#10;YvgEJXpkvYMANFam81nEvBBExyI9norko+K4uV5fLZcpxsbxbLlczZfrUMaEZcfr2lj3QUBH/CSn&#10;BlUQ4NnhzjofDsuOJt6bZs7tWyknc81dGsyreiuNN7CmLnBKDgxVtN77LxjIvkMCcTud4Yhywm0U&#10;Xdw+hjZBBN8n3OKvDvZhPHMw9w5e6GEC9jwnbp6GVGTI6eUynQVwC7ItPe//QPEPbAO9KmPapZrE&#10;4OsfleDGYpzEVUD5iLIwENsUHymcNGB+UjJgi+bU/uiZEZTIjwqldTVfrXxPh8UqXS9wYc5PivMT&#10;pjhC5ZQ7Q0lcbF18CXpt2rpBX1HOCm5RkFUbpOKVG+OaIsdGDFWcHg3f6efrYPX7odz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0jT7ZAAAADAEAAA8AAAAAAAAAAQAgAAAAIgAAAGRycy9kb3du&#10;cmV2LnhtbFBLAQIUABQAAAAIAIdO4kCPgpZNcAIAAHAFAAAOAAAAAAAAAAEAIAAAACgBAABkcnMv&#10;ZTJvRG9jLnhtbFBLBQYAAAAABgAGAFkBAAAKBgAAAAA=&#10;">
                <v:fill type="pattern" on="t" color2="#FFFFFF [3228]" o:title="5%" focussize="0,0" r:id="rId13"/>
                <v:stroke weight="0.5pt" color="#7F7F7F [3212]" joinstyle="round"/>
                <v:imagedata o:title=""/>
                <o:lock v:ext="edit" aspectratio="f"/>
                <v:textbox>
                  <w:txbxContent>
                    <w:p>
                      <w:pPr>
                        <w:widowControl/>
                        <w:jc w:val="center"/>
                      </w:pPr>
                      <w:r>
                        <w:rPr>
                          <w:rFonts w:hint="eastAsia" w:ascii="黑体" w:hAnsi="黑体" w:eastAsia="黑体" w:cs="黑体"/>
                          <w:color w:val="000000" w:themeColor="text1"/>
                          <w:sz w:val="90"/>
                          <w:szCs w:val="90"/>
                          <w14:textFill>
                            <w14:solidFill>
                              <w14:schemeClr w14:val="tx1"/>
                            </w14:solidFill>
                          </w14:textFill>
                        </w:rPr>
                        <w:t>第三部分 相关名词解释</w:t>
                      </w:r>
                    </w:p>
                  </w:txbxContent>
                </v:textbox>
              </v:shape>
            </w:pict>
          </mc:Fallback>
        </mc:AlternateConten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-1027430</wp:posOffset>
                </wp:positionH>
                <wp:positionV relativeFrom="paragraph">
                  <wp:posOffset>1151255</wp:posOffset>
                </wp:positionV>
                <wp:extent cx="7793355" cy="3341370"/>
                <wp:effectExtent l="10795" t="8255" r="15875" b="12700"/>
                <wp:wrapNone/>
                <wp:docPr id="1" name="Text Box 4" descr="5%"/>
                <wp:cNvGraphicFramePr/>
                <a:graphic xmlns:a="http://schemas.openxmlformats.org/drawingml/2006/main">
                  <a:graphicData uri="http://schemas.microsoft.com/office/word/2010/wordprocessingShape">
                    <wps:wsp>
                      <wps:cNvSpPr txBox="1">
                        <a:spLocks noChangeArrowheads="1"/>
                      </wps:cNvSpPr>
                      <wps:spPr bwMode="auto">
                        <a:xfrm>
                          <a:off x="0" y="0"/>
                          <a:ext cx="7793355" cy="3341370"/>
                        </a:xfrm>
                        <a:prstGeom prst="rect">
                          <a:avLst/>
                        </a:prstGeom>
                        <a:pattFill prst="pct5">
                          <a:fgClr>
                            <a:srgbClr val="7F7F7F"/>
                          </a:fgClr>
                          <a:bgClr>
                            <a:srgbClr val="FFFFFF"/>
                          </a:bgClr>
                        </a:pattFill>
                        <a:ln w="12700">
                          <a:solidFill>
                            <a:srgbClr val="A6A6A6"/>
                          </a:solidFill>
                          <a:round/>
                        </a:ln>
                      </wps:spPr>
                      <wps:txb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wps:txbx>
                      <wps:bodyPr rot="0" vert="horz" wrap="square" lIns="91440" tIns="45720" rIns="91440" bIns="45720" anchor="ctr" anchorCtr="0" upright="1">
                        <a:noAutofit/>
                      </wps:bodyPr>
                    </wps:wsp>
                  </a:graphicData>
                </a:graphic>
              </wp:anchor>
            </w:drawing>
          </mc:Choice>
          <mc:Fallback>
            <w:pict>
              <v:shape id="Text Box 4" o:spid="_x0000_s1026" o:spt="202" alt="5%" type="#_x0000_t202" style="position:absolute;left:0pt;margin-left:-80.9pt;margin-top:90.65pt;height:263.1pt;width:613.65pt;z-index:251665408;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Fi5OedYAgAA0QQAAA4AAABkcnMvZTJvRG9jLnht&#10;bK1U227UMBB9R+IfLEs80uyVpVGzVWm1CKlcpJYPcBwnsXA8ZuzdpHw9YyddlpaHPpBIkSc+PjNz&#10;ZsYXl0Nn2EGh12ALPj+bcaashErbpuDf73dv33Pmg7CVMGBVwR+U55fb168ueperBbRgKoWMSKzP&#10;e1fwNgSXZ5mXreqEPwOnLG3WgJ0IZGKTVSh6Yu9MtpjN3mU9YOUQpPKe/t6Mm3xixJcQQl1rqW5A&#10;7jtlw8iKyohAKflWO8+3Kdq6VjJ8rWuvAjMFp0xD+pITWpfxm20vRN6gcK2WUwjiJSE8yakT2pLT&#10;I9WNCILtUT+j6rRE8FCHMwldNiaSFKEs5rMn2ty1wqmUC0nt3VF0//9o5ZfDN2S6ok7gzIqOCn6v&#10;hsA+wMBWnFXKS1Jr/SYK1TufE/7O0YkwECIeikl7dwvyh2cWrlthG3WFCH2rREWBzuPJ7OToyOMj&#10;Sdl/hoo8in2ARDTU2EVC0oUROxXp4VikGJWkn5vN+XK5XnMmaW+5XM2Xm1TGTOSPxx368FFBx+Ki&#10;4EhdkOjF4daHGI7IHyHRmxMh7LQxE9zJsE7wurk2mPLDpqQlOwjqos0uvikrkR8h5T+xu/RM2AkS&#10;nU8OI7exrCeVFpvZLDn1YHQVo3nm+OpdfCeyv2AIe1uNeRk7qR0FHqUOQzlM1SuheiDdEcY5oFuA&#10;Fi3gL856moGC+597gYoz88lS7c7nq1UcmmSs1psFGXi6U57uCCuJquAyIGejcR3GUds71E1LvsZ+&#10;sXBFFa91qkVsjTGuKXLq9FSiaSrjKJ3aCfXnJtr+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ANh&#10;BuPcAAAADQEAAA8AAAAAAAAAAQAgAAAAIgAAAGRycy9kb3ducmV2LnhtbFBLAQIUABQAAAAIAIdO&#10;4kBYuTnnWAIAANEEAAAOAAAAAAAAAAEAIAAAACsBAABkcnMvZTJvRG9jLnhtbFBLBQYAAAAABgAG&#10;AFkBAAD1BQAAAAA=&#10;">
                <v:fill type="pattern" on="t" color2="#FFFFFF" o:title="5%" focussize="0,0" r:id="rId13"/>
                <v:stroke weight="1pt" color="#A6A6A6" joinstyle="round"/>
                <v:imagedata o:title=""/>
                <o:lock v:ext="edit" aspectratio="f"/>
                <v:textbox>
                  <w:txbxContent>
                    <w:p>
                      <w:pPr>
                        <w:widowControl/>
                        <w:jc w:val="center"/>
                        <w:rPr>
                          <w:rFonts w:ascii="黑体" w:hAnsi="黑体" w:eastAsia="黑体" w:cs="黑体"/>
                          <w:color w:val="000000" w:themeColor="text1"/>
                          <w:sz w:val="90"/>
                          <w:szCs w:val="90"/>
                          <w14:textFill>
                            <w14:solidFill>
                              <w14:schemeClr w14:val="tx1"/>
                            </w14:solidFill>
                          </w14:textFill>
                        </w:rPr>
                      </w:pPr>
                      <w:r>
                        <w:rPr>
                          <w:rFonts w:hint="eastAsia" w:ascii="黑体" w:hAnsi="黑体" w:eastAsia="黑体" w:cs="黑体"/>
                          <w:color w:val="000000" w:themeColor="text1"/>
                          <w:sz w:val="90"/>
                          <w:szCs w:val="90"/>
                          <w14:textFill>
                            <w14:solidFill>
                              <w14:schemeClr w14:val="tx1"/>
                            </w14:solidFill>
                          </w14:textFill>
                        </w:rPr>
                        <w:t xml:space="preserve">第四部分 </w:t>
                      </w:r>
                    </w:p>
                    <w:p>
                      <w:pPr>
                        <w:widowControl/>
                        <w:jc w:val="center"/>
                      </w:pPr>
                      <w:r>
                        <w:rPr>
                          <w:rFonts w:hint="eastAsia" w:ascii="黑体" w:hAnsi="黑体" w:eastAsia="黑体" w:cs="黑体"/>
                          <w:color w:val="000000" w:themeColor="text1"/>
                          <w:sz w:val="90"/>
                          <w:szCs w:val="90"/>
                          <w14:textFill>
                            <w14:solidFill>
                              <w14:schemeClr w14:val="tx1"/>
                            </w14:solidFill>
                          </w14:textFill>
                        </w:rPr>
                        <w:t>2020年度部门决算报表</w:t>
                      </w:r>
                    </w:p>
                    <w:p/>
                  </w:txbxContent>
                </v:textbox>
              </v:shape>
            </w:pict>
          </mc:Fallback>
        </mc:AlternateContent>
      </w:r>
    </w:p>
    <w:tbl>
      <w:tblPr>
        <w:tblStyle w:val="7"/>
        <w:tblW w:w="9252" w:type="dxa"/>
        <w:tblInd w:w="0" w:type="dxa"/>
        <w:tblLayout w:type="fixed"/>
        <w:tblCellMar>
          <w:top w:w="15" w:type="dxa"/>
          <w:left w:w="15" w:type="dxa"/>
          <w:bottom w:w="15" w:type="dxa"/>
          <w:right w:w="15" w:type="dxa"/>
        </w:tblCellMar>
      </w:tblPr>
      <w:tblGrid>
        <w:gridCol w:w="2356"/>
        <w:gridCol w:w="353"/>
        <w:gridCol w:w="79"/>
        <w:gridCol w:w="346"/>
        <w:gridCol w:w="1417"/>
        <w:gridCol w:w="2665"/>
        <w:gridCol w:w="432"/>
        <w:gridCol w:w="1604"/>
      </w:tblGrid>
      <w:tr>
        <w:tblPrEx>
          <w:tblCellMar>
            <w:top w:w="15" w:type="dxa"/>
            <w:left w:w="15" w:type="dxa"/>
            <w:bottom w:w="15" w:type="dxa"/>
            <w:right w:w="15" w:type="dxa"/>
          </w:tblCellMar>
        </w:tblPrEx>
        <w:trPr>
          <w:trHeight w:val="227" w:hRule="atLeast"/>
        </w:trPr>
        <w:tc>
          <w:tcPr>
            <w:tcW w:w="9252" w:type="dxa"/>
            <w:gridSpan w:val="8"/>
            <w:tcBorders>
              <w:right w:val="single" w:color="808080" w:sz="4" w:space="0"/>
            </w:tcBorders>
            <w:shd w:val="clear" w:color="auto" w:fill="FFFFFF"/>
            <w:vAlign w:val="center"/>
          </w:tcPr>
          <w:p>
            <w:pPr>
              <w:widowControl/>
              <w:jc w:val="center"/>
              <w:textAlignment w:val="center"/>
              <w:rPr>
                <w:rFonts w:ascii="黑体" w:hAnsi="宋体" w:eastAsia="黑体" w:cs="黑体"/>
                <w:color w:val="000000"/>
                <w:sz w:val="30"/>
                <w:szCs w:val="30"/>
              </w:rPr>
            </w:pPr>
            <w:r>
              <w:rPr>
                <w:rFonts w:hint="eastAsia" w:ascii="黑体" w:hAnsi="宋体" w:eastAsia="黑体" w:cs="黑体"/>
                <w:color w:val="000000"/>
                <w:kern w:val="0"/>
                <w:sz w:val="30"/>
                <w:szCs w:val="30"/>
                <w:lang w:bidi="ar"/>
              </w:rPr>
              <w:t>收入支出决算总表</w:t>
            </w:r>
          </w:p>
        </w:tc>
      </w:tr>
      <w:tr>
        <w:tblPrEx>
          <w:tblCellMar>
            <w:top w:w="15" w:type="dxa"/>
            <w:left w:w="15" w:type="dxa"/>
            <w:bottom w:w="15" w:type="dxa"/>
            <w:right w:w="15" w:type="dxa"/>
          </w:tblCellMar>
        </w:tblPrEx>
        <w:trPr>
          <w:trHeight w:val="227" w:hRule="atLeast"/>
        </w:trPr>
        <w:tc>
          <w:tcPr>
            <w:tcW w:w="2356" w:type="dxa"/>
            <w:shd w:val="clear" w:color="auto" w:fill="FFFFFF"/>
            <w:vAlign w:val="center"/>
          </w:tcPr>
          <w:p>
            <w:pPr>
              <w:jc w:val="left"/>
              <w:rPr>
                <w:rFonts w:ascii="宋体" w:hAnsi="宋体" w:eastAsia="宋体" w:cs="宋体"/>
                <w:color w:val="000000"/>
                <w:sz w:val="18"/>
                <w:szCs w:val="18"/>
              </w:rPr>
            </w:pPr>
          </w:p>
        </w:tc>
        <w:tc>
          <w:tcPr>
            <w:tcW w:w="432" w:type="dxa"/>
            <w:gridSpan w:val="2"/>
            <w:shd w:val="clear" w:color="auto" w:fill="FFFFFF"/>
            <w:vAlign w:val="center"/>
          </w:tcPr>
          <w:p>
            <w:pPr>
              <w:jc w:val="left"/>
              <w:rPr>
                <w:rFonts w:ascii="宋体" w:hAnsi="宋体" w:eastAsia="宋体" w:cs="宋体"/>
                <w:color w:val="000000"/>
                <w:sz w:val="18"/>
                <w:szCs w:val="18"/>
              </w:rPr>
            </w:pPr>
          </w:p>
        </w:tc>
        <w:tc>
          <w:tcPr>
            <w:tcW w:w="1763" w:type="dxa"/>
            <w:gridSpan w:val="2"/>
            <w:shd w:val="clear" w:color="auto" w:fill="FFFFFF"/>
            <w:vAlign w:val="center"/>
          </w:tcPr>
          <w:p>
            <w:pPr>
              <w:jc w:val="left"/>
              <w:rPr>
                <w:rFonts w:ascii="宋体" w:hAnsi="宋体" w:eastAsia="宋体" w:cs="宋体"/>
                <w:color w:val="000000"/>
                <w:sz w:val="18"/>
                <w:szCs w:val="18"/>
              </w:rPr>
            </w:pPr>
          </w:p>
        </w:tc>
        <w:tc>
          <w:tcPr>
            <w:tcW w:w="2665" w:type="dxa"/>
            <w:shd w:val="clear" w:color="auto" w:fill="FFFFFF"/>
            <w:vAlign w:val="center"/>
          </w:tcPr>
          <w:p>
            <w:pPr>
              <w:jc w:val="left"/>
              <w:rPr>
                <w:rFonts w:ascii="宋体" w:hAnsi="宋体" w:eastAsia="宋体" w:cs="宋体"/>
                <w:color w:val="000000"/>
                <w:sz w:val="18"/>
                <w:szCs w:val="18"/>
              </w:rPr>
            </w:pPr>
          </w:p>
        </w:tc>
        <w:tc>
          <w:tcPr>
            <w:tcW w:w="432" w:type="dxa"/>
            <w:shd w:val="clear" w:color="auto" w:fill="FFFFFF"/>
            <w:vAlign w:val="center"/>
          </w:tcPr>
          <w:p>
            <w:pPr>
              <w:jc w:val="left"/>
              <w:rPr>
                <w:rFonts w:ascii="宋体" w:hAnsi="宋体" w:eastAsia="宋体" w:cs="宋体"/>
                <w:color w:val="000000"/>
                <w:sz w:val="18"/>
                <w:szCs w:val="18"/>
              </w:rPr>
            </w:pPr>
          </w:p>
        </w:tc>
        <w:tc>
          <w:tcPr>
            <w:tcW w:w="1604" w:type="dxa"/>
            <w:tcBorders>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公开01表</w:t>
            </w:r>
          </w:p>
        </w:tc>
      </w:tr>
      <w:tr>
        <w:tblPrEx>
          <w:tblCellMar>
            <w:top w:w="15" w:type="dxa"/>
            <w:left w:w="15" w:type="dxa"/>
            <w:bottom w:w="15" w:type="dxa"/>
            <w:right w:w="15" w:type="dxa"/>
          </w:tblCellMar>
        </w:tblPrEx>
        <w:trPr>
          <w:trHeight w:val="227" w:hRule="atLeast"/>
        </w:trPr>
        <w:tc>
          <w:tcPr>
            <w:tcW w:w="2356" w:type="dxa"/>
            <w:tcBorders>
              <w:bottom w:val="single" w:color="808080" w:sz="4" w:space="0"/>
            </w:tcBorders>
            <w:shd w:val="clear" w:color="auto" w:fill="FFFFFF"/>
            <w:vAlign w:val="center"/>
          </w:tcPr>
          <w:p>
            <w:pPr>
              <w:widowControl/>
              <w:jc w:val="lef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部门：</w:t>
            </w:r>
          </w:p>
        </w:tc>
        <w:tc>
          <w:tcPr>
            <w:tcW w:w="432" w:type="dxa"/>
            <w:gridSpan w:val="2"/>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763" w:type="dxa"/>
            <w:gridSpan w:val="2"/>
            <w:tcBorders>
              <w:bottom w:val="single" w:color="808080" w:sz="4" w:space="0"/>
            </w:tcBorders>
            <w:shd w:val="clear" w:color="auto" w:fill="FFFFFF"/>
            <w:vAlign w:val="center"/>
          </w:tcPr>
          <w:p>
            <w:pPr>
              <w:jc w:val="center"/>
              <w:rPr>
                <w:rFonts w:ascii="宋体" w:hAnsi="宋体" w:eastAsia="宋体" w:cs="宋体"/>
                <w:color w:val="000000"/>
                <w:sz w:val="24"/>
              </w:rPr>
            </w:pPr>
          </w:p>
        </w:tc>
        <w:tc>
          <w:tcPr>
            <w:tcW w:w="2665"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432" w:type="dxa"/>
            <w:tcBorders>
              <w:bottom w:val="single" w:color="808080" w:sz="4" w:space="0"/>
            </w:tcBorders>
            <w:shd w:val="clear" w:color="auto" w:fill="FFFFFF"/>
            <w:vAlign w:val="center"/>
          </w:tcPr>
          <w:p>
            <w:pPr>
              <w:jc w:val="left"/>
              <w:rPr>
                <w:rFonts w:ascii="宋体" w:hAnsi="宋体" w:eastAsia="宋体" w:cs="宋体"/>
                <w:color w:val="000000"/>
                <w:sz w:val="18"/>
                <w:szCs w:val="18"/>
              </w:rPr>
            </w:pPr>
          </w:p>
        </w:tc>
        <w:tc>
          <w:tcPr>
            <w:tcW w:w="1604" w:type="dxa"/>
            <w:tcBorders>
              <w:bottom w:val="single" w:color="808080" w:sz="4" w:space="0"/>
              <w:right w:val="single" w:color="808080" w:sz="4" w:space="0"/>
            </w:tcBorders>
            <w:shd w:val="clear" w:color="auto" w:fill="FFFFFF"/>
            <w:vAlign w:val="center"/>
          </w:tcPr>
          <w:p>
            <w:pPr>
              <w:widowControl/>
              <w:jc w:val="right"/>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bidi="ar"/>
              </w:rPr>
              <w:t>金额单位：万元</w:t>
            </w:r>
          </w:p>
        </w:tc>
      </w:tr>
      <w:tr>
        <w:tblPrEx>
          <w:tblCellMar>
            <w:top w:w="15" w:type="dxa"/>
            <w:left w:w="15" w:type="dxa"/>
            <w:bottom w:w="15" w:type="dxa"/>
            <w:right w:w="15" w:type="dxa"/>
          </w:tblCellMar>
        </w:tblPrEx>
        <w:trPr>
          <w:trHeight w:val="284" w:hRule="exact"/>
        </w:trPr>
        <w:tc>
          <w:tcPr>
            <w:tcW w:w="4551" w:type="dxa"/>
            <w:gridSpan w:val="5"/>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收入</w:t>
            </w:r>
          </w:p>
        </w:tc>
        <w:tc>
          <w:tcPr>
            <w:tcW w:w="4701" w:type="dxa"/>
            <w:gridSpan w:val="3"/>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支出</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项目</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行次</w:t>
            </w: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金额</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25" w:type="dxa"/>
            <w:gridSpan w:val="2"/>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417"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栏次</w:t>
            </w:r>
          </w:p>
        </w:tc>
        <w:tc>
          <w:tcPr>
            <w:tcW w:w="432" w:type="dxa"/>
            <w:tcBorders>
              <w:bottom w:val="single" w:color="000000" w:sz="4" w:space="0"/>
              <w:right w:val="single" w:color="000000" w:sz="4" w:space="0"/>
            </w:tcBorders>
            <w:shd w:val="clear" w:color="auto" w:fill="FFFFFF"/>
            <w:vAlign w:val="center"/>
          </w:tcPr>
          <w:p>
            <w:pPr>
              <w:jc w:val="center"/>
              <w:rPr>
                <w:rFonts w:ascii="宋体" w:hAnsi="宋体" w:eastAsia="宋体" w:cs="宋体"/>
                <w:color w:val="000000"/>
                <w:sz w:val="15"/>
                <w:szCs w:val="16"/>
              </w:rPr>
            </w:pPr>
          </w:p>
        </w:tc>
        <w:tc>
          <w:tcPr>
            <w:tcW w:w="1604"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rPr>
              <w:t>874.80</w:t>
            </w: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一、一般公共服务支出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447.68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二、政府性基金预算财政拨款收入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二、外交支出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三、国有资本经营预算财政拨款收入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三、国防支出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四、上级补助收入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四、公共安全支出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五、事业收入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五、教育支出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六、经营收入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六、科学技术支出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七、附属单位上缴收入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七、文化旅游体育与传媒支出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12.00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八、其他收入</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八、社会保障和就业支出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62.67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九、卫生健康支出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25.73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十、节能环保支出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十一、城乡社区支出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十二、农林水支出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43</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307.23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十三、交通运输支出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44</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十四、资源勘探工业信息等支出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45</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十五、商业服务业等支出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46</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十六、金融支出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47</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十七、援助其他地区支出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十八、自然资源海洋气象等支出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49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19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十九、住房保障支出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18.70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二十、粮油物资储备支出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51</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二十一、国有资本经营预算支出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52</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22</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二十二、灾害防治及应急管理支出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53</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23</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二十三、其他支出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54</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b/>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24</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二十四、债务还本支出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55</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25</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二十五、债务付息支出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56</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highlight w:val="none"/>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26</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二十六、抗疫特别国债安排的支出</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57</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本年收入合计</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27</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rPr>
              <w:t>874.80</w:t>
            </w:r>
          </w:p>
        </w:tc>
        <w:tc>
          <w:tcPr>
            <w:tcW w:w="2665"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本年支出合计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58</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15"/>
                <w:szCs w:val="16"/>
              </w:rPr>
            </w:pPr>
            <w:r>
              <w:rPr>
                <w:rFonts w:hint="eastAsia" w:ascii="宋体" w:hAnsi="宋体" w:eastAsia="宋体" w:cs="宋体"/>
                <w:color w:val="000000"/>
                <w:kern w:val="0"/>
                <w:sz w:val="18"/>
                <w:szCs w:val="18"/>
              </w:rPr>
              <w:t>874.00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使用非财政拨款结余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28</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highlight w:val="none"/>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结余分配</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59</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8"/>
                <w:szCs w:val="18"/>
              </w:rPr>
              <w:t>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年初结转和结余</w:t>
            </w: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29</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年末结转和结余</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60</w:t>
            </w:r>
          </w:p>
        </w:tc>
        <w:tc>
          <w:tcPr>
            <w:tcW w:w="1604" w:type="dxa"/>
            <w:tcBorders>
              <w:bottom w:val="single" w:color="000000" w:sz="4" w:space="0"/>
              <w:right w:val="single" w:color="000000" w:sz="4" w:space="0"/>
            </w:tcBorders>
            <w:shd w:val="clear" w:color="auto" w:fill="FFFFFF"/>
            <w:vAlign w:val="center"/>
          </w:tcPr>
          <w:p>
            <w:pPr>
              <w:widowControl/>
              <w:jc w:val="right"/>
              <w:textAlignment w:val="center"/>
              <w:rPr>
                <w:rFonts w:ascii="宋体" w:hAnsi="宋体" w:eastAsia="宋体" w:cs="宋体"/>
                <w:color w:val="000000"/>
                <w:sz w:val="15"/>
                <w:szCs w:val="16"/>
              </w:rPr>
            </w:pPr>
            <w:r>
              <w:rPr>
                <w:rFonts w:hint="eastAsia" w:ascii="宋体" w:hAnsi="宋体" w:eastAsia="宋体" w:cs="宋体"/>
                <w:color w:val="000000"/>
                <w:kern w:val="0"/>
                <w:sz w:val="18"/>
                <w:szCs w:val="18"/>
              </w:rPr>
              <w:t>0.80　</w:t>
            </w: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25" w:type="dxa"/>
            <w:gridSpan w:val="2"/>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30</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p>
        </w:tc>
        <w:tc>
          <w:tcPr>
            <w:tcW w:w="2665"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61</w:t>
            </w:r>
          </w:p>
        </w:tc>
        <w:tc>
          <w:tcPr>
            <w:tcW w:w="1604" w:type="dxa"/>
            <w:tcBorders>
              <w:bottom w:val="single" w:color="000000" w:sz="4" w:space="0"/>
              <w:right w:val="single" w:color="000000" w:sz="4" w:space="0"/>
            </w:tcBorders>
            <w:shd w:val="clear" w:color="auto" w:fill="FFFFFF"/>
            <w:vAlign w:val="center"/>
          </w:tcPr>
          <w:p>
            <w:pPr>
              <w:jc w:val="left"/>
              <w:rPr>
                <w:rFonts w:ascii="宋体" w:hAnsi="宋体" w:eastAsia="宋体" w:cs="宋体"/>
                <w:color w:val="000000"/>
                <w:sz w:val="15"/>
                <w:szCs w:val="16"/>
              </w:rPr>
            </w:pPr>
          </w:p>
        </w:tc>
      </w:tr>
      <w:tr>
        <w:tblPrEx>
          <w:tblCellMar>
            <w:top w:w="15" w:type="dxa"/>
            <w:left w:w="15" w:type="dxa"/>
            <w:bottom w:w="15" w:type="dxa"/>
            <w:right w:w="15" w:type="dxa"/>
          </w:tblCellMar>
        </w:tblPrEx>
        <w:trPr>
          <w:trHeight w:val="284" w:hRule="exact"/>
        </w:trPr>
        <w:tc>
          <w:tcPr>
            <w:tcW w:w="2709" w:type="dxa"/>
            <w:gridSpan w:val="2"/>
            <w:tcBorders>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25" w:type="dxa"/>
            <w:gridSpan w:val="2"/>
            <w:tcBorders>
              <w:bottom w:val="single" w:color="000000" w:sz="18"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31</w:t>
            </w:r>
          </w:p>
        </w:tc>
        <w:tc>
          <w:tcPr>
            <w:tcW w:w="1417"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rPr>
              <w:t>874.80</w:t>
            </w:r>
          </w:p>
        </w:tc>
        <w:tc>
          <w:tcPr>
            <w:tcW w:w="2665" w:type="dxa"/>
            <w:tcBorders>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sz w:val="15"/>
                <w:szCs w:val="16"/>
              </w:rPr>
            </w:pPr>
            <w:r>
              <w:rPr>
                <w:rFonts w:hint="eastAsia" w:ascii="宋体" w:hAnsi="宋体" w:eastAsia="宋体" w:cs="宋体"/>
                <w:b/>
                <w:color w:val="000000"/>
                <w:kern w:val="0"/>
                <w:sz w:val="15"/>
                <w:szCs w:val="16"/>
                <w:lang w:bidi="ar"/>
              </w:rPr>
              <w:t>总计</w:t>
            </w:r>
          </w:p>
        </w:tc>
        <w:tc>
          <w:tcPr>
            <w:tcW w:w="432" w:type="dxa"/>
            <w:tcBorders>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15"/>
                <w:szCs w:val="16"/>
              </w:rPr>
            </w:pPr>
            <w:r>
              <w:rPr>
                <w:rFonts w:hint="eastAsia" w:ascii="宋体" w:hAnsi="宋体" w:eastAsia="宋体" w:cs="宋体"/>
                <w:color w:val="000000"/>
                <w:kern w:val="0"/>
                <w:sz w:val="15"/>
                <w:szCs w:val="16"/>
                <w:lang w:bidi="ar"/>
              </w:rPr>
              <w:t>62</w:t>
            </w:r>
          </w:p>
        </w:tc>
        <w:tc>
          <w:tcPr>
            <w:tcW w:w="1604" w:type="dxa"/>
            <w:tcBorders>
              <w:bottom w:val="single" w:color="000000" w:sz="4" w:space="0"/>
              <w:right w:val="single" w:color="000000" w:sz="4" w:space="0"/>
            </w:tcBorders>
            <w:shd w:val="clear" w:color="auto" w:fill="FFFFFF"/>
            <w:vAlign w:val="center"/>
          </w:tcPr>
          <w:p>
            <w:pPr>
              <w:jc w:val="right"/>
              <w:rPr>
                <w:rFonts w:ascii="宋体" w:hAnsi="宋体" w:eastAsia="宋体" w:cs="宋体"/>
                <w:color w:val="000000"/>
                <w:sz w:val="15"/>
                <w:szCs w:val="16"/>
              </w:rPr>
            </w:pPr>
            <w:r>
              <w:rPr>
                <w:rFonts w:hint="eastAsia" w:ascii="宋体" w:hAnsi="宋体" w:eastAsia="宋体" w:cs="宋体"/>
                <w:color w:val="000000"/>
                <w:kern w:val="0"/>
                <w:sz w:val="18"/>
                <w:szCs w:val="18"/>
              </w:rPr>
              <w:t>874.80</w:t>
            </w:r>
          </w:p>
        </w:tc>
      </w:tr>
      <w:tr>
        <w:tblPrEx>
          <w:tblCellMar>
            <w:top w:w="15" w:type="dxa"/>
            <w:left w:w="15" w:type="dxa"/>
            <w:bottom w:w="15" w:type="dxa"/>
            <w:right w:w="15" w:type="dxa"/>
          </w:tblCellMar>
        </w:tblPrEx>
        <w:trPr>
          <w:trHeight w:val="340" w:hRule="exact"/>
        </w:trPr>
        <w:tc>
          <w:tcPr>
            <w:tcW w:w="9252" w:type="dxa"/>
            <w:gridSpan w:val="8"/>
            <w:shd w:val="clear" w:color="auto" w:fill="FFFFFF"/>
            <w:vAlign w:val="center"/>
          </w:tcPr>
          <w:p>
            <w:pPr>
              <w:widowControl/>
              <w:jc w:val="left"/>
              <w:textAlignment w:val="center"/>
              <w:rPr>
                <w:rFonts w:ascii="宋体" w:hAnsi="宋体" w:eastAsia="宋体" w:cs="宋体"/>
                <w:color w:val="000000"/>
                <w:sz w:val="15"/>
                <w:szCs w:val="16"/>
                <w:highlight w:val="none"/>
              </w:rPr>
            </w:pPr>
            <w:r>
              <w:rPr>
                <w:rFonts w:hint="eastAsia" w:ascii="宋体" w:hAnsi="宋体" w:eastAsia="宋体" w:cs="宋体"/>
                <w:color w:val="000000"/>
                <w:kern w:val="0"/>
                <w:sz w:val="15"/>
                <w:szCs w:val="16"/>
                <w:highlight w:val="none"/>
                <w:lang w:bidi="ar"/>
              </w:rPr>
              <w:t>注：本表反映部门（或单位）本年度的总收支和年末结转结余情况。本套报表金额单位转换时可能存在尾数误差。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7"/>
        <w:tblW w:w="0" w:type="auto"/>
        <w:jc w:val="center"/>
        <w:tblLayout w:type="fixed"/>
        <w:tblCellMar>
          <w:top w:w="0" w:type="dxa"/>
          <w:left w:w="0" w:type="dxa"/>
          <w:bottom w:w="0" w:type="dxa"/>
          <w:right w:w="0" w:type="dxa"/>
        </w:tblCellMar>
      </w:tblPr>
      <w:tblGrid>
        <w:gridCol w:w="883"/>
        <w:gridCol w:w="50"/>
        <w:gridCol w:w="50"/>
        <w:gridCol w:w="3430"/>
        <w:gridCol w:w="799"/>
        <w:gridCol w:w="799"/>
        <w:gridCol w:w="511"/>
        <w:gridCol w:w="581"/>
        <w:gridCol w:w="281"/>
        <w:gridCol w:w="286"/>
        <w:gridCol w:w="683"/>
        <w:gridCol w:w="521"/>
      </w:tblGrid>
      <w:tr>
        <w:tblPrEx>
          <w:tblCellMar>
            <w:top w:w="0" w:type="dxa"/>
            <w:left w:w="0" w:type="dxa"/>
            <w:bottom w:w="0" w:type="dxa"/>
            <w:right w:w="0" w:type="dxa"/>
          </w:tblCellMar>
        </w:tblPrEx>
        <w:trPr>
          <w:trHeight w:val="670" w:hRule="atLeast"/>
          <w:jc w:val="center"/>
        </w:trPr>
        <w:tc>
          <w:tcPr>
            <w:tcW w:w="8874" w:type="dxa"/>
            <w:gridSpan w:val="1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28"/>
                <w:szCs w:val="28"/>
              </w:rPr>
            </w:pPr>
            <w:r>
              <w:rPr>
                <w:rFonts w:hint="eastAsia" w:ascii="黑体" w:hAnsi="宋体" w:eastAsia="黑体" w:cs="黑体"/>
                <w:color w:val="000000"/>
                <w:kern w:val="0"/>
                <w:sz w:val="28"/>
                <w:szCs w:val="28"/>
              </w:rPr>
              <w:t>收入决算表</w:t>
            </w:r>
          </w:p>
        </w:tc>
      </w:tr>
      <w:tr>
        <w:tblPrEx>
          <w:tblCellMar>
            <w:top w:w="0" w:type="dxa"/>
            <w:left w:w="0" w:type="dxa"/>
            <w:bottom w:w="0" w:type="dxa"/>
            <w:right w:w="0" w:type="dxa"/>
          </w:tblCellMar>
        </w:tblPrEx>
        <w:trPr>
          <w:trHeight w:val="357" w:hRule="atLeast"/>
          <w:jc w:val="center"/>
        </w:trPr>
        <w:tc>
          <w:tcPr>
            <w:tcW w:w="88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2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49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CellMar>
            <w:top w:w="0" w:type="dxa"/>
            <w:left w:w="0" w:type="dxa"/>
            <w:bottom w:w="0" w:type="dxa"/>
            <w:right w:w="0" w:type="dxa"/>
          </w:tblCellMar>
        </w:tblPrEx>
        <w:trPr>
          <w:trHeight w:val="357" w:hRule="atLeast"/>
          <w:jc w:val="center"/>
        </w:trPr>
        <w:tc>
          <w:tcPr>
            <w:tcW w:w="883"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430"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79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1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58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1"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441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7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本年收入合计</w:t>
            </w:r>
          </w:p>
        </w:tc>
        <w:tc>
          <w:tcPr>
            <w:tcW w:w="799"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财政拨款收入</w:t>
            </w:r>
          </w:p>
        </w:tc>
        <w:tc>
          <w:tcPr>
            <w:tcW w:w="51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上级补助收入</w:t>
            </w:r>
          </w:p>
        </w:tc>
        <w:tc>
          <w:tcPr>
            <w:tcW w:w="58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事业收入</w:t>
            </w:r>
          </w:p>
        </w:tc>
        <w:tc>
          <w:tcPr>
            <w:tcW w:w="567"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经营收入</w:t>
            </w:r>
          </w:p>
        </w:tc>
        <w:tc>
          <w:tcPr>
            <w:tcW w:w="68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附属单位上缴收入</w:t>
            </w:r>
          </w:p>
        </w:tc>
        <w:tc>
          <w:tcPr>
            <w:tcW w:w="52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其他收入</w:t>
            </w:r>
          </w:p>
        </w:tc>
      </w:tr>
      <w:tr>
        <w:tblPrEx>
          <w:tblCellMar>
            <w:top w:w="0" w:type="dxa"/>
            <w:left w:w="0" w:type="dxa"/>
            <w:bottom w:w="0" w:type="dxa"/>
            <w:right w:w="0" w:type="dxa"/>
          </w:tblCellMar>
        </w:tblPrEx>
        <w:trPr>
          <w:trHeight w:val="380" w:hRule="atLeast"/>
          <w:jc w:val="center"/>
        </w:trPr>
        <w:tc>
          <w:tcPr>
            <w:tcW w:w="98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343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7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7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6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6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c>
          <w:tcPr>
            <w:tcW w:w="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1"/>
              </w:rPr>
            </w:pPr>
          </w:p>
        </w:tc>
      </w:tr>
      <w:tr>
        <w:tblPrEx>
          <w:tblCellMar>
            <w:top w:w="0" w:type="dxa"/>
            <w:left w:w="0" w:type="dxa"/>
            <w:bottom w:w="0" w:type="dxa"/>
            <w:right w:w="0" w:type="dxa"/>
          </w:tblCellMar>
        </w:tblPrEx>
        <w:trPr>
          <w:trHeight w:val="380" w:hRule="atLeast"/>
          <w:jc w:val="center"/>
        </w:trPr>
        <w:tc>
          <w:tcPr>
            <w:tcW w:w="98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98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343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7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99"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1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8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67"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8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2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441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7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51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58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56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6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52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4413"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874.80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rPr>
              <w:t>874.80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一般公共服务支出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448.48</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448.48</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政府办公厅（室）及相关机构事务</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448.48</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448.48</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行政运行</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190.07</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190.07</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一般行政管理事务</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2010305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专项业务活动</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信访事务</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2010350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事业运行</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214.40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214.40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文化旅游体育与传媒支出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文化和旅游</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2070109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群众文化</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12.00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社会保障和就业支出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62.67</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62.67</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行政事业单位养老支出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62.67</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62.67</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行政单位离退休</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7.13</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7.13</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事业单位离退休</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10.14</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10.14</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机关事业单位基本养老保险缴费支出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41.43</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41.43</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2080506</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机关事业单位职业年金缴费支出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3.96</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3.96</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卫生健康支出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25.73</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25.73</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21004</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公共卫生</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2100409</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重大公共卫生服务</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10.00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行政事业单位医疗</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15.73</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15.73</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行政单位医疗</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7.42</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7.42</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事业单位医疗</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8.31</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8.31</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农林水支出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307.23</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307.23</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农业农村</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115.89</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115.89</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2130122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农业生产发展</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110.01</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110.01</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2130152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对高校毕业生到基层任职补助</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5.88</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5.88</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21307</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农村综合改革</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191.34</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191.34</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2130701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对村级一事一议的补助</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38.43</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38.43</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2130705</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对村民委员会和村党支部的补助</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152.90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152.90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住房保障支出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18.70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18.70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22102</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住房改革支出</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18.70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18.70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98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2210201</w:t>
            </w:r>
          </w:p>
        </w:tc>
        <w:tc>
          <w:tcPr>
            <w:tcW w:w="3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住房公积金</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18.70</w:t>
            </w:r>
          </w:p>
        </w:tc>
        <w:tc>
          <w:tcPr>
            <w:tcW w:w="7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18.70</w:t>
            </w:r>
          </w:p>
        </w:tc>
        <w:tc>
          <w:tcPr>
            <w:tcW w:w="51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8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6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68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5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8874" w:type="dxa"/>
            <w:gridSpan w:val="1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pPr>
        <w:jc w:val="left"/>
      </w:pPr>
    </w:p>
    <w:p>
      <w:r>
        <w:br w:type="page"/>
      </w:r>
    </w:p>
    <w:tbl>
      <w:tblPr>
        <w:tblStyle w:val="7"/>
        <w:tblW w:w="0" w:type="auto"/>
        <w:jc w:val="center"/>
        <w:tblLayout w:type="autofit"/>
        <w:tblCellMar>
          <w:top w:w="0" w:type="dxa"/>
          <w:left w:w="0" w:type="dxa"/>
          <w:bottom w:w="0" w:type="dxa"/>
          <w:right w:w="0" w:type="dxa"/>
        </w:tblCellMar>
      </w:tblPr>
      <w:tblGrid>
        <w:gridCol w:w="913"/>
        <w:gridCol w:w="58"/>
        <w:gridCol w:w="58"/>
        <w:gridCol w:w="3430"/>
        <w:gridCol w:w="792"/>
        <w:gridCol w:w="659"/>
        <w:gridCol w:w="659"/>
        <w:gridCol w:w="561"/>
        <w:gridCol w:w="488"/>
        <w:gridCol w:w="1256"/>
      </w:tblGrid>
      <w:tr>
        <w:tblPrEx>
          <w:tblCellMar>
            <w:top w:w="0" w:type="dxa"/>
            <w:left w:w="0" w:type="dxa"/>
            <w:bottom w:w="0" w:type="dxa"/>
            <w:right w:w="0" w:type="dxa"/>
          </w:tblCellMar>
        </w:tblPrEx>
        <w:trPr>
          <w:trHeight w:val="612" w:hRule="atLeast"/>
          <w:jc w:val="center"/>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公开03表</w:t>
            </w:r>
          </w:p>
        </w:tc>
      </w:tr>
      <w:tr>
        <w:tblPrEx>
          <w:tblCellMar>
            <w:top w:w="0" w:type="dxa"/>
            <w:left w:w="0" w:type="dxa"/>
            <w:bottom w:w="0" w:type="dxa"/>
            <w:right w:w="0" w:type="dxa"/>
          </w:tblCellMar>
        </w:tblPrEx>
        <w:trPr>
          <w:trHeight w:val="313"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23"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本年支出合计</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上缴上级支出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经营支出</w:t>
            </w:r>
          </w:p>
        </w:tc>
        <w:tc>
          <w:tcPr>
            <w:tcW w:w="0" w:type="auto"/>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对附属单位补助支出</w:t>
            </w:r>
          </w:p>
        </w:tc>
      </w:tr>
      <w:tr>
        <w:tblPrEx>
          <w:tblCellMar>
            <w:top w:w="0" w:type="dxa"/>
            <w:left w:w="0" w:type="dxa"/>
            <w:bottom w:w="0" w:type="dxa"/>
            <w:right w:w="0" w:type="dxa"/>
          </w:tblCellMar>
        </w:tblPrEx>
        <w:trPr>
          <w:trHeight w:val="319" w:hRule="atLeast"/>
          <w:jc w:val="center"/>
        </w:trPr>
        <w:tc>
          <w:tcPr>
            <w:tcW w:w="0" w:type="auto"/>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 w:val="20"/>
                <w:szCs w:val="20"/>
              </w:rPr>
            </w:pPr>
          </w:p>
        </w:tc>
      </w:tr>
      <w:tr>
        <w:tblPrEx>
          <w:tblCellMar>
            <w:top w:w="0" w:type="dxa"/>
            <w:left w:w="0" w:type="dxa"/>
            <w:bottom w:w="0" w:type="dxa"/>
            <w:right w:w="0" w:type="dxa"/>
          </w:tblCellMar>
        </w:tblPrEx>
        <w:trPr>
          <w:trHeight w:val="319"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0" w:type="auto"/>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0" w:type="auto"/>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r>
      <w:tr>
        <w:tblPrEx>
          <w:tblCellMar>
            <w:top w:w="0" w:type="dxa"/>
            <w:left w:w="0" w:type="dxa"/>
            <w:bottom w:w="0" w:type="dxa"/>
            <w:right w:w="0" w:type="dxa"/>
          </w:tblCellMar>
        </w:tblPrEx>
        <w:trPr>
          <w:trHeight w:val="323"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874.00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503.12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b/>
                <w:color w:val="000000"/>
                <w:sz w:val="18"/>
                <w:szCs w:val="18"/>
              </w:rPr>
            </w:pPr>
            <w:r>
              <w:rPr>
                <w:rFonts w:hint="eastAsia" w:ascii="宋体" w:hAnsi="宋体" w:eastAsia="宋体" w:cs="宋体"/>
                <w:b/>
                <w:color w:val="000000"/>
                <w:sz w:val="18"/>
                <w:szCs w:val="18"/>
              </w:rPr>
              <w:t>370.88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一般公共服务支出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447.68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403.68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政府办公厅（室）及相关机构事务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447.68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403.68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189.31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189.31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一般行政管理事务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2010305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专项业务活动</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信访事务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2010350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事业运行</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214.36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214.36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文化旅游体育与传媒支出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文化和旅游</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2070109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群众文化</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社会保障和就业支出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行政事业单位养老支出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事业单位离退休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10.14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41.43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41.43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2080506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3.96</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卫生健康支出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25.73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21004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公共卫生</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2100409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重大公共卫生服务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行政事业单位医疗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15.73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7.42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事业单位医疗</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8.31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农林水支出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307.23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307.23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农业农村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115.89</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2130122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农业生产发展</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110.01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2130152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对高校毕业生到基层任职补助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5.88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21307</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农村综合改革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191.34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188.98</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2130701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对村级一事一议的补助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38.43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38.43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2130705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对村民委员会和村党支部的补助</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152.90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2.35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150.55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住房保障支出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22102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住房改革支出</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2210201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住房公积金</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18"/>
                <w:szCs w:val="18"/>
              </w:rPr>
            </w:pPr>
          </w:p>
        </w:tc>
      </w:tr>
      <w:tr>
        <w:tblPrEx>
          <w:tblCellMar>
            <w:top w:w="0" w:type="dxa"/>
            <w:left w:w="0" w:type="dxa"/>
            <w:bottom w:w="0" w:type="dxa"/>
            <w:right w:w="0" w:type="dxa"/>
          </w:tblCellMar>
        </w:tblPrEx>
        <w:trPr>
          <w:trHeight w:val="323" w:hRule="atLeast"/>
          <w:jc w:val="center"/>
        </w:trPr>
        <w:tc>
          <w:tcPr>
            <w:tcW w:w="0" w:type="auto"/>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注：本表反映部门本年度各项支出情况。</w:t>
            </w:r>
          </w:p>
        </w:tc>
      </w:tr>
    </w:tbl>
    <w:p>
      <w:r>
        <w:br w:type="page"/>
      </w:r>
    </w:p>
    <w:tbl>
      <w:tblPr>
        <w:tblStyle w:val="7"/>
        <w:tblW w:w="9990" w:type="dxa"/>
        <w:jc w:val="center"/>
        <w:tblLayout w:type="fixed"/>
        <w:tblCellMar>
          <w:top w:w="0" w:type="dxa"/>
          <w:left w:w="0" w:type="dxa"/>
          <w:bottom w:w="0" w:type="dxa"/>
          <w:right w:w="0" w:type="dxa"/>
        </w:tblCellMar>
      </w:tblPr>
      <w:tblGrid>
        <w:gridCol w:w="1174"/>
        <w:gridCol w:w="67"/>
        <w:gridCol w:w="67"/>
        <w:gridCol w:w="3093"/>
        <w:gridCol w:w="1559"/>
        <w:gridCol w:w="2126"/>
        <w:gridCol w:w="1434"/>
        <w:gridCol w:w="470"/>
      </w:tblGrid>
      <w:tr>
        <w:tblPrEx>
          <w:tblCellMar>
            <w:top w:w="0" w:type="dxa"/>
            <w:left w:w="0" w:type="dxa"/>
            <w:bottom w:w="0" w:type="dxa"/>
            <w:right w:w="0" w:type="dxa"/>
          </w:tblCellMar>
        </w:tblPrEx>
        <w:trPr>
          <w:gridAfter w:val="1"/>
          <w:wAfter w:w="470" w:type="dxa"/>
          <w:trHeight w:val="406" w:hRule="atLeast"/>
          <w:jc w:val="center"/>
        </w:trPr>
        <w:tc>
          <w:tcPr>
            <w:tcW w:w="9520" w:type="dxa"/>
            <w:gridSpan w:val="7"/>
            <w:tcBorders>
              <w:top w:val="nil"/>
              <w:left w:val="nil"/>
              <w:bottom w:val="nil"/>
              <w:right w:val="nil"/>
            </w:tcBorders>
            <w:shd w:val="clear" w:color="auto" w:fill="auto"/>
            <w:noWrap/>
            <w:tcMar>
              <w:top w:w="15" w:type="dxa"/>
              <w:left w:w="15" w:type="dxa"/>
              <w:right w:w="15" w:type="dxa"/>
            </w:tcMar>
            <w:vAlign w:val="bottom"/>
          </w:tcPr>
          <w:p>
            <w:pPr>
              <w:spacing w:line="32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600" w:hRule="atLeast"/>
          <w:jc w:val="center"/>
        </w:trPr>
        <w:tc>
          <w:tcPr>
            <w:tcW w:w="9990" w:type="dxa"/>
            <w:gridSpan w:val="8"/>
            <w:tcBorders>
              <w:top w:val="nil"/>
              <w:left w:val="nil"/>
              <w:bottom w:val="nil"/>
              <w:right w:val="nil"/>
            </w:tcBorders>
            <w:shd w:val="clear" w:color="auto" w:fill="auto"/>
            <w:noWrap/>
            <w:tcMar>
              <w:top w:w="15" w:type="dxa"/>
              <w:left w:w="15" w:type="dxa"/>
              <w:right w:w="15" w:type="dxa"/>
            </w:tcMar>
            <w:vAlign w:val="center"/>
          </w:tcPr>
          <w:tbl>
            <w:tblPr>
              <w:tblStyle w:val="7"/>
              <w:tblW w:w="9736" w:type="dxa"/>
              <w:tblInd w:w="0" w:type="dxa"/>
              <w:tblLayout w:type="fixed"/>
              <w:tblCellMar>
                <w:top w:w="0" w:type="dxa"/>
                <w:left w:w="108" w:type="dxa"/>
                <w:bottom w:w="0" w:type="dxa"/>
                <w:right w:w="108" w:type="dxa"/>
              </w:tblCellMar>
            </w:tblPr>
            <w:tblGrid>
              <w:gridCol w:w="2317"/>
              <w:gridCol w:w="465"/>
              <w:gridCol w:w="748"/>
              <w:gridCol w:w="2273"/>
              <w:gridCol w:w="183"/>
              <w:gridCol w:w="242"/>
              <w:gridCol w:w="204"/>
              <w:gridCol w:w="498"/>
              <w:gridCol w:w="851"/>
              <w:gridCol w:w="850"/>
              <w:gridCol w:w="853"/>
              <w:gridCol w:w="252"/>
            </w:tblGrid>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宋体"/>
                      <w:kern w:val="0"/>
                      <w:sz w:val="15"/>
                      <w:szCs w:val="15"/>
                    </w:rPr>
                  </w:pPr>
                </w:p>
              </w:tc>
              <w:tc>
                <w:tcPr>
                  <w:tcW w:w="465"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554" w:type="dxa"/>
                  <w:gridSpan w:val="3"/>
                  <w:tcBorders>
                    <w:top w:val="nil"/>
                    <w:left w:val="nil"/>
                    <w:bottom w:val="nil"/>
                    <w:right w:val="nil"/>
                  </w:tcBorders>
                  <w:shd w:val="clear" w:color="auto" w:fill="auto"/>
                  <w:vAlign w:val="bottom"/>
                </w:tcPr>
                <w:p>
                  <w:pPr>
                    <w:widowControl/>
                    <w:spacing w:line="240" w:lineRule="exact"/>
                    <w:ind w:right="300"/>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公开04表</w:t>
                  </w:r>
                </w:p>
              </w:tc>
            </w:tr>
            <w:tr>
              <w:tblPrEx>
                <w:tblCellMar>
                  <w:top w:w="0" w:type="dxa"/>
                  <w:left w:w="108" w:type="dxa"/>
                  <w:bottom w:w="0" w:type="dxa"/>
                  <w:right w:w="108" w:type="dxa"/>
                </w:tblCellMar>
              </w:tblPrEx>
              <w:trPr>
                <w:gridAfter w:val="1"/>
                <w:wAfter w:w="252" w:type="dxa"/>
                <w:trHeight w:val="90" w:hRule="atLeast"/>
              </w:trPr>
              <w:tc>
                <w:tcPr>
                  <w:tcW w:w="2317"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部门：</w:t>
                  </w:r>
                </w:p>
              </w:tc>
              <w:tc>
                <w:tcPr>
                  <w:tcW w:w="465" w:type="dxa"/>
                  <w:tcBorders>
                    <w:top w:val="nil"/>
                    <w:left w:val="nil"/>
                    <w:bottom w:val="nil"/>
                    <w:right w:val="nil"/>
                  </w:tcBorders>
                  <w:shd w:val="clear" w:color="auto" w:fill="auto"/>
                  <w:vAlign w:val="bottom"/>
                </w:tcPr>
                <w:p>
                  <w:pPr>
                    <w:widowControl/>
                    <w:spacing w:line="240" w:lineRule="exact"/>
                    <w:jc w:val="left"/>
                    <w:rPr>
                      <w:rFonts w:ascii="宋体" w:hAnsi="宋体" w:eastAsia="宋体" w:cs="Arial"/>
                      <w:color w:val="000000"/>
                      <w:kern w:val="0"/>
                      <w:sz w:val="15"/>
                      <w:szCs w:val="15"/>
                    </w:rPr>
                  </w:pPr>
                </w:p>
              </w:tc>
              <w:tc>
                <w:tcPr>
                  <w:tcW w:w="74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245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46" w:type="dxa"/>
                  <w:gridSpan w:val="2"/>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498"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851" w:type="dxa"/>
                  <w:tcBorders>
                    <w:top w:val="nil"/>
                    <w:left w:val="nil"/>
                    <w:bottom w:val="nil"/>
                    <w:right w:val="nil"/>
                  </w:tcBorders>
                  <w:shd w:val="clear" w:color="auto" w:fill="auto"/>
                  <w:vAlign w:val="bottom"/>
                </w:tcPr>
                <w:p>
                  <w:pPr>
                    <w:widowControl/>
                    <w:spacing w:line="240" w:lineRule="exact"/>
                    <w:jc w:val="left"/>
                    <w:rPr>
                      <w:rFonts w:ascii="Times New Roman" w:hAnsi="Times New Roman" w:eastAsia="Times New Roman" w:cs="Times New Roman"/>
                      <w:kern w:val="0"/>
                      <w:sz w:val="15"/>
                      <w:szCs w:val="15"/>
                    </w:rPr>
                  </w:pPr>
                </w:p>
              </w:tc>
              <w:tc>
                <w:tcPr>
                  <w:tcW w:w="1703" w:type="dxa"/>
                  <w:gridSpan w:val="2"/>
                  <w:tcBorders>
                    <w:top w:val="nil"/>
                    <w:left w:val="nil"/>
                    <w:bottom w:val="nil"/>
                    <w:right w:val="nil"/>
                  </w:tcBorders>
                  <w:shd w:val="clear" w:color="auto" w:fill="auto"/>
                  <w:vAlign w:val="bottom"/>
                </w:tcPr>
                <w:p>
                  <w:pPr>
                    <w:widowControl/>
                    <w:spacing w:line="24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CellMar>
                  <w:top w:w="0" w:type="dxa"/>
                  <w:left w:w="108" w:type="dxa"/>
                  <w:bottom w:w="0" w:type="dxa"/>
                  <w:right w:w="108" w:type="dxa"/>
                </w:tblCellMar>
              </w:tblPrEx>
              <w:trPr>
                <w:gridAfter w:val="1"/>
                <w:wAfter w:w="252" w:type="dxa"/>
                <w:trHeight w:val="90" w:hRule="atLeast"/>
              </w:trPr>
              <w:tc>
                <w:tcPr>
                  <w:tcW w:w="35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收     入</w:t>
                  </w:r>
                </w:p>
              </w:tc>
              <w:tc>
                <w:tcPr>
                  <w:tcW w:w="5954"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黑体" w:hAnsi="黑体" w:eastAsia="黑体" w:cs="Arial"/>
                      <w:color w:val="000000"/>
                      <w:kern w:val="0"/>
                      <w:sz w:val="20"/>
                      <w:szCs w:val="20"/>
                    </w:rPr>
                  </w:pPr>
                  <w:r>
                    <w:rPr>
                      <w:rFonts w:hint="eastAsia" w:ascii="黑体" w:hAnsi="黑体" w:eastAsia="黑体" w:cs="Arial"/>
                      <w:color w:val="000000"/>
                      <w:kern w:val="0"/>
                      <w:sz w:val="20"/>
                      <w:szCs w:val="20"/>
                    </w:rPr>
                    <w:t>支     出</w:t>
                  </w:r>
                </w:p>
              </w:tc>
            </w:tr>
            <w:tr>
              <w:tblPrEx>
                <w:tblCellMar>
                  <w:top w:w="0" w:type="dxa"/>
                  <w:left w:w="108" w:type="dxa"/>
                  <w:bottom w:w="0" w:type="dxa"/>
                  <w:right w:w="108" w:type="dxa"/>
                </w:tblCellMar>
              </w:tblPrEx>
              <w:trPr>
                <w:gridAfter w:val="1"/>
                <w:wAfter w:w="252" w:type="dxa"/>
                <w:trHeight w:val="312" w:hRule="atLeast"/>
              </w:trPr>
              <w:tc>
                <w:tcPr>
                  <w:tcW w:w="231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65"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48"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金额</w:t>
                  </w:r>
                </w:p>
              </w:tc>
              <w:tc>
                <w:tcPr>
                  <w:tcW w:w="227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项目</w:t>
                  </w:r>
                </w:p>
              </w:tc>
              <w:tc>
                <w:tcPr>
                  <w:tcW w:w="425"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行次</w:t>
                  </w:r>
                </w:p>
              </w:tc>
              <w:tc>
                <w:tcPr>
                  <w:tcW w:w="702" w:type="dxa"/>
                  <w:gridSpan w:val="2"/>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合计</w:t>
                  </w:r>
                </w:p>
              </w:tc>
              <w:tc>
                <w:tcPr>
                  <w:tcW w:w="851"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一般公共预算财政拨款</w:t>
                  </w:r>
                </w:p>
              </w:tc>
              <w:tc>
                <w:tcPr>
                  <w:tcW w:w="850"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政府性基金预算财政拨款</w:t>
                  </w:r>
                </w:p>
              </w:tc>
              <w:tc>
                <w:tcPr>
                  <w:tcW w:w="853" w:type="dxa"/>
                  <w:vMerge w:val="restart"/>
                  <w:tcBorders>
                    <w:top w:val="nil"/>
                    <w:left w:val="nil"/>
                    <w:bottom w:val="single" w:color="000000" w:sz="4" w:space="0"/>
                    <w:right w:val="single" w:color="000000" w:sz="4" w:space="0"/>
                  </w:tcBorders>
                  <w:shd w:val="clear" w:color="auto" w:fill="auto"/>
                  <w:vAlign w:val="center"/>
                </w:tcPr>
                <w:p>
                  <w:pPr>
                    <w:widowControl/>
                    <w:spacing w:line="180" w:lineRule="exact"/>
                    <w:jc w:val="center"/>
                    <w:rPr>
                      <w:rFonts w:ascii="黑体" w:hAnsi="黑体" w:eastAsia="黑体" w:cs="Arial"/>
                      <w:color w:val="000000"/>
                      <w:kern w:val="0"/>
                      <w:sz w:val="15"/>
                      <w:szCs w:val="15"/>
                    </w:rPr>
                  </w:pPr>
                  <w:r>
                    <w:rPr>
                      <w:rFonts w:hint="eastAsia" w:ascii="黑体" w:hAnsi="黑体" w:eastAsia="黑体" w:cs="Arial"/>
                      <w:color w:val="000000"/>
                      <w:kern w:val="0"/>
                      <w:sz w:val="15"/>
                      <w:szCs w:val="15"/>
                    </w:rPr>
                    <w:t>国有资本经营预算财政拨款</w:t>
                  </w:r>
                </w:p>
              </w:tc>
            </w:tr>
            <w:tr>
              <w:tblPrEx>
                <w:tblCellMar>
                  <w:top w:w="0" w:type="dxa"/>
                  <w:left w:w="108" w:type="dxa"/>
                  <w:bottom w:w="0" w:type="dxa"/>
                  <w:right w:w="108" w:type="dxa"/>
                </w:tblCellMar>
              </w:tblPrEx>
              <w:trPr>
                <w:trHeight w:val="90" w:hRule="atLeast"/>
              </w:trPr>
              <w:tc>
                <w:tcPr>
                  <w:tcW w:w="2317"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65"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48"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27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425"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702" w:type="dxa"/>
                  <w:gridSpan w:val="2"/>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1"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0"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853" w:type="dxa"/>
                  <w:vMerge w:val="continue"/>
                  <w:tcBorders>
                    <w:top w:val="nil"/>
                    <w:left w:val="nil"/>
                    <w:bottom w:val="single" w:color="000000" w:sz="4" w:space="0"/>
                    <w:right w:val="single" w:color="000000" w:sz="4" w:space="0"/>
                  </w:tcBorders>
                  <w:vAlign w:val="center"/>
                </w:tcPr>
                <w:p>
                  <w:pPr>
                    <w:widowControl/>
                    <w:spacing w:line="240" w:lineRule="exact"/>
                    <w:jc w:val="left"/>
                    <w:rPr>
                      <w:rFonts w:ascii="宋体" w:hAnsi="宋体" w:eastAsia="宋体" w:cs="Arial"/>
                      <w:color w:val="000000"/>
                      <w:kern w:val="0"/>
                      <w:sz w:val="15"/>
                      <w:szCs w:val="15"/>
                    </w:rPr>
                  </w:pPr>
                </w:p>
              </w:tc>
              <w:tc>
                <w:tcPr>
                  <w:tcW w:w="25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栏次</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874.80</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一、一般公共服务支出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33</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447.68</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447.68</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二、外交支出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34</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三、国有资本经营财政拨款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三、国防支出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35</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四、公共安全支出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36</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五、教育支出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37</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六、科学技术支出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38</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七、文化旅游体育与传媒支出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39</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12.00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12.00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八、社会保障和就业支出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40</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62.67</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62.67</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九、卫生健康支出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41</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25.73</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25.73</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十、节能环保支出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42</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十一、城乡社区支出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43</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十二、农林水支出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44</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307.23</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307.23</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十三、交通运输支出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45</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14</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十四、资源勘探工业信息等支出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46</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十五、商业服务业等支出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47</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十六、金融支出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48</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十七、援助其他地区支出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49</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十八、自然资源海洋气象等支出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50</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十九、住房保障支出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51</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18.70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18.70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二十、粮油物资储备支出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52</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二十一、国有资本经营预算支出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53</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3"/>
                      <w:szCs w:val="13"/>
                    </w:rPr>
                    <w:t>二十二、灾害防治及应急管理支出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54</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23</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二十三、其他支出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55</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25</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二十五、债务付息支出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57</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26</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二十六、抗疫特别国债安排的支出</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58</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本年收入合计</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27</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874.80</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本年支出合计</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59</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874.00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874.00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年初财政拨款结转和结余</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28</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b/>
                      <w:bCs/>
                      <w:color w:val="000000"/>
                      <w:kern w:val="0"/>
                      <w:sz w:val="15"/>
                      <w:szCs w:val="15"/>
                    </w:rPr>
                  </w:pPr>
                  <w:r>
                    <w:rPr>
                      <w:rFonts w:hint="eastAsia" w:ascii="宋体" w:hAnsi="宋体" w:eastAsia="宋体" w:cs="Arial"/>
                      <w:color w:val="000000"/>
                      <w:kern w:val="0"/>
                      <w:sz w:val="15"/>
                      <w:szCs w:val="15"/>
                    </w:rPr>
                    <w:t>年末财政拨款结转和结余</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60</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0.80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0.80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一般公共预算财政拨款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29</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宋体" w:hAnsi="宋体" w:eastAsia="宋体" w:cs="Arial"/>
                      <w:color w:val="000000"/>
                      <w:kern w:val="0"/>
                      <w:sz w:val="15"/>
                      <w:szCs w:val="15"/>
                    </w:rPr>
                  </w:pP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61</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政府性基金预算财政拨款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30</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62</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left"/>
                    <w:rPr>
                      <w:rFonts w:ascii="宋体" w:hAnsi="宋体" w:eastAsia="宋体" w:cs="Arial"/>
                      <w:color w:val="000000"/>
                      <w:kern w:val="0"/>
                      <w:sz w:val="15"/>
                      <w:szCs w:val="15"/>
                    </w:rPr>
                  </w:pPr>
                  <w:r>
                    <w:rPr>
                      <w:rFonts w:hint="eastAsia" w:ascii="宋体" w:hAnsi="宋体" w:eastAsia="宋体" w:cs="Arial"/>
                      <w:color w:val="000000"/>
                      <w:kern w:val="0"/>
                      <w:sz w:val="15"/>
                      <w:szCs w:val="15"/>
                    </w:rPr>
                    <w:t xml:space="preserve">  国有资本经营预算财政拨款</w:t>
                  </w:r>
                </w:p>
              </w:tc>
              <w:tc>
                <w:tcPr>
                  <w:tcW w:w="465"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31</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63</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2317" w:type="dxa"/>
                  <w:tcBorders>
                    <w:top w:val="nil"/>
                    <w:left w:val="single" w:color="000000" w:sz="4" w:space="0"/>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b/>
                      <w:bCs/>
                      <w:color w:val="000000"/>
                      <w:kern w:val="0"/>
                      <w:sz w:val="15"/>
                      <w:szCs w:val="15"/>
                    </w:rPr>
                    <w:t>总计</w:t>
                  </w:r>
                </w:p>
              </w:tc>
              <w:tc>
                <w:tcPr>
                  <w:tcW w:w="465" w:type="dxa"/>
                  <w:tcBorders>
                    <w:top w:val="nil"/>
                    <w:left w:val="nil"/>
                    <w:bottom w:val="single" w:color="000000" w:sz="8"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32</w:t>
                  </w:r>
                </w:p>
              </w:tc>
              <w:tc>
                <w:tcPr>
                  <w:tcW w:w="748"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874.80</w:t>
                  </w:r>
                </w:p>
              </w:tc>
              <w:tc>
                <w:tcPr>
                  <w:tcW w:w="2273" w:type="dxa"/>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Times New Roman" w:hAnsi="Times New Roman" w:eastAsia="Times New Roman" w:cs="Times New Roman"/>
                      <w:kern w:val="0"/>
                      <w:sz w:val="15"/>
                      <w:szCs w:val="15"/>
                    </w:rPr>
                  </w:pPr>
                  <w:r>
                    <w:rPr>
                      <w:rFonts w:hint="eastAsia" w:ascii="宋体" w:hAnsi="宋体" w:eastAsia="宋体" w:cs="Arial"/>
                      <w:b/>
                      <w:bCs/>
                      <w:color w:val="000000"/>
                      <w:kern w:val="0"/>
                      <w:sz w:val="15"/>
                      <w:szCs w:val="15"/>
                    </w:rPr>
                    <w:t>总计</w:t>
                  </w:r>
                </w:p>
              </w:tc>
              <w:tc>
                <w:tcPr>
                  <w:tcW w:w="425"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64</w:t>
                  </w:r>
                </w:p>
              </w:tc>
              <w:tc>
                <w:tcPr>
                  <w:tcW w:w="702" w:type="dxa"/>
                  <w:gridSpan w:val="2"/>
                  <w:tcBorders>
                    <w:top w:val="nil"/>
                    <w:left w:val="nil"/>
                    <w:bottom w:val="single" w:color="000000" w:sz="4" w:space="0"/>
                    <w:right w:val="single" w:color="000000" w:sz="4" w:space="0"/>
                  </w:tcBorders>
                  <w:shd w:val="clear" w:color="auto" w:fill="auto"/>
                  <w:vAlign w:val="center"/>
                </w:tcPr>
                <w:p>
                  <w:pPr>
                    <w:widowControl/>
                    <w:spacing w:line="200" w:lineRule="exact"/>
                    <w:jc w:val="center"/>
                    <w:rPr>
                      <w:rFonts w:ascii="宋体" w:hAnsi="宋体" w:eastAsia="宋体" w:cs="Arial"/>
                      <w:color w:val="000000"/>
                      <w:kern w:val="0"/>
                      <w:sz w:val="15"/>
                      <w:szCs w:val="15"/>
                    </w:rPr>
                  </w:pPr>
                  <w:r>
                    <w:rPr>
                      <w:rFonts w:hint="eastAsia" w:ascii="宋体" w:hAnsi="宋体" w:eastAsia="宋体" w:cs="Arial"/>
                      <w:color w:val="000000"/>
                      <w:kern w:val="0"/>
                      <w:sz w:val="15"/>
                      <w:szCs w:val="15"/>
                    </w:rPr>
                    <w:t>874.80</w:t>
                  </w:r>
                </w:p>
              </w:tc>
              <w:tc>
                <w:tcPr>
                  <w:tcW w:w="851"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cs="Times New Roman"/>
                      <w:kern w:val="0"/>
                      <w:sz w:val="15"/>
                      <w:szCs w:val="15"/>
                    </w:rPr>
                  </w:pPr>
                  <w:r>
                    <w:rPr>
                      <w:rFonts w:hint="eastAsia" w:ascii="Times New Roman" w:hAnsi="Times New Roman" w:cs="Times New Roman"/>
                      <w:kern w:val="0"/>
                      <w:sz w:val="15"/>
                      <w:szCs w:val="15"/>
                    </w:rPr>
                    <w:t>874.80</w:t>
                  </w:r>
                </w:p>
              </w:tc>
              <w:tc>
                <w:tcPr>
                  <w:tcW w:w="850"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853" w:type="dxa"/>
                  <w:tcBorders>
                    <w:top w:val="nil"/>
                    <w:left w:val="nil"/>
                    <w:bottom w:val="single" w:color="000000" w:sz="4" w:space="0"/>
                    <w:right w:val="single" w:color="000000" w:sz="4" w:space="0"/>
                  </w:tcBorders>
                  <w:shd w:val="clear" w:color="auto" w:fill="auto"/>
                  <w:vAlign w:val="center"/>
                </w:tcPr>
                <w:p>
                  <w:pPr>
                    <w:widowControl/>
                    <w:spacing w:line="200" w:lineRule="exact"/>
                    <w:jc w:val="right"/>
                    <w:rPr>
                      <w:rFonts w:ascii="Times New Roman" w:hAnsi="Times New Roman" w:eastAsia="Times New Roman" w:cs="Times New Roman"/>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single" w:color="000000" w:sz="4" w:space="0"/>
                  </w:tcBorders>
                  <w:shd w:val="clear" w:color="auto" w:fill="auto"/>
                  <w:vAlign w:val="center"/>
                </w:tcPr>
                <w:p>
                  <w:pPr>
                    <w:widowControl/>
                    <w:spacing w:line="200" w:lineRule="exact"/>
                    <w:jc w:val="left"/>
                    <w:rPr>
                      <w:rFonts w:ascii="Times New Roman" w:hAnsi="Times New Roman" w:eastAsia="Times New Roman" w:cs="Times New Roman"/>
                      <w:kern w:val="0"/>
                      <w:sz w:val="15"/>
                      <w:szCs w:val="15"/>
                    </w:rPr>
                  </w:pPr>
                  <w:r>
                    <w:rPr>
                      <w:rFonts w:hint="eastAsia" w:ascii="宋体" w:hAnsi="宋体" w:eastAsia="宋体" w:cs="Arial"/>
                      <w:color w:val="000000"/>
                      <w:kern w:val="0"/>
                      <w:sz w:val="15"/>
                      <w:szCs w:val="15"/>
                    </w:rPr>
                    <w:t>注：本表反映部门本年度一般公共预算财政拨款、政府性基金预算财政拨款和国有资本经营预算财政拨款的总收支和年末结转结余情况。</w:t>
                  </w:r>
                </w:p>
              </w:tc>
              <w:tc>
                <w:tcPr>
                  <w:tcW w:w="252" w:type="dxa"/>
                  <w:vAlign w:val="center"/>
                </w:tcPr>
                <w:p>
                  <w:pPr>
                    <w:widowControl/>
                    <w:jc w:val="left"/>
                    <w:rPr>
                      <w:rFonts w:ascii="Times New Roman" w:hAnsi="Times New Roman" w:eastAsia="Times New Roman" w:cs="Times New Roman"/>
                      <w:kern w:val="0"/>
                      <w:sz w:val="15"/>
                      <w:szCs w:val="15"/>
                    </w:rPr>
                  </w:pPr>
                </w:p>
              </w:tc>
            </w:tr>
            <w:tr>
              <w:tblPrEx>
                <w:tblCellMar>
                  <w:top w:w="0" w:type="dxa"/>
                  <w:left w:w="108" w:type="dxa"/>
                  <w:bottom w:w="0" w:type="dxa"/>
                  <w:right w:w="108" w:type="dxa"/>
                </w:tblCellMar>
              </w:tblPrEx>
              <w:trPr>
                <w:trHeight w:val="90" w:hRule="atLeast"/>
              </w:trPr>
              <w:tc>
                <w:tcPr>
                  <w:tcW w:w="9484" w:type="dxa"/>
                  <w:gridSpan w:val="11"/>
                  <w:tcBorders>
                    <w:top w:val="nil"/>
                    <w:left w:val="nil"/>
                    <w:bottom w:val="nil"/>
                    <w:right w:val="nil"/>
                  </w:tcBorders>
                  <w:shd w:val="clear" w:color="auto" w:fill="auto"/>
                  <w:vAlign w:val="center"/>
                </w:tcPr>
                <w:p>
                  <w:pPr>
                    <w:widowControl/>
                    <w:spacing w:line="240" w:lineRule="exact"/>
                    <w:jc w:val="left"/>
                    <w:rPr>
                      <w:rFonts w:ascii="宋体" w:hAnsi="宋体" w:eastAsia="宋体" w:cs="Arial"/>
                      <w:color w:val="000000"/>
                      <w:kern w:val="0"/>
                      <w:sz w:val="15"/>
                      <w:szCs w:val="15"/>
                    </w:rPr>
                  </w:pPr>
                </w:p>
              </w:tc>
              <w:tc>
                <w:tcPr>
                  <w:tcW w:w="252" w:type="dxa"/>
                  <w:vAlign w:val="center"/>
                </w:tcPr>
                <w:p>
                  <w:pPr>
                    <w:widowControl/>
                    <w:jc w:val="left"/>
                    <w:rPr>
                      <w:rFonts w:ascii="Times New Roman" w:hAnsi="Times New Roman" w:eastAsia="Times New Roman" w:cs="Times New Roman"/>
                      <w:kern w:val="0"/>
                      <w:sz w:val="15"/>
                      <w:szCs w:val="15"/>
                    </w:rPr>
                  </w:pPr>
                </w:p>
              </w:tc>
            </w:tr>
          </w:tbl>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一般公共预算财政拨款支出决算表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0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03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公开05表</w:t>
            </w:r>
          </w:p>
        </w:tc>
      </w:tr>
      <w:tr>
        <w:tblPrEx>
          <w:tblCellMar>
            <w:top w:w="0" w:type="dxa"/>
            <w:left w:w="0" w:type="dxa"/>
            <w:bottom w:w="0" w:type="dxa"/>
            <w:right w:w="0" w:type="dxa"/>
          </w:tblCellMar>
        </w:tblPrEx>
        <w:trPr>
          <w:trHeight w:val="255" w:hRule="atLeast"/>
          <w:jc w:val="center"/>
        </w:trPr>
        <w:tc>
          <w:tcPr>
            <w:tcW w:w="1174"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6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3093"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155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18"/>
                <w:szCs w:val="18"/>
              </w:rPr>
            </w:pPr>
          </w:p>
        </w:tc>
        <w:tc>
          <w:tcPr>
            <w:tcW w:w="4030"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440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w:t>
            </w:r>
          </w:p>
        </w:tc>
        <w:tc>
          <w:tcPr>
            <w:tcW w:w="5589"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本年支出</w:t>
            </w:r>
          </w:p>
        </w:tc>
      </w:tr>
      <w:tr>
        <w:tblPrEx>
          <w:tblCellMar>
            <w:top w:w="0" w:type="dxa"/>
            <w:left w:w="0" w:type="dxa"/>
            <w:bottom w:w="0" w:type="dxa"/>
            <w:right w:w="0" w:type="dxa"/>
          </w:tblCellMar>
        </w:tblPrEx>
        <w:trPr>
          <w:trHeight w:val="312" w:hRule="atLeast"/>
          <w:jc w:val="center"/>
        </w:trPr>
        <w:tc>
          <w:tcPr>
            <w:tcW w:w="1308"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功能分类科目编码</w:t>
            </w:r>
          </w:p>
        </w:tc>
        <w:tc>
          <w:tcPr>
            <w:tcW w:w="309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科目名称</w:t>
            </w:r>
          </w:p>
        </w:tc>
        <w:tc>
          <w:tcPr>
            <w:tcW w:w="15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小计</w:t>
            </w:r>
          </w:p>
        </w:tc>
        <w:tc>
          <w:tcPr>
            <w:tcW w:w="212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基本支出</w:t>
            </w:r>
          </w:p>
        </w:tc>
        <w:tc>
          <w:tcPr>
            <w:tcW w:w="1904"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项目支出</w:t>
            </w: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09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12" w:hRule="atLeast"/>
          <w:jc w:val="center"/>
        </w:trPr>
        <w:tc>
          <w:tcPr>
            <w:tcW w:w="1308"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309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5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212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440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r>
      <w:tr>
        <w:tblPrEx>
          <w:tblCellMar>
            <w:top w:w="0" w:type="dxa"/>
            <w:left w:w="0" w:type="dxa"/>
            <w:bottom w:w="0" w:type="dxa"/>
            <w:right w:w="0" w:type="dxa"/>
          </w:tblCellMar>
        </w:tblPrEx>
        <w:trPr>
          <w:trHeight w:val="308" w:hRule="atLeast"/>
          <w:jc w:val="center"/>
        </w:trPr>
        <w:tc>
          <w:tcPr>
            <w:tcW w:w="4401"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合计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874.00</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503.12</w:t>
            </w: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18"/>
                <w:szCs w:val="18"/>
              </w:rPr>
            </w:pPr>
            <w:r>
              <w:rPr>
                <w:rFonts w:hint="eastAsia" w:ascii="宋体" w:hAnsi="宋体" w:eastAsia="宋体" w:cs="宋体"/>
                <w:b/>
                <w:color w:val="000000"/>
                <w:sz w:val="18"/>
                <w:szCs w:val="18"/>
              </w:rPr>
              <w:t>370.88</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w:t>
            </w:r>
          </w:p>
        </w:tc>
        <w:tc>
          <w:tcPr>
            <w:tcW w:w="3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一般公共服务支出</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447.68</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403.68</w:t>
            </w: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w:t>
            </w:r>
          </w:p>
        </w:tc>
        <w:tc>
          <w:tcPr>
            <w:tcW w:w="3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政府办公厅（室）及相关机构事务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447.68</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403.68</w:t>
            </w: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44.00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2010301</w:t>
            </w:r>
          </w:p>
        </w:tc>
        <w:tc>
          <w:tcPr>
            <w:tcW w:w="3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行政运行</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189.31</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189.31</w:t>
            </w: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2010302</w:t>
            </w:r>
          </w:p>
        </w:tc>
        <w:tc>
          <w:tcPr>
            <w:tcW w:w="3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一般行政管理事务</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r>
      <w:tr>
        <w:tblPrEx>
          <w:tblCellMar>
            <w:top w:w="0" w:type="dxa"/>
            <w:left w:w="0" w:type="dxa"/>
            <w:bottom w:w="0" w:type="dxa"/>
            <w:right w:w="0" w:type="dxa"/>
          </w:tblCellMar>
        </w:tblPrEx>
        <w:trPr>
          <w:trHeight w:val="308" w:hRule="atLeast"/>
          <w:jc w:val="center"/>
        </w:trPr>
        <w:tc>
          <w:tcPr>
            <w:tcW w:w="1308"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2010305</w:t>
            </w:r>
          </w:p>
        </w:tc>
        <w:tc>
          <w:tcPr>
            <w:tcW w:w="309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专项业务活动</w:t>
            </w:r>
          </w:p>
        </w:tc>
        <w:tc>
          <w:tcPr>
            <w:tcW w:w="155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30.00</w:t>
            </w:r>
          </w:p>
        </w:tc>
        <w:tc>
          <w:tcPr>
            <w:tcW w:w="21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2010308</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信访事务</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2010350</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事业运行</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214.36</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214.36</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文化旅游体育与传媒支出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20701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文化和旅游</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2070109</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00" w:firstLineChars="100"/>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群众文化</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12.00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社会保障和就业支出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行政事业单位养老支出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62.67</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行政单位离退休</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7.13</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7.13</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2080502</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事业单位离退休</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10.14</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10.14</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2080505</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机关事业单位基本养老保险缴费支出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41.43</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41.43</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2080506</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机关事业单位职业年金缴费支出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3.96</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3.96</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卫生健康支出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25.73</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15.73</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21004</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公共卫生</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2100409</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重大公共卫生服务</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10.00</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行政事业单位医疗</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15.73</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15.73</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2101101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行政单位医疗</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7.42</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7.42</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2101102</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事业单位医疗</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8.31</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8.31</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农林水支出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307.23</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307.23</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农业农村</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115.89</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115.89</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2130122</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农业生产发展</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110.01</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110.01</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2130152</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对高校毕业生到基层任职补助</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5.88</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5.88</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21307</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农村综合改革</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191.34</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2.35</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188.98</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2130701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对村级一事一议的补助</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38.43</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38.43</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2130705</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 xml:space="preserve">  对村民委员会和村党支部的补助</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152.90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2.35</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150.55</w:t>
            </w: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住房保障支出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22102</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住房改革支出</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r>
        <w:tblPrEx>
          <w:tblCellMar>
            <w:top w:w="0" w:type="dxa"/>
            <w:left w:w="0" w:type="dxa"/>
            <w:bottom w:w="0" w:type="dxa"/>
            <w:right w:w="0" w:type="dxa"/>
          </w:tblCellMar>
        </w:tblPrEx>
        <w:trPr>
          <w:trHeight w:val="308" w:hRule="atLeast"/>
          <w:jc w:val="center"/>
        </w:trPr>
        <w:tc>
          <w:tcPr>
            <w:tcW w:w="130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2210201</w:t>
            </w:r>
          </w:p>
        </w:tc>
        <w:tc>
          <w:tcPr>
            <w:tcW w:w="3093"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 xml:space="preserve">  住房公积金</w:t>
            </w:r>
          </w:p>
        </w:tc>
        <w:tc>
          <w:tcPr>
            <w:tcW w:w="155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21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r>
              <w:rPr>
                <w:rFonts w:hint="eastAsia" w:ascii="宋体" w:hAnsi="宋体" w:eastAsia="宋体" w:cs="宋体"/>
                <w:color w:val="000000"/>
                <w:sz w:val="18"/>
                <w:szCs w:val="18"/>
              </w:rPr>
              <w:t>18.70</w:t>
            </w:r>
          </w:p>
        </w:tc>
        <w:tc>
          <w:tcPr>
            <w:tcW w:w="190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18"/>
                <w:szCs w:val="18"/>
              </w:rPr>
            </w:pPr>
          </w:p>
        </w:tc>
      </w:tr>
    </w:tbl>
    <w:p>
      <w:r>
        <w:br w:type="page"/>
      </w:r>
    </w:p>
    <w:p>
      <w:pPr>
        <w:widowControl/>
        <w:jc w:val="center"/>
        <w:textAlignment w:val="center"/>
        <w:rPr>
          <w:rFonts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7"/>
        <w:tblW w:w="14076" w:type="dxa"/>
        <w:jc w:val="center"/>
        <w:tblLayout w:type="fixed"/>
        <w:tblCellMar>
          <w:top w:w="0" w:type="dxa"/>
          <w:left w:w="0" w:type="dxa"/>
          <w:bottom w:w="0" w:type="dxa"/>
          <w:right w:w="0" w:type="dxa"/>
        </w:tblCellMar>
      </w:tblPr>
      <w:tblGrid>
        <w:gridCol w:w="1251"/>
        <w:gridCol w:w="2477"/>
        <w:gridCol w:w="1317"/>
        <w:gridCol w:w="913"/>
        <w:gridCol w:w="2463"/>
        <w:gridCol w:w="966"/>
        <w:gridCol w:w="861"/>
        <w:gridCol w:w="3028"/>
        <w:gridCol w:w="800"/>
      </w:tblGrid>
      <w:tr>
        <w:tblPrEx>
          <w:tblCellMar>
            <w:top w:w="0" w:type="dxa"/>
            <w:left w:w="0" w:type="dxa"/>
            <w:bottom w:w="0" w:type="dxa"/>
            <w:right w:w="0" w:type="dxa"/>
          </w:tblCellMar>
        </w:tblPrEx>
        <w:trPr>
          <w:trHeight w:val="404" w:hRule="atLeast"/>
          <w:jc w:val="center"/>
        </w:trPr>
        <w:tc>
          <w:tcPr>
            <w:tcW w:w="14076" w:type="dxa"/>
            <w:gridSpan w:val="9"/>
            <w:tcBorders>
              <w:top w:val="nil"/>
              <w:left w:val="nil"/>
              <w:bottom w:val="nil"/>
              <w:right w:val="nil"/>
            </w:tcBorders>
            <w:shd w:val="clear" w:color="auto" w:fill="auto"/>
            <w:tcMar>
              <w:top w:w="15" w:type="dxa"/>
              <w:left w:w="15" w:type="dxa"/>
              <w:right w:w="15" w:type="dxa"/>
            </w:tcMar>
            <w:vAlign w:val="center"/>
          </w:tcPr>
          <w:p>
            <w:pPr>
              <w:widowControl/>
              <w:spacing w:line="420" w:lineRule="exact"/>
              <w:jc w:val="center"/>
              <w:textAlignment w:val="center"/>
              <w:rPr>
                <w:rFonts w:ascii="黑体" w:hAnsi="宋体" w:eastAsia="黑体" w:cs="黑体"/>
                <w:color w:val="000000"/>
                <w:sz w:val="32"/>
                <w:szCs w:val="32"/>
              </w:rPr>
            </w:pPr>
            <w:r>
              <w:rPr>
                <w:rFonts w:hint="eastAsia" w:ascii="黑体" w:hAnsi="宋体" w:eastAsia="黑体" w:cs="黑体"/>
                <w:color w:val="000000"/>
                <w:kern w:val="0"/>
                <w:sz w:val="28"/>
                <w:szCs w:val="28"/>
              </w:rPr>
              <w:t>一般公共预算财政拨款基本支出决算表</w:t>
            </w:r>
          </w:p>
        </w:tc>
      </w:tr>
      <w:tr>
        <w:tblPrEx>
          <w:tblCellMar>
            <w:top w:w="0" w:type="dxa"/>
            <w:left w:w="0" w:type="dxa"/>
            <w:bottom w:w="0" w:type="dxa"/>
            <w:right w:w="0" w:type="dxa"/>
          </w:tblCellMar>
        </w:tblPrEx>
        <w:trPr>
          <w:trHeight w:val="66"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公开06表</w:t>
            </w:r>
          </w:p>
        </w:tc>
      </w:tr>
      <w:tr>
        <w:tblPrEx>
          <w:tblCellMar>
            <w:top w:w="0" w:type="dxa"/>
            <w:left w:w="0" w:type="dxa"/>
            <w:bottom w:w="0" w:type="dxa"/>
            <w:right w:w="0" w:type="dxa"/>
          </w:tblCellMar>
        </w:tblPrEx>
        <w:trPr>
          <w:trHeight w:val="61" w:hRule="atLeast"/>
          <w:jc w:val="center"/>
        </w:trPr>
        <w:tc>
          <w:tcPr>
            <w:tcW w:w="1251"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部门：</w:t>
            </w:r>
          </w:p>
        </w:tc>
        <w:tc>
          <w:tcPr>
            <w:tcW w:w="2477"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131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913"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2463" w:type="dxa"/>
            <w:tcBorders>
              <w:top w:val="nil"/>
              <w:left w:val="nil"/>
              <w:bottom w:val="nil"/>
              <w:right w:val="nil"/>
            </w:tcBorders>
            <w:shd w:val="clear" w:color="auto" w:fill="auto"/>
            <w:tcMar>
              <w:top w:w="15" w:type="dxa"/>
              <w:left w:w="15" w:type="dxa"/>
              <w:right w:w="15" w:type="dxa"/>
            </w:tcMar>
            <w:vAlign w:val="bottom"/>
          </w:tcPr>
          <w:p>
            <w:pPr>
              <w:spacing w:line="240" w:lineRule="exact"/>
              <w:rPr>
                <w:rFonts w:ascii="Arial" w:hAnsi="Arial" w:cs="Arial"/>
                <w:color w:val="000000"/>
                <w:sz w:val="16"/>
                <w:szCs w:val="16"/>
              </w:rPr>
            </w:pPr>
          </w:p>
        </w:tc>
        <w:tc>
          <w:tcPr>
            <w:tcW w:w="96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861"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6"/>
                <w:szCs w:val="16"/>
              </w:rPr>
            </w:pPr>
          </w:p>
        </w:tc>
        <w:tc>
          <w:tcPr>
            <w:tcW w:w="3828" w:type="dxa"/>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6"/>
                <w:szCs w:val="16"/>
              </w:rPr>
            </w:pPr>
            <w:r>
              <w:rPr>
                <w:rFonts w:hint="eastAsia" w:ascii="宋体" w:hAnsi="宋体" w:eastAsia="宋体" w:cs="宋体"/>
                <w:color w:val="000000"/>
                <w:kern w:val="0"/>
                <w:sz w:val="16"/>
                <w:szCs w:val="16"/>
              </w:rPr>
              <w:t>金额单位：万元</w:t>
            </w:r>
          </w:p>
        </w:tc>
      </w:tr>
      <w:tr>
        <w:tblPrEx>
          <w:tblCellMar>
            <w:top w:w="0" w:type="dxa"/>
            <w:left w:w="0" w:type="dxa"/>
            <w:bottom w:w="0" w:type="dxa"/>
            <w:right w:w="0" w:type="dxa"/>
          </w:tblCellMar>
        </w:tblPrEx>
        <w:trPr>
          <w:trHeight w:val="242" w:hRule="atLeast"/>
          <w:jc w:val="center"/>
        </w:trPr>
        <w:tc>
          <w:tcPr>
            <w:tcW w:w="50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人员经费</w:t>
            </w:r>
          </w:p>
        </w:tc>
        <w:tc>
          <w:tcPr>
            <w:tcW w:w="9031"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公用经费</w:t>
            </w:r>
          </w:p>
        </w:tc>
      </w:tr>
      <w:tr>
        <w:tblPrEx>
          <w:tblCellMar>
            <w:top w:w="0" w:type="dxa"/>
            <w:left w:w="0" w:type="dxa"/>
            <w:bottom w:w="0" w:type="dxa"/>
            <w:right w:w="0" w:type="dxa"/>
          </w:tblCellMar>
        </w:tblPrEx>
        <w:trPr>
          <w:trHeight w:val="240" w:hRule="atLeast"/>
          <w:jc w:val="center"/>
        </w:trPr>
        <w:tc>
          <w:tcPr>
            <w:tcW w:w="1251"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131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91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9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c>
          <w:tcPr>
            <w:tcW w:w="86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科目编码</w:t>
            </w:r>
          </w:p>
        </w:tc>
        <w:tc>
          <w:tcPr>
            <w:tcW w:w="302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科目名称</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黑体" w:hAnsi="黑体" w:eastAsia="黑体" w:cs="宋体"/>
                <w:color w:val="000000"/>
                <w:sz w:val="16"/>
                <w:szCs w:val="16"/>
              </w:rPr>
            </w:pPr>
            <w:r>
              <w:rPr>
                <w:rFonts w:hint="eastAsia" w:ascii="黑体" w:hAnsi="黑体" w:eastAsia="黑体" w:cs="宋体"/>
                <w:color w:val="000000"/>
                <w:kern w:val="0"/>
                <w:sz w:val="16"/>
                <w:szCs w:val="16"/>
              </w:rPr>
              <w:t>决算数</w:t>
            </w:r>
          </w:p>
        </w:tc>
      </w:tr>
      <w:tr>
        <w:tblPrEx>
          <w:tblCellMar>
            <w:top w:w="0" w:type="dxa"/>
            <w:left w:w="0" w:type="dxa"/>
            <w:bottom w:w="0" w:type="dxa"/>
            <w:right w:w="0" w:type="dxa"/>
          </w:tblCellMar>
        </w:tblPrEx>
        <w:trPr>
          <w:trHeight w:val="312" w:hRule="atLeast"/>
          <w:jc w:val="center"/>
        </w:trPr>
        <w:tc>
          <w:tcPr>
            <w:tcW w:w="1251"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131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1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9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6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302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431.48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37.83</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债务利息及费用支出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基本工资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304.82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3.34</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国内债务付息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津贴补贴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13.82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印刷费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30702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国外债务付息</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咨询费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伙食补助费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手续费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房屋建筑物购建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绩效工资</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16.45</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水费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办公设备购置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机关事业单位基本养老保险缴费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44.39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专用设备购置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职业年金缴费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4.79</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邮电费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9.26</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31005</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基础设施建设</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职工基本医疗保险缴费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15.73</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取暖费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9.00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大型修缮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公务员医疗补助缴费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30209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物业管理费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信息网络及软件购置更新</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其他社会保障缴费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1.12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差旅费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物资储备</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住房公积金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18.70</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因公出国（境）费用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31009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土地补偿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30114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30213</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维修（护）费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31010</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安置补助</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30199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其他工资福利支出</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租赁费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地上附着物和青苗补偿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33.82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会议费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拆迁补偿</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30301</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离休费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培训费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31013</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30302</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退休费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12.18</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公务接待费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31019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其他交通工具购置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30303</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退职（役）费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30218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专用材料费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31021</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文物和陈列品购置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30304</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抚恤金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5.82</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30224</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被装购置费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31022</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无形资产购置</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30305</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生活补助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15.16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专用燃料费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31099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其他资本性支出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30306</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救济费</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劳务费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30307</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医疗费补助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30227</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委托业务费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39906</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赠与</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30308</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助学金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工会经费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39907</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国家赔偿费用支出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30309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奖励金</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0.66</w:t>
            </w: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30229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福利费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39908</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w:t>
            </w:r>
            <w:r>
              <w:rPr>
                <w:rFonts w:hint="eastAsia" w:ascii="宋体" w:hAnsi="宋体" w:eastAsia="宋体" w:cs="宋体"/>
                <w:color w:val="000000"/>
                <w:kern w:val="0"/>
                <w:sz w:val="15"/>
                <w:szCs w:val="15"/>
              </w:rPr>
              <w:t>对民间非营利组织和群众性自治组织补贴</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30310</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个人农业生产补贴</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公务用车运行维护费</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7.20</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39999</w:t>
            </w: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其他支出</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30399</w:t>
            </w: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其他对个人和家庭的补助</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30239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其他交通费用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8.91</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30240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税金及附加费用</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125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247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p>
        </w:tc>
        <w:tc>
          <w:tcPr>
            <w:tcW w:w="91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30299</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 xml:space="preserve">  其他商品和服务支出</w:t>
            </w:r>
          </w:p>
        </w:tc>
        <w:tc>
          <w:tcPr>
            <w:tcW w:w="9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0.12</w:t>
            </w:r>
          </w:p>
        </w:tc>
        <w:tc>
          <w:tcPr>
            <w:tcW w:w="86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302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6"/>
                <w:szCs w:val="16"/>
              </w:rPr>
            </w:pP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p>
        </w:tc>
      </w:tr>
      <w:tr>
        <w:tblPrEx>
          <w:tblCellMar>
            <w:top w:w="0" w:type="dxa"/>
            <w:left w:w="0" w:type="dxa"/>
            <w:bottom w:w="0" w:type="dxa"/>
            <w:right w:w="0" w:type="dxa"/>
          </w:tblCellMar>
        </w:tblPrEx>
        <w:trPr>
          <w:trHeight w:val="177" w:hRule="atLeast"/>
          <w:jc w:val="center"/>
        </w:trPr>
        <w:tc>
          <w:tcPr>
            <w:tcW w:w="372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人员经费合计</w:t>
            </w:r>
          </w:p>
        </w:tc>
        <w:tc>
          <w:tcPr>
            <w:tcW w:w="13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220" w:lineRule="exact"/>
              <w:jc w:val="right"/>
              <w:rPr>
                <w:rFonts w:ascii="宋体" w:hAnsi="宋体" w:eastAsia="宋体" w:cs="宋体"/>
                <w:color w:val="000000"/>
                <w:sz w:val="16"/>
                <w:szCs w:val="16"/>
              </w:rPr>
            </w:pPr>
            <w:r>
              <w:rPr>
                <w:rFonts w:hint="eastAsia" w:ascii="宋体" w:hAnsi="宋体" w:eastAsia="宋体" w:cs="宋体"/>
                <w:color w:val="000000"/>
                <w:sz w:val="16"/>
                <w:szCs w:val="16"/>
              </w:rPr>
              <w:t>456.30</w:t>
            </w:r>
          </w:p>
        </w:tc>
        <w:tc>
          <w:tcPr>
            <w:tcW w:w="823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rPr>
              <w:t>公用经费合计</w:t>
            </w:r>
          </w:p>
        </w:tc>
        <w:tc>
          <w:tcPr>
            <w:tcW w:w="8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spacing w:line="180" w:lineRule="exact"/>
              <w:jc w:val="right"/>
              <w:rPr>
                <w:rFonts w:ascii="宋体" w:hAnsi="宋体" w:eastAsia="宋体" w:cs="宋体"/>
                <w:color w:val="000000"/>
                <w:sz w:val="16"/>
                <w:szCs w:val="16"/>
              </w:rPr>
            </w:pPr>
            <w:r>
              <w:rPr>
                <w:rFonts w:hint="eastAsia" w:ascii="宋体" w:hAnsi="宋体" w:eastAsia="宋体" w:cs="宋体"/>
                <w:color w:val="000000"/>
                <w:sz w:val="16"/>
                <w:szCs w:val="16"/>
              </w:rPr>
              <w:t>37.83</w:t>
            </w:r>
          </w:p>
        </w:tc>
      </w:tr>
    </w:tbl>
    <w:p>
      <w:pPr>
        <w:widowControl/>
        <w:jc w:val="center"/>
        <w:textAlignment w:val="center"/>
        <w:sectPr>
          <w:pgSz w:w="16838" w:h="11906" w:orient="landscape"/>
          <w:pgMar w:top="1531" w:right="2098" w:bottom="1531" w:left="1984" w:header="851" w:footer="992" w:gutter="0"/>
          <w:cols w:space="425" w:num="1"/>
          <w:docGrid w:type="lines" w:linePitch="312" w:charSpace="0"/>
        </w:sectPr>
      </w:pPr>
    </w:p>
    <w:tbl>
      <w:tblPr>
        <w:tblStyle w:val="7"/>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sz w:val="28"/>
                <w:szCs w:val="28"/>
              </w:rPr>
              <w:br w:type="page"/>
            </w:r>
            <w:r>
              <w:rPr>
                <w:rFonts w:hint="eastAsia" w:ascii="黑体" w:hAnsi="宋体" w:eastAsia="黑体" w:cs="黑体"/>
                <w:color w:val="000000"/>
                <w:kern w:val="0"/>
                <w:sz w:val="28"/>
                <w:szCs w:val="28"/>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公开07表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1686"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6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黑体" w:hAnsi="黑体" w:eastAsia="黑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7.20</w:t>
            </w:r>
          </w:p>
        </w:tc>
        <w:tc>
          <w:tcPr>
            <w:tcW w:w="168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7.20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0.00</w:t>
            </w:r>
          </w:p>
        </w:tc>
        <w:tc>
          <w:tcPr>
            <w:tcW w:w="15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7.20</w:t>
            </w:r>
          </w:p>
        </w:tc>
        <w:tc>
          <w:tcPr>
            <w:tcW w:w="157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0.00</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Cs w:val="22"/>
              </w:rPr>
            </w:pPr>
            <w:r>
              <w:rPr>
                <w:rFonts w:hint="eastAsia" w:ascii="黑体" w:hAnsi="黑体" w:eastAsia="黑体" w:cs="宋体"/>
                <w:color w:val="000000"/>
                <w:kern w:val="0"/>
                <w:szCs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7.20</w:t>
            </w:r>
          </w:p>
        </w:tc>
        <w:tc>
          <w:tcPr>
            <w:tcW w:w="1686"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0.00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7.20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0.00</w:t>
            </w:r>
          </w:p>
        </w:tc>
        <w:tc>
          <w:tcPr>
            <w:tcW w:w="1565" w:type="dxa"/>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7.20</w:t>
            </w:r>
          </w:p>
        </w:tc>
        <w:tc>
          <w:tcPr>
            <w:tcW w:w="1572" w:type="dxa"/>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r>
              <w:rPr>
                <w:rFonts w:hint="eastAsia" w:ascii="宋体" w:hAnsi="宋体" w:eastAsia="宋体" w:cs="宋体"/>
                <w:color w:val="000000"/>
                <w:szCs w:val="22"/>
              </w:rPr>
              <w:t>0.00</w:t>
            </w:r>
          </w:p>
        </w:tc>
      </w:tr>
    </w:tbl>
    <w:p>
      <w:r>
        <w:rPr>
          <w:rFonts w:hint="eastAsia" w:ascii="宋体" w:hAnsi="宋体" w:eastAsia="宋体" w:cs="宋体"/>
          <w:sz w:val="20"/>
          <w:szCs w:val="22"/>
        </w:rPr>
        <w:t>注：本表反映部门本年度“三公”经费支出预决算情况。其中：预算数为“三公”经费</w:t>
      </w:r>
      <w:r>
        <w:rPr>
          <w:rFonts w:hint="eastAsia" w:ascii="宋体" w:hAnsi="宋体" w:eastAsia="宋体" w:cs="宋体"/>
          <w:b/>
          <w:sz w:val="20"/>
          <w:szCs w:val="22"/>
        </w:rPr>
        <w:t>全年预算数</w:t>
      </w:r>
      <w:r>
        <w:rPr>
          <w:rFonts w:hint="eastAsia" w:ascii="宋体" w:hAnsi="宋体" w:eastAsia="宋体" w:cs="宋体"/>
          <w:sz w:val="20"/>
          <w:szCs w:val="22"/>
        </w:rPr>
        <w:t>，反映按规定程序调整后的预算数；决算数是包括当年一般公共预算财政拨款和以前年度结转资金安排的实际支出。</w:t>
      </w:r>
      <w:r>
        <w:rPr>
          <w:rFonts w:hint="eastAsia" w:ascii="仿宋_GB2312" w:hAnsi="仿宋_GB2312" w:eastAsia="仿宋_GB2312" w:cs="仿宋_GB2312"/>
          <w:sz w:val="20"/>
          <w:szCs w:val="22"/>
        </w:rPr>
        <w:tab/>
      </w:r>
      <w:r>
        <w:rPr>
          <w:sz w:val="20"/>
          <w:szCs w:val="22"/>
        </w:rPr>
        <w:tab/>
      </w:r>
      <w:r>
        <w:tab/>
      </w:r>
      <w:r>
        <w:tab/>
      </w:r>
      <w:r>
        <w:tab/>
      </w:r>
      <w:r>
        <w:tab/>
      </w:r>
      <w:r>
        <w:tab/>
      </w:r>
      <w:r>
        <w:tab/>
      </w:r>
      <w:r>
        <w:tab/>
      </w:r>
      <w:r>
        <w:tab/>
      </w:r>
      <w:r>
        <w:tab/>
      </w:r>
      <w:r>
        <w:br w:type="page"/>
      </w:r>
    </w:p>
    <w:tbl>
      <w:tblPr>
        <w:tblStyle w:val="7"/>
        <w:tblW w:w="9510" w:type="dxa"/>
        <w:jc w:val="center"/>
        <w:tblLayout w:type="autofit"/>
        <w:tblCellMar>
          <w:top w:w="0" w:type="dxa"/>
          <w:left w:w="0" w:type="dxa"/>
          <w:bottom w:w="0" w:type="dxa"/>
          <w:right w:w="0" w:type="dxa"/>
        </w:tblCellMar>
      </w:tblPr>
      <w:tblGrid>
        <w:gridCol w:w="966"/>
        <w:gridCol w:w="61"/>
        <w:gridCol w:w="61"/>
        <w:gridCol w:w="1407"/>
        <w:gridCol w:w="1169"/>
        <w:gridCol w:w="1169"/>
        <w:gridCol w:w="1169"/>
        <w:gridCol w:w="1169"/>
        <w:gridCol w:w="1169"/>
        <w:gridCol w:w="117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公开08表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0" w:type="auto"/>
            <w:gridSpan w:val="2"/>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年末结转和结余</w:t>
            </w:r>
          </w:p>
        </w:tc>
      </w:tr>
      <w:tr>
        <w:tblPrEx>
          <w:tblCellMar>
            <w:top w:w="0" w:type="dxa"/>
            <w:left w:w="0" w:type="dxa"/>
            <w:bottom w:w="0" w:type="dxa"/>
            <w:right w:w="0" w:type="dxa"/>
          </w:tblCellMar>
        </w:tblPrEx>
        <w:trPr>
          <w:trHeight w:val="312"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0" w:type="auto"/>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12"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0" w:type="auto"/>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栏次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1</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2</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3</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4</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5</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Cs w:val="22"/>
              </w:rPr>
            </w:pPr>
            <w:r>
              <w:rPr>
                <w:rFonts w:hint="eastAsia" w:ascii="宋体" w:hAnsi="宋体" w:eastAsia="宋体" w:cs="宋体"/>
                <w:color w:val="000000"/>
                <w:kern w:val="0"/>
                <w:szCs w:val="22"/>
              </w:rPr>
              <w:t>合计</w:t>
            </w: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c>
          <w:tcPr>
            <w:tcW w:w="0" w:type="auto"/>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Cs w:val="22"/>
              </w:rPr>
            </w:pPr>
          </w:p>
        </w:tc>
      </w:tr>
    </w:tbl>
    <w:p>
      <w:r>
        <w:rPr>
          <w:rFonts w:hint="eastAsia" w:ascii="宋体" w:hAnsi="宋体" w:eastAsia="宋体" w:cs="宋体"/>
          <w:sz w:val="20"/>
          <w:szCs w:val="22"/>
        </w:rPr>
        <w:t>注：本表反映部门本年度政府性基金预算财政拨款收入、支出及结转结余情况。</w:t>
      </w:r>
      <w:r>
        <w:rPr>
          <w:rFonts w:hint="eastAsia"/>
        </w:rPr>
        <w:t>本部门本年度无相关支出情况，按要求以空表列示。</w:t>
      </w:r>
      <w:r>
        <w:br w:type="page"/>
      </w:r>
    </w:p>
    <w:tbl>
      <w:tblPr>
        <w:tblStyle w:val="7"/>
        <w:tblW w:w="9064" w:type="dxa"/>
        <w:tblInd w:w="0" w:type="dxa"/>
        <w:tblLayout w:type="autofit"/>
        <w:tblCellMar>
          <w:top w:w="0" w:type="dxa"/>
          <w:left w:w="0" w:type="dxa"/>
          <w:bottom w:w="0" w:type="dxa"/>
          <w:right w:w="0" w:type="dxa"/>
        </w:tblCellMar>
      </w:tblPr>
      <w:tblGrid>
        <w:gridCol w:w="630"/>
        <w:gridCol w:w="661"/>
        <w:gridCol w:w="177"/>
        <w:gridCol w:w="2780"/>
        <w:gridCol w:w="1138"/>
        <w:gridCol w:w="296"/>
        <w:gridCol w:w="1421"/>
        <w:gridCol w:w="1417"/>
        <w:gridCol w:w="544"/>
      </w:tblGrid>
      <w:tr>
        <w:tblPrEx>
          <w:tblCellMar>
            <w:top w:w="0" w:type="dxa"/>
            <w:left w:w="0" w:type="dxa"/>
            <w:bottom w:w="0" w:type="dxa"/>
            <w:right w:w="0" w:type="dxa"/>
          </w:tblCellMar>
        </w:tblPrEx>
        <w:trPr>
          <w:gridAfter w:val="1"/>
          <w:wAfter w:w="544" w:type="dxa"/>
          <w:trHeight w:val="824" w:hRule="atLeast"/>
        </w:trPr>
        <w:tc>
          <w:tcPr>
            <w:tcW w:w="8520" w:type="dxa"/>
            <w:gridSpan w:val="8"/>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rPr>
              <w:t>国有资本经营预算财政拨款支出决算表</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restart"/>
            <w:tcBorders>
              <w:top w:val="nil"/>
              <w:left w:val="nil"/>
              <w:right w:val="nil"/>
            </w:tcBorders>
            <w:shd w:val="clear" w:color="auto" w:fill="auto"/>
            <w:noWrap/>
            <w:tcMar>
              <w:top w:w="15" w:type="dxa"/>
              <w:left w:w="15" w:type="dxa"/>
              <w:right w:w="15" w:type="dxa"/>
            </w:tcMar>
            <w:vAlign w:val="bottom"/>
          </w:tcPr>
          <w:p>
            <w:pPr>
              <w:widowControl/>
              <w:ind w:firstLine="1800" w:firstLineChars="900"/>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p>
            <w:pPr>
              <w:ind w:right="400" w:firstLine="1300" w:firstLineChars="650"/>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50" w:hRule="atLeast"/>
        </w:trPr>
        <w:tc>
          <w:tcPr>
            <w:tcW w:w="0" w:type="auto"/>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6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177"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91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s="Arial"/>
                <w:color w:val="000000"/>
                <w:sz w:val="20"/>
                <w:szCs w:val="20"/>
              </w:rPr>
            </w:pPr>
          </w:p>
        </w:tc>
        <w:tc>
          <w:tcPr>
            <w:tcW w:w="3678" w:type="dxa"/>
            <w:gridSpan w:val="4"/>
            <w:vMerge w:val="continue"/>
            <w:tcBorders>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w:t>
            </w:r>
          </w:p>
        </w:tc>
        <w:tc>
          <w:tcPr>
            <w:tcW w:w="4272"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本年支出</w:t>
            </w:r>
          </w:p>
        </w:tc>
      </w:tr>
      <w:tr>
        <w:tblPrEx>
          <w:tblCellMar>
            <w:top w:w="0" w:type="dxa"/>
            <w:left w:w="0" w:type="dxa"/>
            <w:bottom w:w="0" w:type="dxa"/>
            <w:right w:w="0" w:type="dxa"/>
          </w:tblCellMar>
        </w:tblPrEx>
        <w:trPr>
          <w:gridAfter w:val="1"/>
          <w:wAfter w:w="544" w:type="dxa"/>
          <w:trHeight w:val="604" w:hRule="atLeast"/>
        </w:trPr>
        <w:tc>
          <w:tcPr>
            <w:tcW w:w="1291"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功能分类科目编码</w:t>
            </w:r>
          </w:p>
        </w:tc>
        <w:tc>
          <w:tcPr>
            <w:tcW w:w="295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科目名称</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小计</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基本支出</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1"/>
              </w:rPr>
            </w:pPr>
            <w:r>
              <w:rPr>
                <w:rFonts w:hint="eastAsia" w:ascii="黑体" w:hAnsi="黑体" w:eastAsia="黑体" w:cs="宋体"/>
                <w:color w:val="000000"/>
                <w:kern w:val="0"/>
                <w:sz w:val="20"/>
                <w:szCs w:val="21"/>
              </w:rPr>
              <w:t>项目支出</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CellMar>
            <w:top w:w="0" w:type="dxa"/>
            <w:left w:w="0" w:type="dxa"/>
            <w:bottom w:w="0" w:type="dxa"/>
            <w:right w:w="0" w:type="dxa"/>
          </w:tblCellMar>
        </w:tblPrEx>
        <w:trPr>
          <w:gridAfter w:val="1"/>
          <w:wAfter w:w="544" w:type="dxa"/>
          <w:trHeight w:val="302" w:hRule="atLeast"/>
        </w:trPr>
        <w:tc>
          <w:tcPr>
            <w:tcW w:w="424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gridAfter w:val="1"/>
          <w:wAfter w:w="544" w:type="dxa"/>
          <w:trHeight w:val="302" w:hRule="atLeast"/>
        </w:trPr>
        <w:tc>
          <w:tcPr>
            <w:tcW w:w="1291"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ascii="宋体" w:hAnsi="宋体" w:eastAsia="宋体" w:cs="宋体"/>
                <w:color w:val="000000"/>
                <w:sz w:val="22"/>
              </w:rPr>
            </w:pPr>
          </w:p>
        </w:tc>
        <w:tc>
          <w:tcPr>
            <w:tcW w:w="295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143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2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c>
          <w:tcPr>
            <w:tcW w:w="14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注：本表反映部门本年度国有资本经营预算财政拨款收入、支出及结转结余情况。</w:t>
      </w:r>
      <w:r>
        <w:rPr>
          <w:rFonts w:hint="eastAsia"/>
        </w:rPr>
        <w:t>本部门本年度无相关支出情况，按要求以空表列示。</w:t>
      </w:r>
      <w:r>
        <w:br w:type="page"/>
      </w:r>
    </w:p>
    <w:p>
      <w:pPr>
        <w:tabs>
          <w:tab w:val="left" w:pos="235"/>
        </w:tabs>
        <w:spacing w:line="600" w:lineRule="exact"/>
        <w:ind w:firstLine="640" w:firstLineChars="200"/>
        <w:jc w:val="left"/>
        <w:rPr>
          <w:rFonts w:ascii="仿宋_GB2312" w:hAnsi="Cambria" w:eastAsia="仿宋_GB2312" w:cs="Arial Black"/>
          <w:kern w:val="0"/>
          <w:sz w:val="32"/>
          <w:szCs w:val="32"/>
        </w:rPr>
        <w:sectPr>
          <w:pgSz w:w="11906" w:h="16838"/>
          <w:pgMar w:top="1984" w:right="1531" w:bottom="2098" w:left="1531"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mc:AlternateContent>
          <mc:Choice Requires="wps">
            <w:drawing>
              <wp:anchor distT="0" distB="0" distL="114300" distR="114300" simplePos="0" relativeHeight="251664384" behindDoc="0" locked="0" layoutInCell="1" allowOverlap="1">
                <wp:simplePos x="0" y="0"/>
                <wp:positionH relativeFrom="column">
                  <wp:posOffset>-993140</wp:posOffset>
                </wp:positionH>
                <wp:positionV relativeFrom="paragraph">
                  <wp:posOffset>-1353820</wp:posOffset>
                </wp:positionV>
                <wp:extent cx="7632700" cy="10695940"/>
                <wp:effectExtent l="0" t="0" r="6350" b="0"/>
                <wp:wrapNone/>
                <wp:docPr id="3" name="矩形 3"/>
                <wp:cNvGraphicFramePr/>
                <a:graphic xmlns:a="http://schemas.openxmlformats.org/drawingml/2006/main">
                  <a:graphicData uri="http://schemas.microsoft.com/office/word/2010/wordprocessingShape">
                    <wps:wsp>
                      <wps:cNvSpPr/>
                      <wps:spPr>
                        <a:xfrm>
                          <a:off x="0" y="0"/>
                          <a:ext cx="7632700" cy="10695940"/>
                        </a:xfrm>
                        <a:prstGeom prst="rect">
                          <a:avLst/>
                        </a:prstGeom>
                        <a:solidFill>
                          <a:srgbClr val="BDD7EE">
                            <a:lumMod val="40000"/>
                            <a:lumOff val="60000"/>
                          </a:srgbClr>
                        </a:solidFill>
                        <a:ln w="12700" cap="flat" cmpd="sng" algn="ctr">
                          <a:no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8.2pt;margin-top:-106.6pt;height:842.2pt;width:601pt;z-index:251664384;v-text-anchor:middle;mso-width-relative:page;mso-height-relative:page;" fillcolor="#E5EFF8" filled="t" stroked="f" coordsize="21600,21600" o:gfxdata="UEsDBAoAAAAAAIdO4kAAAAAAAAAAAAAAAAAEAAAAZHJzL1BLAwQUAAAACACHTuJAZTdAntwAAAAP&#10;AQAADwAAAGRycy9kb3ducmV2LnhtbE2Py07DMBBF90j8gzVI7FrbaRpQGqcSlRBihUjD3o2nSagf&#10;IXaT8ve4q7K7ozm6c6bYXowmE46+d1YAXzIgaBunetsKqPevi2cgPkirpHYWBfyih215f1fIXLnZ&#10;fuJUhZbEEutzKaALYcgp9U2HRvqlG9DG3dGNRoY4ji1Vo5xjudE0YSyjRvY2XujkgLsOm1N1NgLe&#10;f7DVuylUH19vdO5PL/t6VX8L8fjA2QZIwEu4wXDVj+pQRqeDO1vliRaw4OssjWxMCV8lQK4MS9cZ&#10;kENM6RNPgJYF/f9H+QdQSwMEFAAAAAgAh07iQJ6dyoqGAgAABgUAAA4AAABkcnMvZTJvRG9jLnht&#10;bK1UzW4TMRC+I/EOlu90N2matFE3VWhahFRopYI4O15v1pL/sJ2f8jJI3HgIHgfxGnz2btpSOPRA&#10;Dpv5229mvpnZ07OdVmQjfJDWVHRwUFIiDLe1NKuKfvxw+eqYkhCZqZmyRlT0TgR6Nnv54nTrpmJo&#10;W6tq4QlATJhuXUXbGN20KAJvhWbhwDph4Gys1yxC9aui9mwLdK2KYVmOi631tfOWixBgXXRO2iP6&#10;5wDappFcLCxfa2Fih+qFYhEthVa6QGe52qYRPF43TRCRqIqi05ifSAJ5mZ7F7JRNV565VvK+BPac&#10;Ep70pJk0SHoPtWCRkbWXf0Fpyb0NtokH3OqiayQzgi4G5RNublvmRO4FVAd3T3r4f7D8/ebGE1lX&#10;9JASwzQG/uvr958/vpHDxM3WhSlCbt2N77UAMTW6a7xO/2iB7DKfd/d8il0kHMbJ+HA4KUE1h29Q&#10;jk+OTkaZ8uLhfedDfCOsJkmoqMfEMpFscxUiciJ0H5LSBatkfSmVyopfLc+VJxuG6b5eLCYXF/ld&#10;tdbvbN2ZRyV+3ZhhxjJ05vHeDPzQweRcf+ArQ7YovO+BYdkbLBna0Q6EBbOihKkVrohHnxMbm0rL&#10;O5WKXrDQdukybFeFlhH3o6Su6HEqYk+IMigg8d0xnKSlre8wHW+7tQ2OX0rAXrEQb5jHnoJaXHK8&#10;xqNRFrXaXqKktf7Lv+wpHusDLyVb7D36+LxmXlCi3hos1slghBmRmJXR0WQIxT/2LB97zFqfW5A/&#10;wDfD8Sym+Kj2YuOt/oSDn6escDHDkbtjrFfOY3eP+GRwMZ/nMByHY/HK3DqewNOwjZ2vo21kXooH&#10;dnrScB55fv0pp/t7rOeoh8/X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lN0Ce3AAAAA8BAAAP&#10;AAAAAAAAAAEAIAAAACIAAABkcnMvZG93bnJldi54bWxQSwECFAAUAAAACACHTuJAnp3KioYCAAAG&#10;BQAADgAAAAAAAAABACAAAAArAQAAZHJzL2Uyb0RvYy54bWxQSwUGAAAAAAYABgBZAQAAIwYAAAAA&#10;">
                <v:fill on="t" focussize="0,0"/>
                <v:stroke on="f" weight="1pt" miterlimit="8" joinstyle="miter"/>
                <v:imagedata o:title=""/>
                <o:lock v:ext="edit" aspectratio="f"/>
              </v:rect>
            </w:pict>
          </mc:Fallback>
        </mc:AlternateConten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Cambria">
    <w:panose1 w:val="02040503050406030204"/>
    <w:charset w:val="00"/>
    <w:family w:val="roman"/>
    <w:pitch w:val="default"/>
    <w:sig w:usb0="E00006FF" w:usb1="420024FF" w:usb2="02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15344"/>
    <w:multiLevelType w:val="multilevel"/>
    <w:tmpl w:val="43E15344"/>
    <w:lvl w:ilvl="0" w:tentative="0">
      <w:start w:val="1"/>
      <w:numFmt w:val="japaneseCounting"/>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F222FFA"/>
    <w:multiLevelType w:val="singleLevel"/>
    <w:tmpl w:val="5F222FF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45458"/>
    <w:rsid w:val="00061A05"/>
    <w:rsid w:val="000869C8"/>
    <w:rsid w:val="000D4D17"/>
    <w:rsid w:val="00123067"/>
    <w:rsid w:val="00151D54"/>
    <w:rsid w:val="00161629"/>
    <w:rsid w:val="00172AED"/>
    <w:rsid w:val="0018668E"/>
    <w:rsid w:val="001A431D"/>
    <w:rsid w:val="001B73D2"/>
    <w:rsid w:val="001C63B5"/>
    <w:rsid w:val="001E62BF"/>
    <w:rsid w:val="00293E7B"/>
    <w:rsid w:val="002C5234"/>
    <w:rsid w:val="002D1F4F"/>
    <w:rsid w:val="0034096A"/>
    <w:rsid w:val="00366D90"/>
    <w:rsid w:val="00393FB9"/>
    <w:rsid w:val="003D678E"/>
    <w:rsid w:val="003E16E6"/>
    <w:rsid w:val="00414A74"/>
    <w:rsid w:val="0047158C"/>
    <w:rsid w:val="005453BE"/>
    <w:rsid w:val="005A7E5E"/>
    <w:rsid w:val="006E7367"/>
    <w:rsid w:val="006F1E18"/>
    <w:rsid w:val="007A15C4"/>
    <w:rsid w:val="007D398E"/>
    <w:rsid w:val="007E283B"/>
    <w:rsid w:val="00801F66"/>
    <w:rsid w:val="008E6C1C"/>
    <w:rsid w:val="00907AF5"/>
    <w:rsid w:val="0091399E"/>
    <w:rsid w:val="009334BF"/>
    <w:rsid w:val="009842E8"/>
    <w:rsid w:val="00A4170F"/>
    <w:rsid w:val="00A45EDA"/>
    <w:rsid w:val="00AD59D8"/>
    <w:rsid w:val="00B12F10"/>
    <w:rsid w:val="00B13F0A"/>
    <w:rsid w:val="00C22831"/>
    <w:rsid w:val="00C84361"/>
    <w:rsid w:val="00C927B6"/>
    <w:rsid w:val="00CE6D32"/>
    <w:rsid w:val="00D34F2A"/>
    <w:rsid w:val="00D66149"/>
    <w:rsid w:val="00EB4B8E"/>
    <w:rsid w:val="00F73D3B"/>
    <w:rsid w:val="00F94528"/>
    <w:rsid w:val="00FB0DAA"/>
    <w:rsid w:val="00FB51BD"/>
    <w:rsid w:val="058B71E0"/>
    <w:rsid w:val="0EA325C9"/>
    <w:rsid w:val="2FB96948"/>
    <w:rsid w:val="3327616A"/>
    <w:rsid w:val="34C45458"/>
    <w:rsid w:val="35C83C42"/>
    <w:rsid w:val="578B441D"/>
    <w:rsid w:val="598D7C56"/>
    <w:rsid w:val="5D0C63C4"/>
    <w:rsid w:val="73D82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Balloon Text"/>
    <w:basedOn w:val="1"/>
    <w:link w:val="11"/>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styleId="10">
    <w:name w:val="List Paragraph"/>
    <w:basedOn w:val="1"/>
    <w:unhideWhenUsed/>
    <w:qFormat/>
    <w:uiPriority w:val="99"/>
    <w:pPr>
      <w:ind w:firstLine="420" w:firstLineChars="200"/>
    </w:pPr>
  </w:style>
  <w:style w:type="character" w:customStyle="1" w:styleId="11">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2.bmp"/><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2019-2020</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年收支总计对比情况（图</a:t>
            </a:r>
            <a:r>
              <a:rPr lang="en-US" alt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1</a:t>
            </a:r>
            <a:r>
              <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rPr>
              <a:t>）</a:t>
            </a:r>
            <a:endParaRPr lang="zh-CN" altLang="en-US">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endParaRPr>
          </a:p>
        </c:rich>
      </c:tx>
      <c:layout>
        <c:manualLayout>
          <c:xMode val="edge"/>
          <c:yMode val="edge"/>
          <c:x val="0.209718361608105"/>
          <c:y val="0.846648044692738"/>
        </c:manualLayout>
      </c:layout>
      <c:overlay val="0"/>
      <c:spPr>
        <a:noFill/>
        <a:ln>
          <a:noFill/>
        </a:ln>
        <a:effectLst/>
      </c:spPr>
    </c:title>
    <c:autoTitleDeleted val="0"/>
    <c:plotArea>
      <c:layout>
        <c:manualLayout>
          <c:layoutTarget val="inner"/>
          <c:xMode val="edge"/>
          <c:yMode val="edge"/>
          <c:x val="0.123946243127673"/>
          <c:y val="0.0879888268156425"/>
          <c:w val="0.778772144166158"/>
          <c:h val="0.619106145251397"/>
        </c:manualLayout>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781.9</c:v>
                </c:pt>
                <c:pt idx="1">
                  <c:v>874.8</c:v>
                </c:pt>
              </c:numCache>
            </c:numRef>
          </c:val>
        </c:ser>
        <c:dLbls>
          <c:showLegendKey val="0"/>
          <c:showVal val="1"/>
          <c:showCatName val="0"/>
          <c:showSerName val="0"/>
          <c:showPercent val="0"/>
          <c:showBubbleSize val="0"/>
        </c:dLbls>
        <c:gapWidth val="219"/>
        <c:overlap val="-27"/>
        <c:axId val="245047680"/>
        <c:axId val="245089408"/>
      </c:barChart>
      <c:catAx>
        <c:axId val="2450476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245089408"/>
        <c:crosses val="autoZero"/>
        <c:auto val="1"/>
        <c:lblAlgn val="ctr"/>
        <c:lblOffset val="100"/>
        <c:noMultiLvlLbl val="0"/>
      </c:catAx>
      <c:valAx>
        <c:axId val="245089408"/>
        <c:scaling>
          <c:orientation val="minMax"/>
        </c:scaling>
        <c:delete val="0"/>
        <c:axPos val="l"/>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crossAx val="245047680"/>
        <c:crosses val="autoZero"/>
        <c:crossBetween val="between"/>
      </c:valAx>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Entry>
      <c:layout>
        <c:manualLayout>
          <c:xMode val="edge"/>
          <c:yMode val="edge"/>
          <c:x val="0.830312807730551"/>
          <c:y val="0.36317316982804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legend>
    <c:plotVisOnly val="1"/>
    <c:dispBlanksAs val="gap"/>
    <c:showDLblsOverMax val="0"/>
  </c:chart>
  <c:spPr>
    <a:solidFill>
      <a:schemeClr val="bg1"/>
    </a:solidFill>
    <a:ln w="9525" cap="flat" cmpd="sng" algn="ctr">
      <a:noFill/>
      <a:prstDash val="solid"/>
      <a:round/>
    </a:ln>
    <a:effectLst/>
  </c:spPr>
  <c:txPr>
    <a:bodyPr/>
    <a:lstStyle/>
    <a:p>
      <a:pPr>
        <a:defRPr lang="zh-CN">
          <a:latin typeface="楷体_GB2312" panose="02010609030101010101" pitchFamily="3" charset="-122"/>
          <a:ea typeface="楷体_GB2312" panose="02010609030101010101" pitchFamily="3" charset="-122"/>
          <a:cs typeface="楷体_GB2312" panose="02010609030101010101" pitchFamily="3" charset="-122"/>
          <a:sym typeface="楷体_GB2312" panose="02010609030101010101" pitchFamily="3"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34</Pages>
  <Words>2099</Words>
  <Characters>11967</Characters>
  <Lines>99</Lines>
  <Paragraphs>28</Paragraphs>
  <TotalTime>0</TotalTime>
  <ScaleCrop>false</ScaleCrop>
  <LinksUpToDate>false</LinksUpToDate>
  <CharactersWithSpaces>14038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2022-08-29T06:29:00Z</dcterms:created>
  <dc:creator>王明新TIAD</dc:creator>
  <cp:lastModifiedBy>lenovo</cp:lastModifiedBy>
  <dcterms:modified xsi:type="dcterms:W3CDTF">2022-09-16T01:35:24Z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65FA352BAB5146309CB066C800874C19</vt:lpwstr>
  </property>
</Properties>
</file>