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6432" behindDoc="0" locked="0" layoutInCell="1" allowOverlap="1">
            <wp:simplePos x="0" y="0"/>
            <wp:positionH relativeFrom="column">
              <wp:posOffset>-1034415</wp:posOffset>
            </wp:positionH>
            <wp:positionV relativeFrom="paragraph">
              <wp:posOffset>-1347470</wp:posOffset>
            </wp:positionV>
            <wp:extent cx="8711565" cy="10749280"/>
            <wp:effectExtent l="0" t="0" r="5715" b="10160"/>
            <wp:wrapNone/>
            <wp:docPr id="5" name="图片 5" descr="2020公开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0公开封面"/>
                    <pic:cNvPicPr>
                      <a:picLocks noChangeAspect="1"/>
                    </pic:cNvPicPr>
                  </pic:nvPicPr>
                  <pic:blipFill>
                    <a:blip r:embed="rId13"/>
                    <a:stretch>
                      <a:fillRect/>
                    </a:stretch>
                  </pic:blipFill>
                  <pic:spPr>
                    <a:xfrm>
                      <a:off x="0" y="0"/>
                      <a:ext cx="8711565" cy="10749280"/>
                    </a:xfrm>
                    <a:prstGeom prst="rect">
                      <a:avLst/>
                    </a:prstGeom>
                  </pic:spPr>
                </pic:pic>
              </a:graphicData>
            </a:graphic>
          </wp:anchor>
        </w:drawing>
      </w:r>
      <w:r>
        <w:br w:type="page"/>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rPr>
          <w:rFonts w:hint="eastAsia" w:ascii="黑体" w:hAnsi="黑体" w:eastAsia="黑体" w:cs="黑体"/>
          <w:sz w:val="72"/>
          <w:szCs w:val="96"/>
          <w:lang w:eastAsia="zh-CN"/>
        </w:rPr>
      </w:pPr>
      <w:r>
        <w:rPr>
          <w:rFonts w:hint="eastAsia" w:ascii="黑体" w:hAnsi="黑体" w:eastAsia="黑体" w:cs="黑体"/>
          <w:sz w:val="72"/>
          <w:szCs w:val="96"/>
          <w:lang w:eastAsia="zh-CN"/>
        </w:rPr>
        <w:t>中共保定市满城区委组织部</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二〇二一年</w:t>
      </w:r>
      <w:r>
        <w:rPr>
          <w:rFonts w:hint="eastAsia" w:ascii="楷体_GB2312" w:hAnsi="楷体_GB2312" w:eastAsia="楷体_GB2312" w:cs="楷体_GB2312"/>
          <w:color w:val="000000" w:themeColor="text1"/>
          <w:kern w:val="0"/>
          <w:sz w:val="40"/>
          <w:szCs w:val="40"/>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w:t>
      </w:r>
      <w:r>
        <w:rPr>
          <w:rFonts w:hint="eastAsia"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snapToGrid w:val="0"/>
        <w:jc w:val="center"/>
        <w:rPr>
          <w:rFonts w:ascii="楷体_GB2312" w:hAnsi="楷体_GB2312" w:eastAsia="楷体_GB2312" w:cs="楷体_GB2312"/>
          <w:color w:val="000000" w:themeColor="text1"/>
          <w:kern w:val="0"/>
          <w:sz w:val="40"/>
          <w:szCs w:val="40"/>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keepNext w:val="0"/>
        <w:keepLines w:val="0"/>
        <w:pageBreakBefore w:val="0"/>
        <w:widowControl/>
        <w:kinsoku/>
        <w:wordWrap/>
        <w:overflowPunct/>
        <w:topLinePunct w:val="0"/>
        <w:autoSpaceDE/>
        <w:autoSpaceDN/>
        <w:bidi w:val="0"/>
        <w:adjustRightInd/>
        <w:snapToGrid/>
        <w:spacing w:line="640" w:lineRule="exact"/>
        <w:ind w:firstLine="1273" w:firstLineChars="398"/>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keepNext w:val="0"/>
        <w:keepLines w:val="0"/>
        <w:pageBreakBefore w:val="0"/>
        <w:widowControl/>
        <w:kinsoku/>
        <w:wordWrap/>
        <w:overflowPunct/>
        <w:topLinePunct w:val="0"/>
        <w:autoSpaceDE/>
        <w:autoSpaceDN/>
        <w:bidi w:val="0"/>
        <w:adjustRightInd/>
        <w:snapToGrid/>
        <w:spacing w:line="640" w:lineRule="exact"/>
        <w:ind w:leftChars="300"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keepNext w:val="0"/>
        <w:keepLines w:val="0"/>
        <w:pageBreakBefore w:val="0"/>
        <w:widowControl/>
        <w:kinsoku/>
        <w:wordWrap/>
        <w:overflowPunct/>
        <w:topLinePunct w:val="0"/>
        <w:autoSpaceDE/>
        <w:autoSpaceDN/>
        <w:bidi w:val="0"/>
        <w:adjustRightInd/>
        <w:snapToGrid/>
        <w:spacing w:line="640" w:lineRule="exact"/>
        <w:ind w:firstLine="640" w:firstLineChars="200"/>
        <w:textAlignment w:val="auto"/>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59264" behindDoc="0" locked="0" layoutInCell="1" allowOverlap="1">
                <wp:simplePos x="0" y="0"/>
                <wp:positionH relativeFrom="column">
                  <wp:posOffset>-1088390</wp:posOffset>
                </wp:positionH>
                <wp:positionV relativeFrom="paragraph">
                  <wp:posOffset>1024890</wp:posOffset>
                </wp:positionV>
                <wp:extent cx="7793355" cy="3341370"/>
                <wp:effectExtent l="6350" t="6350" r="18415" b="2032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59264;v-text-anchor:middle;mso-width-relative:page;mso-height-relative:page;" fillcolor="#7F7F7F [16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我单位行政编制数</w:t>
      </w:r>
      <w:r>
        <w:rPr>
          <w:rFonts w:hint="eastAsia" w:ascii="仿宋_GB2312" w:hAnsi="Calibri" w:eastAsia="仿宋_GB2312" w:cs="ArialUnicodeMS"/>
          <w:kern w:val="0"/>
          <w:sz w:val="32"/>
          <w:szCs w:val="32"/>
          <w:lang w:val="en-US" w:eastAsia="zh-CN"/>
        </w:rPr>
        <w:t>23</w:t>
      </w:r>
      <w:r>
        <w:rPr>
          <w:rFonts w:hint="eastAsia" w:ascii="仿宋_GB2312" w:hAnsi="Calibri" w:eastAsia="仿宋_GB2312" w:cs="ArialUnicodeMS"/>
          <w:kern w:val="0"/>
          <w:sz w:val="32"/>
          <w:szCs w:val="32"/>
        </w:rPr>
        <w:t>个。实有在职人员</w:t>
      </w:r>
      <w:r>
        <w:rPr>
          <w:rFonts w:hint="eastAsia" w:ascii="仿宋_GB2312" w:hAnsi="Calibri" w:eastAsia="仿宋_GB2312" w:cs="ArialUnicodeMS"/>
          <w:kern w:val="0"/>
          <w:sz w:val="32"/>
          <w:szCs w:val="32"/>
          <w:lang w:val="en-US" w:eastAsia="zh-CN"/>
        </w:rPr>
        <w:t>21</w:t>
      </w:r>
      <w:r>
        <w:rPr>
          <w:rFonts w:hint="eastAsia" w:ascii="仿宋_GB2312" w:hAnsi="Calibri" w:eastAsia="仿宋_GB2312" w:cs="ArialUnicodeMS"/>
          <w:kern w:val="0"/>
          <w:sz w:val="32"/>
          <w:szCs w:val="32"/>
        </w:rPr>
        <w:t xml:space="preserve"> 人，退休人员 10人。</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根据中共满城县委办公室《关于印发〈中共满城县委组织部职能配置、内设机构和人员编制规定〉的通知》（满办字[2002]75号），现将我部部门概况说明如下：</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（一）指导党的基层组织建设，探索各类新的经济组织中党组织的设置和活动方式；负责党员的管理教育和发展工作。</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二）提出关于乡（镇）和县直和部门领导班子调整、配备的意见和建议；负责区委管理干部的考察和办理任免、工资待遇、退（离）休审批手续；指导领导班子的思想作风建设；负责干部队伍宏观管理工作，承办干部的调配交流和安置工作。</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（三）负责全区科级后备干部的培养、选拔、管理、考察工作；负责妇女干部、党外干部、少数民族干部的培养、选拔、管理和推荐工作。</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（四）研究探索干部人事制度改革，制定全区组织、干部、人事工作的重要政策和制度。</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（五）负责全区组织工作、干部工作、干部人事纪律、班子建设等方面的检查督促，及时向区委反映情况，提出建议。</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（六）负责全区党政领导班子和领导干部考核、奖惩工作。依据考核结果，向区委提出干部奖惩、任免、使用情况。</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（七）负责全区的干部教育工作，制订干部教育工作规划和措施，对全区干部教育进行宏观管理、指导和协调。</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（八）督促检查知识分子政策的贯彻落实，选拔推荐优秀知识分子，负责科技副乡（镇）长的选拔、考察和管理。</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eastAsia="zh-CN"/>
        </w:rPr>
        <w:t>（九）负责贯彻落实上级和区委关于离退休干部工作的方针、政策。组织协调有关部门共同做好离退休干部工作，依据政策安排好他们的工作、生活、学习。</w:t>
      </w:r>
    </w:p>
    <w:p>
      <w:pPr>
        <w:keepNext/>
        <w:keepLines/>
        <w:spacing w:line="580" w:lineRule="exact"/>
        <w:ind w:firstLine="640" w:firstLineChars="200"/>
        <w:jc w:val="left"/>
        <w:outlineLvl w:val="0"/>
        <w:rPr>
          <w:rFonts w:hint="eastAsia" w:ascii="黑体" w:hAnsi="Calibri" w:eastAsia="黑体" w:cs="黑体"/>
          <w:kern w:val="0"/>
          <w:sz w:val="32"/>
          <w:szCs w:val="32"/>
        </w:rPr>
      </w:pPr>
      <w:r>
        <w:rPr>
          <w:rFonts w:hint="eastAsia" w:ascii="仿宋_GB2312" w:hAnsi="Calibri" w:eastAsia="仿宋_GB2312" w:cs="ArialUnicodeMS"/>
          <w:kern w:val="0"/>
          <w:sz w:val="32"/>
          <w:szCs w:val="32"/>
          <w:lang w:eastAsia="zh-CN"/>
        </w:rPr>
        <w:t>（十）完成区委交办的其它工作任务。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6"/>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vAlign w:val="top"/>
          </w:tcPr>
          <w:p>
            <w:pPr>
              <w:spacing w:line="560" w:lineRule="exact"/>
              <w:rPr>
                <w:rFonts w:hint="default" w:ascii="仿宋_GB2312" w:hAnsi="Calibri" w:eastAsia="仿宋_GB2312" w:cs="Arial Black"/>
                <w:kern w:val="0"/>
                <w:sz w:val="28"/>
                <w:szCs w:val="28"/>
                <w:lang w:val="en-US" w:eastAsia="zh-CN"/>
              </w:rPr>
            </w:pPr>
            <w:r>
              <w:rPr>
                <w:rFonts w:hint="eastAsia" w:ascii="仿宋_GB2312" w:hAnsi="Calibri" w:eastAsia="仿宋_GB2312" w:cs="Arial Black"/>
                <w:kern w:val="0"/>
                <w:sz w:val="28"/>
                <w:szCs w:val="28"/>
                <w:lang w:val="en-US" w:eastAsia="zh-CN"/>
              </w:rPr>
              <w:t>组织部</w:t>
            </w:r>
          </w:p>
        </w:tc>
        <w:tc>
          <w:tcPr>
            <w:tcW w:w="2404" w:type="dxa"/>
            <w:vAlign w:val="top"/>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UnicodeMS"/>
                <w:kern w:val="0"/>
                <w:sz w:val="28"/>
                <w:szCs w:val="28"/>
                <w:lang w:val="en-US" w:eastAsia="zh-CN"/>
              </w:rPr>
              <w:t>行政单位</w:t>
            </w:r>
          </w:p>
        </w:tc>
        <w:tc>
          <w:tcPr>
            <w:tcW w:w="2622" w:type="dxa"/>
            <w:vAlign w:val="top"/>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1312;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2336" behindDoc="0" locked="0" layoutInCell="1" allowOverlap="1">
                <wp:simplePos x="0" y="0"/>
                <wp:positionH relativeFrom="column">
                  <wp:posOffset>-1028065</wp:posOffset>
                </wp:positionH>
                <wp:positionV relativeFrom="paragraph">
                  <wp:posOffset>-2637155</wp:posOffset>
                </wp:positionV>
                <wp:extent cx="7793355" cy="3341370"/>
                <wp:effectExtent l="6350" t="6350" r="18415" b="20320"/>
                <wp:wrapNone/>
                <wp:docPr id="2" name="文本框 2"/>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12700" cmpd="sng">
                          <a:solidFill>
                            <a:schemeClr val="bg1">
                              <a:lumMod val="65000"/>
                            </a:schemeClr>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5pt;margin-top:-207.65pt;height:263.1pt;width:613.65pt;z-index:251662336;v-text-anchor:middle;mso-width-relative:page;mso-height-relative:page;" fillcolor="#7F7F7F [16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fill type="pattern" on="t" color2="#FFFFFF [3212]" o:title="5%" focussize="0,0" r:id="rId14"/>
                <v:stroke weight="1pt" color="#A6A6A6 [2092]"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2020年部门决算情况说明</w:t>
                      </w:r>
                    </w:p>
                    <w:p>
                      <w:pPr>
                        <w:widowControl/>
                        <w:jc w:val="center"/>
                        <w:rPr>
                          <w14:textOutline w14:w="9525" w14:cap="flat" w14:cmpd="sng" w14:algn="ctr">
                            <w14:solidFill>
                              <w14:schemeClr w14:val="tx1">
                                <w14:lumMod w14:val="50000"/>
                                <w14:lumOff w14:val="50000"/>
                              </w14:schemeClr>
                            </w14:solidFill>
                            <w14:prstDash w14:val="solid"/>
                            <w14:round/>
                          </w14:textOutline>
                        </w:rPr>
                      </w:pPr>
                    </w:p>
                    <w:p/>
                  </w:txbxContent>
                </v:textbox>
              </v:shape>
            </w:pict>
          </mc:Fallback>
        </mc:AlternateConten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本部门2020年度收</w:t>
      </w:r>
      <w:r>
        <w:rPr>
          <w:rFonts w:hint="eastAsia" w:ascii="仿宋_GB2312" w:hAnsi="Times New Roman" w:eastAsia="仿宋_GB2312" w:cs="Wingdings"/>
          <w:sz w:val="32"/>
          <w:szCs w:val="32"/>
          <w:lang w:eastAsia="zh-CN"/>
        </w:rPr>
        <w:t>入</w:t>
      </w:r>
      <w:r>
        <w:rPr>
          <w:rFonts w:hint="eastAsia" w:ascii="仿宋_GB2312" w:hAnsi="Times New Roman" w:eastAsia="仿宋_GB2312" w:cs="Wingdings"/>
          <w:sz w:val="32"/>
          <w:szCs w:val="32"/>
        </w:rPr>
        <w:t>总计（含结转和结余）287.62万元</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支</w:t>
      </w:r>
      <w:r>
        <w:rPr>
          <w:rFonts w:hint="eastAsia" w:ascii="仿宋_GB2312" w:hAnsi="Times New Roman" w:eastAsia="仿宋_GB2312" w:cs="Wingdings"/>
          <w:sz w:val="32"/>
          <w:szCs w:val="32"/>
          <w:lang w:eastAsia="zh-CN"/>
        </w:rPr>
        <w:t>出</w:t>
      </w:r>
      <w:r>
        <w:rPr>
          <w:rFonts w:hint="eastAsia" w:ascii="仿宋_GB2312" w:hAnsi="Times New Roman" w:eastAsia="仿宋_GB2312" w:cs="Wingdings"/>
          <w:sz w:val="32"/>
          <w:szCs w:val="32"/>
        </w:rPr>
        <w:t>总计（含结转和结余）287.62万元。与2019年度决算相比，收</w:t>
      </w:r>
      <w:r>
        <w:rPr>
          <w:rFonts w:hint="eastAsia" w:ascii="仿宋_GB2312" w:hAnsi="Times New Roman" w:eastAsia="仿宋_GB2312" w:cs="Wingdings"/>
          <w:sz w:val="32"/>
          <w:szCs w:val="32"/>
          <w:lang w:eastAsia="zh-CN"/>
        </w:rPr>
        <w:t>入减少</w:t>
      </w:r>
      <w:r>
        <w:rPr>
          <w:rFonts w:hint="eastAsia" w:ascii="仿宋_GB2312" w:hAnsi="Times New Roman" w:eastAsia="仿宋_GB2312" w:cs="Wingdings"/>
          <w:sz w:val="32"/>
          <w:szCs w:val="32"/>
          <w:lang w:val="en-US" w:eastAsia="zh-CN"/>
        </w:rPr>
        <w:t>6.55万元</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下降</w:t>
      </w:r>
      <w:r>
        <w:rPr>
          <w:rFonts w:hint="eastAsia" w:ascii="仿宋_GB2312" w:hAnsi="Times New Roman" w:eastAsia="仿宋_GB2312" w:cs="Wingdings"/>
          <w:sz w:val="32"/>
          <w:szCs w:val="32"/>
          <w:lang w:val="en-US" w:eastAsia="zh-CN"/>
        </w:rPr>
        <w:t>2.23</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支出</w:t>
      </w:r>
      <w:r>
        <w:rPr>
          <w:rFonts w:hint="eastAsia" w:ascii="仿宋_GB2312" w:hAnsi="Times New Roman" w:eastAsia="仿宋_GB2312" w:cs="Wingdings"/>
          <w:sz w:val="32"/>
          <w:szCs w:val="32"/>
        </w:rPr>
        <w:t>减少</w:t>
      </w:r>
      <w:r>
        <w:rPr>
          <w:rFonts w:hint="eastAsia" w:ascii="仿宋_GB2312" w:hAnsi="Times New Roman" w:eastAsia="仿宋_GB2312" w:cs="Wingdings"/>
          <w:sz w:val="32"/>
          <w:szCs w:val="32"/>
          <w:lang w:val="en-US" w:eastAsia="zh-CN"/>
        </w:rPr>
        <w:t>6.55</w:t>
      </w:r>
      <w:r>
        <w:rPr>
          <w:rFonts w:hint="eastAsia" w:ascii="仿宋_GB2312" w:hAnsi="Times New Roman" w:eastAsia="仿宋_GB2312" w:cs="Wingdings"/>
          <w:sz w:val="32"/>
          <w:szCs w:val="32"/>
        </w:rPr>
        <w:t>万元，下降</w:t>
      </w:r>
      <w:r>
        <w:rPr>
          <w:rFonts w:hint="eastAsia" w:ascii="仿宋_GB2312" w:hAnsi="Times New Roman" w:eastAsia="仿宋_GB2312" w:cs="Wingdings"/>
          <w:sz w:val="32"/>
          <w:szCs w:val="32"/>
          <w:lang w:val="en-US" w:eastAsia="zh-CN"/>
        </w:rPr>
        <w:t>2.23</w:t>
      </w:r>
      <w:r>
        <w:rPr>
          <w:rFonts w:hint="eastAsia" w:ascii="仿宋_GB2312" w:hAnsi="Times New Roman" w:eastAsia="仿宋_GB2312" w:cs="Wingdings"/>
          <w:sz w:val="32"/>
          <w:szCs w:val="32"/>
        </w:rPr>
        <w:t>%，主要原因是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w:t>
      </w:r>
      <w:r>
        <w:rPr>
          <w:rFonts w:hint="eastAsia" w:ascii="仿宋_GB2312" w:eastAsia="仿宋_GB2312" w:cs="DengXian-Regular"/>
          <w:sz w:val="32"/>
          <w:szCs w:val="32"/>
          <w:lang w:eastAsia="zh-CN"/>
        </w:rPr>
        <w:t>收支</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2020年度收支决算比2019年度有所减少。</w:t>
      </w:r>
      <w:r>
        <w:rPr>
          <w:rFonts w:hint="eastAsia" w:ascii="仿宋_GB2312" w:hAnsi="Times New Roman" w:eastAsia="仿宋_GB2312" w:cs="Wingdings"/>
          <w:sz w:val="32"/>
          <w:szCs w:val="32"/>
        </w:rPr>
        <w:drawing>
          <wp:anchor distT="0" distB="0" distL="114300" distR="114300" simplePos="0" relativeHeight="251663360"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hint="eastAsia" w:ascii="黑体" w:hAnsi="Calibri" w:eastAsia="仿宋_GB2312" w:cs="Times New Roman"/>
          <w:sz w:val="32"/>
          <w:szCs w:val="32"/>
          <w:lang w:eastAsia="zh-CN"/>
        </w:rPr>
      </w:pPr>
      <w:r>
        <w:rPr>
          <w:rFonts w:hint="eastAsia" w:ascii="仿宋_GB2312" w:hAnsi="Times New Roman" w:eastAsia="仿宋_GB2312" w:cs="Wingdings"/>
          <w:sz w:val="32"/>
          <w:szCs w:val="32"/>
        </w:rPr>
        <w:t>本部门2020年度本年收入合计</w:t>
      </w:r>
      <w:r>
        <w:rPr>
          <w:rFonts w:hint="eastAsia" w:ascii="仿宋_GB2312" w:hAnsi="Times New Roman" w:eastAsia="仿宋_GB2312" w:cs="Wingdings"/>
          <w:sz w:val="32"/>
          <w:szCs w:val="32"/>
          <w:lang w:val="en-US" w:eastAsia="zh-CN"/>
        </w:rPr>
        <w:t>287.62</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287.62</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100</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事业收入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%；经营收入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%；其他收入</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640" w:firstLineChars="200"/>
        <w:rPr>
          <w:rFonts w:ascii="黑体" w:hAnsi="Calibri" w:eastAsia="黑体" w:cs="Times New Roman"/>
          <w:b/>
          <w:bCs/>
          <w:sz w:val="32"/>
          <w:szCs w:val="32"/>
        </w:rPr>
      </w:pPr>
      <w:r>
        <w:rPr>
          <w:rFonts w:hint="eastAsia" w:ascii="仿宋_GB2312" w:hAnsi="Times New Roman" w:eastAsia="仿宋_GB2312" w:cs="Wingdings"/>
          <w:sz w:val="32"/>
          <w:szCs w:val="32"/>
        </w:rPr>
        <w:t>本部门2020年度本年支出合计</w:t>
      </w:r>
      <w:r>
        <w:rPr>
          <w:rFonts w:hint="eastAsia" w:ascii="仿宋_GB2312" w:hAnsi="Times New Roman" w:eastAsia="仿宋_GB2312" w:cs="Wingdings"/>
          <w:sz w:val="32"/>
          <w:szCs w:val="32"/>
          <w:lang w:val="en-US" w:eastAsia="zh-CN"/>
        </w:rPr>
        <w:t>287.62</w:t>
      </w:r>
      <w:r>
        <w:rPr>
          <w:rFonts w:hint="eastAsia" w:ascii="仿宋_GB2312" w:hAnsi="Times New Roman" w:eastAsia="仿宋_GB2312" w:cs="Wingdings"/>
          <w:sz w:val="32"/>
          <w:szCs w:val="32"/>
        </w:rPr>
        <w:t>万元，其中：基本支出179.56万元，占</w:t>
      </w:r>
      <w:r>
        <w:rPr>
          <w:rFonts w:hint="eastAsia" w:ascii="仿宋_GB2312" w:hAnsi="Times New Roman" w:eastAsia="仿宋_GB2312" w:cs="Wingdings"/>
          <w:sz w:val="32"/>
          <w:szCs w:val="32"/>
          <w:lang w:val="en-US" w:eastAsia="zh-CN"/>
        </w:rPr>
        <w:t>62.43</w:t>
      </w:r>
      <w:r>
        <w:rPr>
          <w:rFonts w:hint="eastAsia" w:ascii="仿宋_GB2312" w:hAnsi="Times New Roman" w:eastAsia="仿宋_GB2312" w:cs="Wingdings"/>
          <w:sz w:val="32"/>
          <w:szCs w:val="32"/>
        </w:rPr>
        <w:t>%；项目支出108.06万元，占</w:t>
      </w:r>
      <w:r>
        <w:rPr>
          <w:rFonts w:hint="eastAsia" w:ascii="仿宋_GB2312" w:hAnsi="Times New Roman" w:eastAsia="仿宋_GB2312" w:cs="Wingdings"/>
          <w:sz w:val="32"/>
          <w:szCs w:val="32"/>
          <w:lang w:val="en-US" w:eastAsia="zh-CN"/>
        </w:rPr>
        <w:t>37.57</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经营支出</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w:t>
      </w:r>
    </w:p>
    <w:p>
      <w:pPr>
        <w:keepNext/>
        <w:keepLines/>
        <w:numPr>
          <w:ilvl w:val="0"/>
          <w:numId w:val="1"/>
        </w:numPr>
        <w:snapToGrid w:val="0"/>
        <w:spacing w:line="600" w:lineRule="exact"/>
        <w:ind w:firstLine="640" w:firstLineChars="200"/>
        <w:outlineLvl w:val="1"/>
        <w:rPr>
          <w:rFonts w:hint="eastAsia" w:ascii="黑体" w:hAnsi="Calibri" w:eastAsia="黑体" w:cs="Times New Roman"/>
          <w:sz w:val="32"/>
          <w:szCs w:val="32"/>
          <w:highlight w:val="none"/>
        </w:rPr>
      </w:pPr>
      <w:r>
        <w:rPr>
          <w:rFonts w:hint="eastAsia" w:ascii="黑体" w:hAnsi="Cambria" w:eastAsia="黑体" w:cs="黑体"/>
          <w:kern w:val="0"/>
          <w:sz w:val="32"/>
          <w:szCs w:val="32"/>
          <w:highlight w:val="none"/>
        </w:rPr>
        <w:t>财政</w:t>
      </w:r>
      <w:r>
        <w:rPr>
          <w:rFonts w:hint="eastAsia" w:ascii="黑体" w:hAnsi="Calibri" w:eastAsia="黑体" w:cs="Times New Roman"/>
          <w:sz w:val="32"/>
          <w:szCs w:val="32"/>
          <w:highlight w:val="none"/>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hAnsi="Calibri" w:eastAsia="仿宋_GB2312" w:cs="ArialUnicodeMS"/>
          <w:kern w:val="0"/>
          <w:sz w:val="32"/>
          <w:szCs w:val="32"/>
          <w:lang w:val="en-US" w:eastAsia="zh-CN"/>
        </w:rPr>
        <w:t>2020</w:t>
      </w:r>
      <w:r>
        <w:rPr>
          <w:rFonts w:hint="eastAsia" w:ascii="仿宋_GB2312" w:hAnsi="Calibri" w:eastAsia="仿宋_GB2312" w:cs="ArialUnicodeMS"/>
          <w:kern w:val="0"/>
          <w:sz w:val="32"/>
          <w:szCs w:val="32"/>
          <w:lang w:eastAsia="zh-CN"/>
        </w:rPr>
        <w:t>年度财政拨款支出比</w:t>
      </w:r>
      <w:r>
        <w:rPr>
          <w:rFonts w:hint="eastAsia" w:ascii="仿宋_GB2312" w:hAnsi="Calibri" w:eastAsia="仿宋_GB2312" w:cs="ArialUnicodeMS"/>
          <w:kern w:val="0"/>
          <w:sz w:val="32"/>
          <w:szCs w:val="32"/>
          <w:lang w:val="en-US" w:eastAsia="zh-CN"/>
        </w:rPr>
        <w:t>2019</w:t>
      </w:r>
      <w:r>
        <w:rPr>
          <w:rFonts w:hint="eastAsia" w:ascii="仿宋_GB2312" w:hAnsi="Calibri" w:eastAsia="仿宋_GB2312" w:cs="ArialUnicodeMS"/>
          <w:kern w:val="0"/>
          <w:sz w:val="32"/>
          <w:szCs w:val="32"/>
          <w:lang w:eastAsia="zh-CN"/>
        </w:rPr>
        <w:t>年度财政拨款支出预算数减少了</w:t>
      </w:r>
      <w:r>
        <w:rPr>
          <w:rFonts w:hint="eastAsia" w:ascii="仿宋_GB2312" w:hAnsi="Calibri" w:eastAsia="仿宋_GB2312" w:cs="ArialUnicodeMS"/>
          <w:kern w:val="0"/>
          <w:sz w:val="32"/>
          <w:szCs w:val="32"/>
          <w:lang w:val="en-US" w:eastAsia="zh-CN"/>
        </w:rPr>
        <w:t>6.55</w:t>
      </w:r>
      <w:r>
        <w:rPr>
          <w:rFonts w:hint="eastAsia" w:ascii="仿宋_GB2312" w:hAnsi="Calibri" w:eastAsia="仿宋_GB2312" w:cs="ArialUnicodeMS"/>
          <w:kern w:val="0"/>
          <w:sz w:val="32"/>
          <w:szCs w:val="32"/>
          <w:lang w:eastAsia="zh-CN"/>
        </w:rPr>
        <w:t>万元，减少了</w:t>
      </w:r>
      <w:r>
        <w:rPr>
          <w:rFonts w:hint="eastAsia" w:ascii="仿宋_GB2312" w:hAnsi="Calibri" w:eastAsia="仿宋_GB2312" w:cs="ArialUnicodeMS"/>
          <w:kern w:val="0"/>
          <w:sz w:val="32"/>
          <w:szCs w:val="32"/>
          <w:lang w:val="en-US" w:eastAsia="zh-CN"/>
        </w:rPr>
        <w:t>2.23</w:t>
      </w:r>
      <w:r>
        <w:rPr>
          <w:rFonts w:hint="eastAsia" w:ascii="仿宋_GB2312" w:hAnsi="Calibri" w:eastAsia="仿宋_GB2312" w:cs="ArialUnicodeMS"/>
          <w:kern w:val="0"/>
          <w:sz w:val="32"/>
          <w:szCs w:val="32"/>
          <w:lang w:eastAsia="zh-CN"/>
        </w:rPr>
        <w:t>%。其中：一般公共预算财政拨款减少了</w:t>
      </w:r>
      <w:r>
        <w:rPr>
          <w:rFonts w:hint="eastAsia" w:ascii="仿宋_GB2312" w:hAnsi="Calibri" w:eastAsia="仿宋_GB2312" w:cs="ArialUnicodeMS"/>
          <w:kern w:val="0"/>
          <w:sz w:val="32"/>
          <w:szCs w:val="32"/>
          <w:lang w:val="en-US" w:eastAsia="zh-CN"/>
        </w:rPr>
        <w:t>6.55</w:t>
      </w:r>
      <w:r>
        <w:rPr>
          <w:rFonts w:hint="eastAsia" w:ascii="仿宋_GB2312" w:hAnsi="Calibri" w:eastAsia="仿宋_GB2312" w:cs="ArialUnicodeMS"/>
          <w:kern w:val="0"/>
          <w:sz w:val="32"/>
          <w:szCs w:val="32"/>
          <w:lang w:eastAsia="zh-CN"/>
        </w:rPr>
        <w:t>万元，减少了</w:t>
      </w:r>
      <w:r>
        <w:rPr>
          <w:rFonts w:hint="eastAsia" w:ascii="仿宋_GB2312" w:hAnsi="Calibri" w:eastAsia="仿宋_GB2312" w:cs="ArialUnicodeMS"/>
          <w:kern w:val="0"/>
          <w:sz w:val="32"/>
          <w:szCs w:val="32"/>
          <w:lang w:val="en-US" w:eastAsia="zh-CN"/>
        </w:rPr>
        <w:t>2.23</w:t>
      </w:r>
      <w:r>
        <w:rPr>
          <w:rFonts w:hint="eastAsia" w:ascii="仿宋_GB2312" w:hAnsi="Calibri" w:eastAsia="仿宋_GB2312" w:cs="ArialUnicodeMS"/>
          <w:kern w:val="0"/>
          <w:sz w:val="32"/>
          <w:szCs w:val="32"/>
          <w:lang w:eastAsia="zh-CN"/>
        </w:rPr>
        <w:t>%、政府性基金预算财政拨款减少了0万元，减少了0%、年末财政拨款结转和结余减少了0万元，减少了0%。</w:t>
      </w:r>
    </w:p>
    <w:p>
      <w:pPr>
        <w:spacing w:line="580" w:lineRule="exact"/>
        <w:ind w:firstLine="640" w:firstLineChars="200"/>
        <w:rPr>
          <w:rFonts w:ascii="楷体_GB2312" w:hAnsi="Times New Roman" w:eastAsia="楷体_GB2312" w:cs="DengXian-Bold"/>
          <w:b/>
          <w:bCs/>
          <w:sz w:val="32"/>
          <w:szCs w:val="32"/>
        </w:rPr>
      </w:pPr>
      <w:r>
        <w:rPr>
          <w:rFonts w:hint="eastAsia" w:ascii="仿宋_GB2312" w:hAnsi="Calibri" w:eastAsia="仿宋_GB2312" w:cs="ArialUnicodeMS"/>
          <w:kern w:val="0"/>
          <w:sz w:val="32"/>
          <w:szCs w:val="32"/>
          <w:lang w:eastAsia="zh-CN"/>
        </w:rPr>
        <w:t>减少原因：认真贯彻落实中央八项规定精神和厉行节约要求，从严控制收支，2020年度收支决算比2019年度有所减少。</w:t>
      </w:r>
    </w:p>
    <w:p>
      <w:pPr>
        <w:snapToGrid w:val="0"/>
        <w:spacing w:line="600" w:lineRule="exact"/>
        <w:ind w:firstLine="643" w:firstLineChars="200"/>
        <w:rPr>
          <w:rFonts w:ascii="仿宋_GB2312" w:hAnsi="Times New Roman" w:eastAsia="仿宋_GB2312" w:cs="Mongolian Baiti"/>
          <w:b/>
          <w:bCs/>
          <w:sz w:val="32"/>
          <w:szCs w:val="32"/>
          <w:highlight w:val="none"/>
        </w:rPr>
      </w:pPr>
      <w:r>
        <w:rPr>
          <w:rFonts w:hint="eastAsia" w:ascii="楷体_GB2312" w:hAnsi="Times New Roman" w:eastAsia="楷体_GB2312" w:cs="Mongolian Baiti"/>
          <w:b/>
          <w:bCs/>
          <w:sz w:val="32"/>
          <w:szCs w:val="32"/>
          <w:highlight w:val="none"/>
        </w:rPr>
        <w:t>（二）财政拨款收支与年初预算数对比情况</w:t>
      </w:r>
    </w:p>
    <w:p>
      <w:pPr>
        <w:spacing w:line="580" w:lineRule="exact"/>
        <w:ind w:firstLine="640" w:firstLineChars="200"/>
        <w:rPr>
          <w:rFonts w:hint="eastAsia" w:ascii="仿宋_GB2312" w:hAnsi="Times New Roman" w:eastAsia="仿宋_GB2312" w:cs="Wingdings"/>
          <w:sz w:val="32"/>
          <w:szCs w:val="32"/>
        </w:rPr>
      </w:pPr>
      <w:r>
        <w:rPr>
          <w:rFonts w:hint="eastAsia" w:ascii="仿宋_GB2312" w:hAnsi="Calibri" w:eastAsia="仿宋_GB2312" w:cs="ArialUnicodeMS"/>
          <w:kern w:val="0"/>
          <w:sz w:val="32"/>
          <w:szCs w:val="32"/>
          <w:lang w:val="en-US" w:eastAsia="zh-CN"/>
        </w:rPr>
        <w:t>2020</w:t>
      </w:r>
      <w:r>
        <w:rPr>
          <w:rFonts w:hint="eastAsia" w:ascii="仿宋_GB2312" w:hAnsi="Calibri" w:eastAsia="仿宋_GB2312" w:cs="ArialUnicodeMS"/>
          <w:kern w:val="0"/>
          <w:sz w:val="32"/>
          <w:szCs w:val="32"/>
          <w:lang w:eastAsia="zh-CN"/>
        </w:rPr>
        <w:t>年度财政拨款支出年初预算数总计</w:t>
      </w:r>
      <w:r>
        <w:rPr>
          <w:rFonts w:hint="eastAsia" w:ascii="仿宋_GB2312" w:hAnsi="Calibri" w:eastAsia="仿宋_GB2312" w:cs="ArialUnicodeMS"/>
          <w:kern w:val="0"/>
          <w:sz w:val="32"/>
          <w:szCs w:val="32"/>
          <w:lang w:val="en-US" w:eastAsia="zh-CN"/>
        </w:rPr>
        <w:t>314.70</w:t>
      </w:r>
      <w:r>
        <w:rPr>
          <w:rFonts w:hint="eastAsia" w:ascii="仿宋_GB2312" w:hAnsi="Calibri" w:eastAsia="仿宋_GB2312" w:cs="ArialUnicodeMS"/>
          <w:kern w:val="0"/>
          <w:sz w:val="32"/>
          <w:szCs w:val="32"/>
          <w:lang w:eastAsia="zh-CN"/>
        </w:rPr>
        <w:t>万元，其中：一般公共预算财政拨款</w:t>
      </w:r>
      <w:r>
        <w:rPr>
          <w:rFonts w:hint="eastAsia" w:ascii="仿宋_GB2312" w:hAnsi="Calibri" w:eastAsia="仿宋_GB2312" w:cs="ArialUnicodeMS"/>
          <w:kern w:val="0"/>
          <w:sz w:val="32"/>
          <w:szCs w:val="32"/>
          <w:lang w:val="en-US" w:eastAsia="zh-CN"/>
        </w:rPr>
        <w:t>314.70</w:t>
      </w:r>
      <w:r>
        <w:rPr>
          <w:rFonts w:hint="eastAsia" w:ascii="仿宋_GB2312" w:hAnsi="Calibri" w:eastAsia="仿宋_GB2312" w:cs="ArialUnicodeMS"/>
          <w:kern w:val="0"/>
          <w:sz w:val="32"/>
          <w:szCs w:val="32"/>
          <w:lang w:eastAsia="zh-CN"/>
        </w:rPr>
        <w:t>万元、政府性基金预算财政拨款   0万元、年末财政拨款结转和结余0元。</w:t>
      </w:r>
    </w:p>
    <w:p>
      <w:pPr>
        <w:numPr>
          <w:ilvl w:val="0"/>
          <w:numId w:val="2"/>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ArialUnicodeMS"/>
          <w:kern w:val="0"/>
          <w:sz w:val="32"/>
          <w:szCs w:val="32"/>
          <w:lang w:val="en-US" w:eastAsia="zh-CN"/>
        </w:rPr>
      </w:pPr>
      <w:r>
        <w:rPr>
          <w:rFonts w:hint="default" w:ascii="仿宋_GB2312" w:hAnsi="Calibri" w:eastAsia="仿宋_GB2312" w:cs="ArialUnicodeMS"/>
          <w:kern w:val="0"/>
          <w:sz w:val="32"/>
          <w:szCs w:val="32"/>
          <w:lang w:val="en-US" w:eastAsia="zh-CN"/>
        </w:rPr>
        <mc:AlternateContent>
          <mc:Choice Requires="wpg">
            <w:drawing>
              <wp:anchor distT="0" distB="0" distL="114300" distR="114300" simplePos="0" relativeHeight="251666432" behindDoc="1" locked="0" layoutInCell="1" allowOverlap="1">
                <wp:simplePos x="0" y="0"/>
                <wp:positionH relativeFrom="column">
                  <wp:posOffset>981075</wp:posOffset>
                </wp:positionH>
                <wp:positionV relativeFrom="paragraph">
                  <wp:posOffset>210820</wp:posOffset>
                </wp:positionV>
                <wp:extent cx="3576320" cy="2209165"/>
                <wp:effectExtent l="0" t="0" r="0" b="0"/>
                <wp:wrapNone/>
                <wp:docPr id="7" name="组合 7"/>
                <wp:cNvGraphicFramePr/>
                <a:graphic xmlns:a="http://schemas.openxmlformats.org/drawingml/2006/main">
                  <a:graphicData uri="http://schemas.microsoft.com/office/word/2010/wordprocessingGroup">
                    <wpg:wgp>
                      <wpg:cNvGrpSpPr/>
                      <wpg:grpSpPr>
                        <a:xfrm>
                          <a:off x="0" y="0"/>
                          <a:ext cx="3576320" cy="2209165"/>
                          <a:chOff x="6921" y="180284"/>
                          <a:chExt cx="5065" cy="3465203"/>
                        </a:xfrm>
                      </wpg:grpSpPr>
                      <pic:pic xmlns:pic="http://schemas.openxmlformats.org/drawingml/2006/picture">
                        <pic:nvPicPr>
                          <pic:cNvPr id="4" name="图片 1"/>
                          <pic:cNvPicPr>
                            <a:picLocks noChangeAspect="1"/>
                          </pic:cNvPicPr>
                        </pic:nvPicPr>
                        <pic:blipFill>
                          <a:blip r:embed="rId16"/>
                          <a:srcRect l="3252" t="2274" r="1859" b="7961"/>
                          <a:stretch>
                            <a:fillRect/>
                          </a:stretch>
                        </pic:blipFill>
                        <pic:spPr>
                          <a:xfrm>
                            <a:off x="7157" y="180284"/>
                            <a:ext cx="4586" cy="2988"/>
                          </a:xfrm>
                          <a:prstGeom prst="rect">
                            <a:avLst/>
                          </a:prstGeom>
                          <a:noFill/>
                          <a:ln>
                            <a:noFill/>
                          </a:ln>
                        </pic:spPr>
                      </pic:pic>
                      <wps:wsp>
                        <wps:cNvPr id="6" name="文本框 6"/>
                        <wps:cNvSpPr txBox="1"/>
                        <wps:spPr>
                          <a:xfrm>
                            <a:off x="6921" y="183134"/>
                            <a:ext cx="5065" cy="615"/>
                          </a:xfrm>
                          <a:prstGeom prst="rect">
                            <a:avLst/>
                          </a:prstGeom>
                          <a:solidFill>
                            <a:srgbClr val="FFFFFF"/>
                          </a:solidFill>
                          <a:ln w="6350">
                            <a:noFill/>
                          </a:ln>
                        </wps:spPr>
                        <wps:txb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wps:txbx>
                        <wps:bodyPr upright="1"/>
                      </wps:wsp>
                    </wpg:wgp>
                  </a:graphicData>
                </a:graphic>
              </wp:anchor>
            </w:drawing>
          </mc:Choice>
          <mc:Fallback>
            <w:pict>
              <v:group id="_x0000_s1026" o:spid="_x0000_s1026" o:spt="203" style="position:absolute;left:0pt;margin-left:77.25pt;margin-top:16.6pt;height:173.95pt;width:281.6pt;z-index:-251650048;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">
                <o:lock v:ext="edit" aspectratio="f"/>
                <v:shape id="图片 1" o:spid="_x0000_s1026" o:spt="75" type="#_x0000_t75" style="position:absolute;left:7157;top:180284;height:2988;width:4586;" filled="f" o:preferrelative="t" stroked="f" coordsize="21600,21600" o:gfxdata="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xSBrsAAADa&#10;AAAADwAAAAAAAAABACAAAAAiAAAAZHJzL2Rvd25yZXYueG1sUEsBAhQAFAAAAAgAh07iQDMvBZ47&#10;AAAAOQAAABAAAAAAAAAAAQAgAAAACgEAAGRycy9zaGFwZXhtbC54bWxQSwUGAAAAAAYABgBbAQAA&#10;tAMAAAAA&#10;">
                  <v:fill on="f" focussize="0,0"/>
                  <v:stroke on="f"/>
                  <v:imagedata r:id="rId16" cropleft="2131f" croptop="1490f" cropright="1218f" cropbottom="5217f" o:title=""/>
                  <o:lock v:ext="edit" aspectratio="t"/>
                </v:shape>
                <v:shape id="_x0000_s1026" o:spid="_x0000_s1026" o:spt="202" type="#_x0000_t202" style="position:absolute;left:6921;top:183134;height:615;width:5065;" fillcolor="#FFFFFF" filled="t" stroked="f" coordsize="21600,21600" o:gfxdata="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t1pi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mc:Fallback>
        </mc:AlternateContent>
      </w:r>
      <w:r>
        <w:rPr>
          <w:rFonts w:hint="eastAsia" w:ascii="仿宋_GB2312" w:hAnsi="Calibri" w:eastAsia="仿宋_GB2312" w:cs="ArialUnicodeMS"/>
          <w:kern w:val="0"/>
          <w:sz w:val="32"/>
          <w:szCs w:val="32"/>
          <w:lang w:val="en-US" w:eastAsia="zh-CN"/>
        </w:rPr>
        <w:t>2020</w:t>
      </w:r>
      <w:r>
        <w:rPr>
          <w:rFonts w:hint="eastAsia" w:ascii="仿宋_GB2312" w:hAnsi="仿宋_GB2312" w:eastAsia="仿宋_GB2312" w:cs="仿宋_GB2312"/>
          <w:sz w:val="32"/>
          <w:szCs w:val="32"/>
          <w:lang w:val="en-US" w:eastAsia="zh-CN"/>
        </w:rPr>
        <w:t>年财政拨款支出287.62万元，主要用于以下方面：一般公共服务支出175.36万元，占60.97%，社会保障和就业支出97.15万元，占33.78%，卫生健康支出6.31万元，占2.19%，住房保障支出8.79万元，占3.06%。</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hint="eastAsia" w:ascii="黑体" w:hAnsi="Calibri" w:eastAsia="黑体" w:cs="Times New Roman"/>
          <w:sz w:val="32"/>
          <w:szCs w:val="32"/>
          <w:highlight w:val="red"/>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179.56</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147.11</w:t>
      </w:r>
      <w:r>
        <w:rPr>
          <w:rFonts w:hint="eastAsia" w:ascii="仿宋_GB2312" w:hAnsi="Times New Roman" w:eastAsia="仿宋_GB2312" w:cs="Wingdings"/>
          <w:sz w:val="32"/>
          <w:szCs w:val="32"/>
        </w:rPr>
        <w:t xml:space="preserve">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w:t>
      </w:r>
      <w:r>
        <w:rPr>
          <w:rFonts w:hint="eastAsia" w:ascii="仿宋_GB2312" w:hAnsi="Times New Roman" w:eastAsia="仿宋_GB2312" w:cs="Wingdings"/>
          <w:sz w:val="32"/>
          <w:szCs w:val="32"/>
          <w:lang w:val="en-US" w:eastAsia="zh-CN"/>
        </w:rPr>
        <w:t>32.45</w:t>
      </w:r>
      <w:r>
        <w:rPr>
          <w:rFonts w:hint="eastAsia" w:ascii="仿宋_GB2312" w:hAnsi="Times New Roman" w:eastAsia="仿宋_GB2312" w:cs="Wingdings"/>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numPr>
          <w:ilvl w:val="0"/>
          <w:numId w:val="1"/>
        </w:numPr>
        <w:snapToGrid w:val="0"/>
        <w:spacing w:line="600" w:lineRule="exact"/>
        <w:ind w:left="0" w:leftChars="0" w:firstLine="640" w:firstLineChars="200"/>
        <w:outlineLvl w:val="1"/>
        <w:rPr>
          <w:rFonts w:hint="eastAsia" w:ascii="黑体" w:hAnsi="Calibri" w:eastAsia="黑体" w:cs="Times New Roman"/>
          <w:sz w:val="32"/>
          <w:szCs w:val="32"/>
          <w:highlight w:val="none"/>
        </w:rPr>
      </w:pPr>
      <w:r>
        <w:rPr>
          <w:rFonts w:hint="eastAsia" w:ascii="黑体" w:hAnsi="Calibri" w:eastAsia="黑体" w:cs="Times New Roman"/>
          <w:sz w:val="32"/>
          <w:szCs w:val="32"/>
          <w:highlight w:val="none"/>
        </w:rPr>
        <w:t>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5.55</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1.02</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18.38</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4.53</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81.62</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精神和厉行节约要求，从严控制收支；较2019年度减少</w:t>
      </w:r>
      <w:r>
        <w:rPr>
          <w:rFonts w:hint="eastAsia" w:ascii="仿宋_GB2312" w:hAnsi="Times New Roman" w:eastAsia="仿宋_GB2312" w:cs="Wingdings"/>
          <w:sz w:val="32"/>
          <w:szCs w:val="32"/>
          <w:lang w:val="en-US" w:eastAsia="zh-CN"/>
        </w:rPr>
        <w:t>1.44</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58.54</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hint="eastAsia"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rPr>
        <w:t>本部门2020</w:t>
      </w:r>
      <w:r>
        <w:rPr>
          <w:rFonts w:hint="eastAsia" w:ascii="仿宋_GB2312" w:hAnsi="仿宋_GB2312" w:eastAsia="仿宋_GB2312" w:cs="仿宋_GB2312"/>
          <w:b w:val="0"/>
          <w:bCs w:val="0"/>
          <w:sz w:val="32"/>
          <w:szCs w:val="32"/>
          <w:lang w:val="en-US" w:eastAsia="zh-CN"/>
        </w:rPr>
        <w:t>年因公出国（境）费</w:t>
      </w:r>
      <w:r>
        <w:rPr>
          <w:rFonts w:hint="eastAsia" w:ascii="仿宋_GB2312" w:hAnsi="仿宋_GB2312" w:eastAsia="仿宋_GB2312" w:cs="仿宋_GB2312"/>
          <w:b w:val="0"/>
          <w:bCs w:val="0"/>
          <w:sz w:val="32"/>
          <w:szCs w:val="32"/>
        </w:rPr>
        <w:t>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万元，完成预算的</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r>
        <w:rPr>
          <w:rFonts w:hint="eastAsia" w:ascii="仿宋_GB2312" w:hAnsi="Times New Roman" w:eastAsia="仿宋_GB2312" w:cs="Wingdings"/>
          <w:sz w:val="32"/>
          <w:szCs w:val="32"/>
        </w:rPr>
        <w:t>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人、参加其他单位组织的因公出国（境）团组</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个、共</w:t>
      </w:r>
      <w:r>
        <w:rPr>
          <w:rFonts w:hint="eastAsia" w:ascii="仿宋_GB2312" w:hAnsi="Times New Roman" w:eastAsia="仿宋_GB2312" w:cs="Wingdings"/>
          <w:sz w:val="32"/>
          <w:szCs w:val="32"/>
          <w:lang w:val="en-US" w:eastAsia="zh-CN"/>
        </w:rPr>
        <w:t>0</w:t>
      </w:r>
      <w:r>
        <w:rPr>
          <w:rFonts w:hint="eastAsia" w:ascii="仿宋_GB2312" w:hAnsi="Times New Roman" w:eastAsia="仿宋_GB2312" w:cs="Wingdings"/>
          <w:sz w:val="32"/>
          <w:szCs w:val="32"/>
        </w:rPr>
        <w:t>人/无本单位组织的出国（境）团组。</w:t>
      </w:r>
    </w:p>
    <w:p>
      <w:pPr>
        <w:adjustRightInd w:val="0"/>
        <w:snapToGrid w:val="0"/>
        <w:spacing w:after="0" w:line="580" w:lineRule="exact"/>
        <w:ind w:firstLine="640" w:firstLineChars="200"/>
        <w:rPr>
          <w:rFonts w:hint="eastAsia" w:ascii="仿宋_GB2312" w:hAnsi="Times New Roman" w:eastAsia="仿宋_GB2312" w:cs="Wingdings"/>
          <w:sz w:val="32"/>
          <w:szCs w:val="32"/>
        </w:rPr>
      </w:pPr>
      <w:r>
        <w:rPr>
          <w:rFonts w:hint="eastAsia" w:ascii="仿宋_GB2312" w:eastAsia="仿宋_GB2312" w:cs="DengXian-Regular"/>
          <w:sz w:val="32"/>
          <w:szCs w:val="32"/>
          <w:lang w:eastAsia="zh-CN"/>
        </w:rPr>
        <w:t>未发生“</w:t>
      </w:r>
      <w:r>
        <w:rPr>
          <w:rFonts w:hint="eastAsia" w:ascii="仿宋_GB2312" w:eastAsia="仿宋_GB2312" w:cs="DengXian-Regular"/>
          <w:sz w:val="32"/>
          <w:szCs w:val="32"/>
        </w:rPr>
        <w:t>因公出国（境）</w:t>
      </w:r>
      <w:r>
        <w:rPr>
          <w:rFonts w:hint="eastAsia" w:ascii="仿宋_GB2312" w:eastAsia="仿宋_GB2312" w:cs="DengXian-Regular"/>
          <w:sz w:val="32"/>
          <w:szCs w:val="32"/>
          <w:lang w:eastAsia="zh-CN"/>
        </w:rPr>
        <w:t>费”经费支出。</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楷体_GB2312" w:hAnsi="Times New Roman" w:eastAsia="楷体_GB2312" w:cs="Mongolian Baiti"/>
          <w:b/>
          <w:bCs/>
          <w:sz w:val="32"/>
          <w:szCs w:val="32"/>
          <w:lang w:eastAsia="zh-CN"/>
        </w:rPr>
        <w:t>。</w:t>
      </w:r>
      <w:r>
        <w:rPr>
          <w:rFonts w:hint="eastAsia" w:ascii="仿宋_GB2312" w:hAnsi="仿宋_GB2312" w:eastAsia="仿宋_GB2312" w:cs="仿宋_GB2312"/>
          <w:b w:val="0"/>
          <w:bCs w:val="0"/>
          <w:sz w:val="32"/>
          <w:szCs w:val="32"/>
          <w:lang w:eastAsia="zh-CN"/>
        </w:rPr>
        <w:t>本部门2020</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lang w:val="en-US" w:eastAsia="zh-CN"/>
        </w:rPr>
        <w:t>0.90</w:t>
      </w:r>
      <w:r>
        <w:rPr>
          <w:rFonts w:hint="eastAsia" w:ascii="仿宋_GB2312" w:hAnsi="仿宋_GB2312" w:eastAsia="仿宋_GB2312" w:cs="仿宋_GB2312"/>
          <w:b w:val="0"/>
          <w:bCs w:val="0"/>
          <w:sz w:val="32"/>
          <w:szCs w:val="32"/>
          <w:lang w:eastAsia="zh-CN"/>
        </w:rPr>
        <w:t>万元，完成预算的</w:t>
      </w:r>
      <w:r>
        <w:rPr>
          <w:rFonts w:hint="eastAsia" w:ascii="仿宋_GB2312" w:hAnsi="仿宋_GB2312" w:eastAsia="仿宋_GB2312" w:cs="仿宋_GB2312"/>
          <w:b w:val="0"/>
          <w:bCs w:val="0"/>
          <w:sz w:val="32"/>
          <w:szCs w:val="32"/>
          <w:lang w:val="en-US" w:eastAsia="zh-CN"/>
        </w:rPr>
        <w:t>18.00</w:t>
      </w:r>
      <w:r>
        <w:rPr>
          <w:rFonts w:hint="eastAsia" w:ascii="仿宋_GB2312" w:hAnsi="仿宋_GB2312" w:eastAsia="仿宋_GB2312" w:cs="仿宋_GB2312"/>
          <w:b w:val="0"/>
          <w:bCs w:val="0"/>
          <w:sz w:val="32"/>
          <w:szCs w:val="32"/>
          <w:lang w:eastAsia="zh-CN"/>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4.10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82.00</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精神和厉行节约要求，从严控制收支；较上年减少</w:t>
      </w:r>
      <w:r>
        <w:rPr>
          <w:rFonts w:hint="eastAsia" w:ascii="仿宋_GB2312" w:hAnsi="Times New Roman" w:eastAsia="仿宋_GB2312" w:cs="Wingdings"/>
          <w:sz w:val="32"/>
          <w:szCs w:val="32"/>
          <w:lang w:val="en-US" w:eastAsia="zh-CN"/>
        </w:rPr>
        <w:t>1.35</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60.00</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hint="eastAsia"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本部门2020年度公务用车购置量0辆，发生“公务用车购置”经费支出0万元。公务用车购置费支出与年初预算持平,主要是主要是严格执行中央八项规定，减少公务用车购置费用；与2019年度决算支出持平,主要是</w:t>
      </w:r>
      <w:r>
        <w:rPr>
          <w:rFonts w:hint="eastAsia" w:ascii="仿宋_GB2312" w:hAnsi="仿宋_GB2312" w:eastAsia="仿宋_GB2312" w:cs="仿宋_GB2312"/>
          <w:sz w:val="32"/>
          <w:szCs w:val="32"/>
        </w:rPr>
        <w:t>严格执行中央八项规定，减少公务用车购置费用</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1</w:t>
      </w:r>
      <w:r>
        <w:rPr>
          <w:rFonts w:hint="eastAsia" w:ascii="仿宋_GB2312" w:hAnsi="Times New Roman" w:eastAsia="仿宋_GB2312" w:cs="Wingdings"/>
          <w:sz w:val="32"/>
          <w:szCs w:val="32"/>
        </w:rPr>
        <w:t>辆</w:t>
      </w:r>
      <w:r>
        <w:rPr>
          <w:rFonts w:hint="eastAsia" w:ascii="仿宋_GB2312" w:hAnsi="Times New Roman" w:eastAsia="仿宋_GB2312" w:cs="Wingdings"/>
          <w:sz w:val="32"/>
          <w:szCs w:val="32"/>
          <w:lang w:val="en-US" w:eastAsia="zh-CN"/>
        </w:rPr>
        <w:t>,发生运行维护费支出0.90万元</w:t>
      </w:r>
      <w:r>
        <w:rPr>
          <w:rFonts w:hint="eastAsia" w:ascii="仿宋_GB2312" w:hAnsi="Times New Roman" w:eastAsia="仿宋_GB2312" w:cs="Wingdings"/>
          <w:sz w:val="32"/>
          <w:szCs w:val="32"/>
        </w:rPr>
        <w:t>。公车运行维护费支出较预算减少</w:t>
      </w:r>
      <w:r>
        <w:rPr>
          <w:rFonts w:hint="eastAsia" w:ascii="仿宋_GB2312" w:hAnsi="Times New Roman" w:eastAsia="仿宋_GB2312" w:cs="Wingdings"/>
          <w:sz w:val="32"/>
          <w:szCs w:val="32"/>
          <w:lang w:val="en-US" w:eastAsia="zh-CN"/>
        </w:rPr>
        <w:t>4.10</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82.00</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精神和厉行节约要求，从严控制收支；较上年减少</w:t>
      </w:r>
      <w:r>
        <w:rPr>
          <w:rFonts w:hint="eastAsia" w:ascii="仿宋_GB2312" w:hAnsi="Times New Roman" w:eastAsia="仿宋_GB2312" w:cs="Wingdings"/>
          <w:sz w:val="32"/>
          <w:szCs w:val="32"/>
          <w:lang w:val="en-US" w:eastAsia="zh-CN"/>
        </w:rPr>
        <w:t>1.35</w:t>
      </w:r>
      <w:r>
        <w:rPr>
          <w:rFonts w:hint="eastAsia" w:ascii="仿宋_GB2312" w:hAnsi="Times New Roman" w:eastAsia="仿宋_GB2312" w:cs="Wingdings"/>
          <w:sz w:val="32"/>
          <w:szCs w:val="32"/>
        </w:rPr>
        <w:t>万元，降</w:t>
      </w:r>
      <w:r>
        <w:rPr>
          <w:rFonts w:hint="eastAsia" w:ascii="仿宋_GB2312" w:hAnsi="Times New Roman" w:eastAsia="仿宋_GB2312" w:cs="Wingdings"/>
          <w:sz w:val="32"/>
          <w:szCs w:val="32"/>
          <w:lang w:eastAsia="zh-CN"/>
        </w:rPr>
        <w:t>低</w:t>
      </w:r>
      <w:r>
        <w:rPr>
          <w:rFonts w:hint="eastAsia" w:ascii="仿宋_GB2312" w:hAnsi="Times New Roman" w:eastAsia="仿宋_GB2312" w:cs="Wingdings"/>
          <w:sz w:val="32"/>
          <w:szCs w:val="32"/>
          <w:lang w:val="en-US" w:eastAsia="zh-CN"/>
        </w:rPr>
        <w:t>60.00</w:t>
      </w:r>
      <w:r>
        <w:rPr>
          <w:rFonts w:hint="eastAsia" w:ascii="仿宋_GB2312" w:hAnsi="Times New Roman" w:eastAsia="仿宋_GB2312" w:cs="Wingdings"/>
          <w:sz w:val="32"/>
          <w:szCs w:val="32"/>
        </w:rPr>
        <w:t>%，主要是认真贯彻落实中央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w:t>
      </w:r>
    </w:p>
    <w:p>
      <w:pPr>
        <w:adjustRightInd w:val="0"/>
        <w:snapToGrid w:val="0"/>
        <w:spacing w:line="580" w:lineRule="exact"/>
        <w:ind w:firstLine="643" w:firstLineChars="200"/>
        <w:rPr>
          <w:rFonts w:hint="eastAsia" w:ascii="黑体" w:hAnsi="Calibri" w:eastAsia="黑体" w:cs="Times New Roman"/>
          <w:sz w:val="32"/>
          <w:szCs w:val="32"/>
          <w:highlight w:val="red"/>
        </w:rPr>
      </w:pPr>
      <w:r>
        <w:rPr>
          <w:rFonts w:hint="eastAsia" w:ascii="楷体_GB2312" w:hAnsi="Times New Roman" w:eastAsia="楷体_GB2312" w:cs="Mongolian Baiti"/>
          <w:b/>
          <w:bCs/>
          <w:sz w:val="32"/>
          <w:szCs w:val="32"/>
        </w:rPr>
        <w:t>3.公务接待费</w:t>
      </w:r>
      <w:r>
        <w:rPr>
          <w:rFonts w:hint="eastAsia" w:ascii="楷体_GB2312" w:hAnsi="Times New Roman" w:eastAsia="楷体_GB2312" w:cs="Mongolian Baiti"/>
          <w:b/>
          <w:bCs/>
          <w:sz w:val="32"/>
          <w:szCs w:val="32"/>
          <w:lang w:eastAsia="zh-CN"/>
        </w:rPr>
        <w:t>。</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val="en-US" w:eastAsia="zh-CN"/>
        </w:rPr>
        <w:t>2020</w:t>
      </w:r>
      <w:r>
        <w:rPr>
          <w:rFonts w:hint="eastAsia" w:ascii="仿宋_GB2312" w:hAnsi="Times New Roman" w:eastAsia="仿宋_GB2312" w:cs="DengXian-Regular"/>
          <w:sz w:val="32"/>
          <w:szCs w:val="32"/>
        </w:rPr>
        <w:t>年度公务接待费</w:t>
      </w:r>
      <w:r>
        <w:rPr>
          <w:rFonts w:hint="eastAsia" w:ascii="仿宋_GB2312" w:hAnsi="Times New Roman" w:eastAsia="仿宋_GB2312" w:cs="DengXian-Regular"/>
          <w:sz w:val="32"/>
          <w:szCs w:val="32"/>
          <w:lang w:val="en-US" w:eastAsia="zh-CN"/>
        </w:rPr>
        <w:t>0.13万元，</w:t>
      </w:r>
      <w:r>
        <w:rPr>
          <w:rFonts w:hint="eastAsia" w:ascii="仿宋_GB2312" w:hAnsi="仿宋_GB2312" w:eastAsia="仿宋_GB2312" w:cs="仿宋_GB2312"/>
          <w:sz w:val="32"/>
          <w:szCs w:val="32"/>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9</w:t>
      </w:r>
      <w:r>
        <w:rPr>
          <w:rFonts w:hint="eastAsia" w:ascii="仿宋_GB2312" w:hAnsi="Times New Roman" w:eastAsia="仿宋_GB2312" w:cs="Wingdings"/>
          <w:sz w:val="32"/>
          <w:szCs w:val="32"/>
        </w:rPr>
        <w:t>人次</w:t>
      </w:r>
      <w:r>
        <w:rPr>
          <w:rFonts w:hint="eastAsia" w:ascii="仿宋_GB2312" w:hAnsi="Times New Roman" w:eastAsia="仿宋_GB2312" w:cs="Wingdings"/>
          <w:sz w:val="32"/>
          <w:szCs w:val="32"/>
          <w:lang w:eastAsia="zh-CN"/>
        </w:rPr>
        <w:t>，</w:t>
      </w:r>
      <w:r>
        <w:rPr>
          <w:rFonts w:hint="eastAsia" w:ascii="仿宋_GB2312" w:hAnsi="Times New Roman" w:eastAsia="仿宋_GB2312" w:cs="DengXian-Regular"/>
          <w:sz w:val="32"/>
          <w:szCs w:val="32"/>
        </w:rPr>
        <w:t>支出较预算减少</w:t>
      </w:r>
      <w:r>
        <w:rPr>
          <w:rFonts w:hint="eastAsia" w:ascii="仿宋_GB2312" w:hAnsi="Times New Roman" w:eastAsia="仿宋_GB2312" w:cs="DengXian-Regular"/>
          <w:sz w:val="32"/>
          <w:szCs w:val="32"/>
          <w:lang w:val="en-US" w:eastAsia="zh-CN"/>
        </w:rPr>
        <w:t>0.42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76.36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w:t>
      </w:r>
      <w:r>
        <w:rPr>
          <w:rFonts w:hint="eastAsia" w:ascii="仿宋_GB2312" w:eastAsia="仿宋_GB2312" w:cs="DengXian-Regular"/>
          <w:sz w:val="32"/>
          <w:szCs w:val="32"/>
          <w:lang w:eastAsia="zh-CN"/>
        </w:rPr>
        <w:t>从严</w:t>
      </w:r>
      <w:r>
        <w:rPr>
          <w:rFonts w:hint="eastAsia" w:ascii="仿宋_GB2312" w:eastAsia="仿宋_GB2312" w:cs="DengXian-Regular"/>
          <w:sz w:val="32"/>
          <w:szCs w:val="32"/>
        </w:rPr>
        <w:t>控制</w:t>
      </w:r>
      <w:r>
        <w:rPr>
          <w:rFonts w:hint="eastAsia" w:ascii="仿宋_GB2312" w:eastAsia="仿宋_GB2312" w:cs="DengXian-Regular"/>
          <w:sz w:val="32"/>
          <w:szCs w:val="32"/>
          <w:lang w:eastAsia="zh-CN"/>
        </w:rPr>
        <w:t>“</w:t>
      </w:r>
      <w:r>
        <w:rPr>
          <w:rFonts w:hint="eastAsia" w:ascii="仿宋_GB2312" w:hAnsi="仿宋_GB2312" w:eastAsia="仿宋_GB2312" w:cs="仿宋_GB2312"/>
          <w:b w:val="0"/>
          <w:bCs w:val="0"/>
          <w:sz w:val="32"/>
          <w:szCs w:val="32"/>
        </w:rPr>
        <w:t>公务接待费</w:t>
      </w:r>
      <w:r>
        <w:rPr>
          <w:rFonts w:hint="eastAsia" w:ascii="仿宋_GB2312" w:eastAsia="仿宋_GB2312" w:cs="DengXian-Regular"/>
          <w:b w:val="0"/>
          <w:bCs w:val="0"/>
          <w:sz w:val="32"/>
          <w:szCs w:val="32"/>
          <w:lang w:eastAsia="zh-CN"/>
        </w:rPr>
        <w:t>”</w:t>
      </w:r>
      <w:r>
        <w:rPr>
          <w:rFonts w:hint="eastAsia" w:ascii="仿宋_GB2312" w:eastAsia="仿宋_GB2312" w:cs="DengXian-Regular"/>
          <w:sz w:val="32"/>
          <w:szCs w:val="32"/>
        </w:rPr>
        <w:t>经费开支，全年实际支出比预算有所节约</w:t>
      </w:r>
      <w:r>
        <w:rPr>
          <w:rFonts w:hint="eastAsia" w:ascii="仿宋_GB2312" w:hAnsi="Times New Roman" w:eastAsia="仿宋_GB2312" w:cs="DengXian-Regular"/>
          <w:sz w:val="32"/>
          <w:szCs w:val="32"/>
        </w:rPr>
        <w:t>；较上年度</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0.09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40.91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Wingdings"/>
          <w:sz w:val="32"/>
          <w:szCs w:val="32"/>
        </w:rPr>
        <w:t>认真贯彻落实中央</w:t>
      </w:r>
      <w:r>
        <w:rPr>
          <w:rFonts w:hint="eastAsia" w:ascii="仿宋_GB2312" w:hAnsi="Times New Roman" w:eastAsia="仿宋_GB2312" w:cs="Wingdings"/>
          <w:sz w:val="32"/>
          <w:szCs w:val="32"/>
          <w:lang w:eastAsia="zh-CN"/>
        </w:rPr>
        <w:t>八项规定</w:t>
      </w:r>
      <w:r>
        <w:rPr>
          <w:rFonts w:hint="eastAsia" w:ascii="仿宋_GB2312" w:hAnsi="Times New Roman" w:eastAsia="仿宋_GB2312" w:cs="Wingdings"/>
          <w:sz w:val="32"/>
          <w:szCs w:val="32"/>
        </w:rPr>
        <w:t>精神和厉行节约要求，从严控制收支</w:t>
      </w:r>
      <w:r>
        <w:rPr>
          <w:rFonts w:hint="eastAsia" w:ascii="仿宋_GB2312" w:hAnsi="Times New Roman" w:eastAsia="仿宋_GB2312" w:cs="DengXian-Regular"/>
          <w:sz w:val="32"/>
          <w:szCs w:val="32"/>
        </w:rPr>
        <w:t>。</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hint="eastAsia" w:ascii="楷体_GB2312" w:hAnsi="楷体_GB2312" w:eastAsia="楷体_GB2312" w:cs="楷体_GB2312"/>
          <w:b/>
          <w:bCs/>
          <w:sz w:val="32"/>
          <w:szCs w:val="32"/>
        </w:rPr>
      </w:pPr>
      <w:r>
        <w:rPr>
          <w:rFonts w:hint="eastAsia" w:ascii="仿宋_GB2312" w:hAnsi="Calibri" w:eastAsia="仿宋_GB2312" w:cs="ArialUnicodeMS"/>
          <w:kern w:val="0"/>
          <w:sz w:val="32"/>
          <w:szCs w:val="32"/>
          <w:lang w:eastAsia="zh-CN"/>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hint="eastAsia" w:ascii="楷体_GB2312" w:hAnsi="楷体_GB2312" w:eastAsia="楷体_GB2312" w:cs="楷体_GB2312"/>
          <w:b/>
          <w:bCs/>
          <w:sz w:val="32"/>
          <w:szCs w:val="32"/>
          <w:lang w:eastAsia="zh-CN"/>
        </w:rPr>
      </w:pPr>
      <w:r>
        <w:rPr>
          <w:rFonts w:hint="eastAsia" w:ascii="仿宋_GB2312" w:hAnsi="仿宋_GB2312" w:eastAsia="仿宋_GB2312" w:cs="仿宋_GB2312"/>
          <w:b w:val="0"/>
          <w:bCs w:val="0"/>
          <w:sz w:val="32"/>
          <w:szCs w:val="32"/>
          <w:lang w:eastAsia="zh-CN"/>
        </w:rPr>
        <w:t>无</w:t>
      </w:r>
    </w:p>
    <w:p>
      <w:pPr>
        <w:adjustRightInd w:val="0"/>
        <w:snapToGrid w:val="0"/>
        <w:spacing w:line="600" w:lineRule="exact"/>
        <w:ind w:firstLine="643" w:firstLineChars="200"/>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（三）财政评价项目绩效评价结果</w:t>
      </w:r>
      <w:r>
        <w:rPr>
          <w:rFonts w:hint="eastAsia" w:ascii="楷体_GB2312" w:hAnsi="楷体_GB2312" w:eastAsia="楷体_GB2312" w:cs="楷体_GB2312"/>
          <w:b/>
          <w:bCs/>
          <w:sz w:val="32"/>
          <w:szCs w:val="32"/>
          <w:lang w:eastAsia="zh-CN"/>
        </w:rPr>
        <w:t>。</w:t>
      </w:r>
    </w:p>
    <w:p>
      <w:pPr>
        <w:adjustRightInd w:val="0"/>
        <w:snapToGrid w:val="0"/>
        <w:spacing w:line="600" w:lineRule="exact"/>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w:t>
      </w:r>
      <w:r>
        <w:rPr>
          <w:rFonts w:hint="eastAsia" w:ascii="仿宋_GB2312" w:hAnsi="仿宋_GB2312" w:eastAsia="仿宋_GB2312" w:cs="仿宋_GB2312"/>
          <w:sz w:val="32"/>
          <w:szCs w:val="32"/>
          <w:lang w:eastAsia="zh-CN"/>
        </w:rPr>
        <w:t>公用经费合计32.45</w:t>
      </w:r>
      <w:r>
        <w:rPr>
          <w:rFonts w:hint="eastAsia" w:ascii="仿宋_GB2312" w:hAnsi="仿宋_GB2312" w:eastAsia="仿宋_GB2312" w:cs="仿宋_GB2312"/>
          <w:sz w:val="32"/>
          <w:szCs w:val="32"/>
        </w:rPr>
        <w:t>万元，比2019年度减少</w:t>
      </w:r>
      <w:r>
        <w:rPr>
          <w:rFonts w:hint="eastAsia" w:ascii="仿宋_GB2312" w:hAnsi="仿宋_GB2312" w:eastAsia="仿宋_GB2312" w:cs="仿宋_GB2312"/>
          <w:sz w:val="32"/>
          <w:szCs w:val="32"/>
          <w:lang w:val="en-US" w:eastAsia="zh-CN"/>
        </w:rPr>
        <w:t>24.08</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42.60</w:t>
      </w:r>
      <w:r>
        <w:rPr>
          <w:rFonts w:hint="eastAsia" w:ascii="仿宋_GB2312" w:hAnsi="仿宋_GB2312" w:eastAsia="仿宋_GB2312" w:cs="仿宋_GB2312"/>
          <w:sz w:val="32"/>
          <w:szCs w:val="32"/>
        </w:rPr>
        <w:t>%。主要原因是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w:t>
      </w:r>
      <w:r>
        <w:rPr>
          <w:rFonts w:hint="eastAsia" w:ascii="仿宋_GB2312" w:hAnsi="仿宋_GB2312" w:eastAsia="仿宋_GB2312" w:cs="仿宋_GB2312"/>
          <w:sz w:val="32"/>
          <w:szCs w:val="32"/>
          <w:lang w:eastAsia="zh-CN"/>
        </w:rPr>
        <w:t>公用经费</w:t>
      </w:r>
      <w:r>
        <w:rPr>
          <w:rFonts w:hint="eastAsia" w:ascii="仿宋_GB2312" w:eastAsia="仿宋_GB2312" w:cs="DengXian-Regular"/>
          <w:sz w:val="32"/>
          <w:szCs w:val="32"/>
        </w:rPr>
        <w:t>，</w:t>
      </w:r>
      <w:r>
        <w:rPr>
          <w:rFonts w:hint="eastAsia" w:ascii="仿宋_GB2312" w:eastAsia="仿宋_GB2312" w:cs="DengXian-Regular"/>
          <w:sz w:val="32"/>
          <w:szCs w:val="32"/>
          <w:lang w:val="en-US" w:eastAsia="zh-CN"/>
        </w:rPr>
        <w:t>2020年度</w:t>
      </w:r>
      <w:r>
        <w:rPr>
          <w:rFonts w:hint="eastAsia" w:ascii="仿宋_GB2312" w:hAnsi="仿宋_GB2312" w:eastAsia="仿宋_GB2312" w:cs="仿宋_GB2312"/>
          <w:sz w:val="32"/>
          <w:szCs w:val="32"/>
          <w:lang w:eastAsia="zh-CN"/>
        </w:rPr>
        <w:t>公用经费</w:t>
      </w:r>
      <w:r>
        <w:rPr>
          <w:rFonts w:hint="eastAsia" w:ascii="仿宋_GB2312" w:eastAsia="仿宋_GB2312" w:cs="DengXian-Regular"/>
          <w:sz w:val="32"/>
          <w:szCs w:val="32"/>
          <w:lang w:val="en-US" w:eastAsia="zh-CN"/>
        </w:rPr>
        <w:t>决算比2019年度有所减少。</w:t>
      </w:r>
    </w:p>
    <w:p>
      <w:pPr>
        <w:keepNext/>
        <w:keepLines/>
        <w:snapToGrid w:val="0"/>
        <w:spacing w:line="600" w:lineRule="exact"/>
        <w:ind w:firstLine="640" w:firstLineChars="200"/>
        <w:outlineLvl w:val="2"/>
        <w:rPr>
          <w:rFonts w:hint="eastAsia"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本部门2020年度政府采购支出总额0万元，从采购类型来看，</w:t>
      </w:r>
      <w:r>
        <w:rPr>
          <w:rFonts w:hint="eastAsia" w:ascii="仿宋_GB2312" w:hAnsi="仿宋_GB2312" w:eastAsia="仿宋_GB2312" w:cs="仿宋_GB2312"/>
          <w:color w:val="000000"/>
          <w:kern w:val="0"/>
          <w:sz w:val="32"/>
          <w:szCs w:val="32"/>
        </w:rPr>
        <w:t>政府采购货物支出0万元、政府采购工程支出0万元、政府采购服务支出0万元。授予中小企业合同金0万元，占政府采购支出总额的0%，其中授予小微企业合同金额0万元，占政府采购支出总额的 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1辆，与上年比没有变化。其中，副部（省）级及以上领导用车0辆，主要领导干部用车0辆，机要通信用车0辆，应急保障用车1辆，执法执勤用车0辆，特种专业技术用车0辆，离退休干部用车0辆，其他用车0辆。</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单位价值50万元以上通用设备0台（套），比上年增加0套，单位价值100万元以上专用设备0台（套）比上年增加0套。</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val="en-US" w:eastAsia="zh-CN"/>
        </w:rPr>
        <w:t>2020</w:t>
      </w:r>
      <w:r>
        <w:rPr>
          <w:rFonts w:hint="eastAsia" w:ascii="仿宋_GB2312" w:hAnsi="Times New Roman" w:eastAsia="仿宋_GB2312" w:cs="DengXian-Regular"/>
          <w:sz w:val="32"/>
          <w:szCs w:val="32"/>
        </w:rPr>
        <w:t>年度政府性基金预算财政拨款收入支出决算表</w:t>
      </w:r>
      <w:r>
        <w:rPr>
          <w:rFonts w:hint="eastAsia" w:ascii="仿宋_GB2312" w:hAnsi="Times New Roman" w:eastAsia="仿宋_GB2312" w:cs="DengXian-Regular"/>
          <w:sz w:val="32"/>
          <w:szCs w:val="32"/>
          <w:lang w:val="en-US" w:eastAsia="zh-CN"/>
        </w:rPr>
        <w:t>和</w:t>
      </w:r>
      <w:r>
        <w:rPr>
          <w:rFonts w:hint="eastAsia" w:ascii="仿宋_GB2312" w:hAnsi="Times New Roman" w:eastAsia="仿宋_GB2312" w:cs="DengXian-Regular"/>
          <w:sz w:val="32"/>
          <w:szCs w:val="32"/>
          <w:lang w:eastAsia="zh-CN"/>
        </w:rPr>
        <w:t>国有资本经营预算财政拨款支出决算表</w:t>
      </w:r>
      <w:r>
        <w:rPr>
          <w:rFonts w:hint="eastAsia" w:ascii="仿宋_GB2312" w:hAnsi="Times New Roman" w:eastAsia="仿宋_GB2312" w:cs="DengXian-Regular"/>
          <w:sz w:val="32"/>
          <w:szCs w:val="32"/>
        </w:rPr>
        <w:t>无收支及结转结余情况，故政府性基金预算财政拨款收入支出决算表</w:t>
      </w:r>
      <w:r>
        <w:rPr>
          <w:rFonts w:hint="eastAsia" w:ascii="仿宋_GB2312" w:hAnsi="Times New Roman" w:eastAsia="仿宋_GB2312" w:cs="DengXian-Regular"/>
          <w:sz w:val="32"/>
          <w:szCs w:val="32"/>
          <w:lang w:val="en-US" w:eastAsia="zh-CN"/>
        </w:rPr>
        <w:t>和</w:t>
      </w:r>
      <w:r>
        <w:rPr>
          <w:rFonts w:hint="eastAsia" w:ascii="仿宋_GB2312" w:hAnsi="Times New Roman" w:eastAsia="仿宋_GB2312" w:cs="DengXian-Regular"/>
          <w:sz w:val="32"/>
          <w:szCs w:val="32"/>
          <w:lang w:eastAsia="zh-CN"/>
        </w:rPr>
        <w:t>国有资本经营预算财政拨款支出决算</w:t>
      </w:r>
      <w:r>
        <w:rPr>
          <w:rFonts w:hint="eastAsia" w:ascii="仿宋_GB2312" w:hAnsi="Times New Roman" w:eastAsia="仿宋_GB2312" w:cs="DengXian-Regular"/>
          <w:sz w:val="32"/>
          <w:szCs w:val="32"/>
        </w:rPr>
        <w:t>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hint="eastAsia"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0288" behindDoc="0" locked="0" layoutInCell="1" allowOverlap="1">
                <wp:simplePos x="0" y="0"/>
                <wp:positionH relativeFrom="column">
                  <wp:posOffset>-1060450</wp:posOffset>
                </wp:positionH>
                <wp:positionV relativeFrom="paragraph">
                  <wp:posOffset>334645</wp:posOffset>
                </wp:positionV>
                <wp:extent cx="7793355" cy="3341370"/>
                <wp:effectExtent l="4445" t="4445" r="508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chemeClr val="bg1">
                              <a:lumMod val="50000"/>
                            </a:schemeClr>
                          </a:fgClr>
                          <a:bgClr>
                            <a:schemeClr val="bg1"/>
                          </a:bgClr>
                        </a:pattFill>
                        <a:ln w="6350">
                          <a:solidFill>
                            <a:schemeClr val="bg1">
                              <a:lumMod val="50000"/>
                            </a:schemeClr>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3.5pt;margin-top:26.35pt;height:263.1pt;width:613.65pt;z-index:251660288;v-text-anchor:middle;mso-width-relative:page;mso-height-relative:page;" fillcolor="#7F7F7F [1612]" filled="t" stroked="t" coordsize="21600,21600" o:gfxdata="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I/9ce2gAAAAwBAAAP&#10;AAAAAAAAAAEAIAAAACIAAABkcnMvZG93bnJldi54bWxQSwECFAAUAAAACACHTuJAwZ2fCYgCAABM&#10;BQAADgAAAAAAAAABACAAAAApAQAAZHJzL2Uyb0RvYy54bWxQSwUGAAAAAAYABgBZAQAAIwYAAAAA&#10;">
                <v:fill type="pattern" on="t" color2="#FFFFFF [3212]" o:title="5%" focussize="0,0" r:id="rId14"/>
                <v:stroke weight="0.5pt" color="#7F7F7F [1612]"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sectPr>
          <w:headerReference r:id="rId11"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6350" t="6350" r="18415" b="20320"/>
                <wp:wrapNone/>
                <wp:docPr id="1" name="文本框 1"/>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ysClr val="window" lastClr="FFFFFF">
                              <a:lumMod val="50000"/>
                            </a:sysClr>
                          </a:fgClr>
                          <a:bgClr>
                            <a:sysClr val="window" lastClr="FFFFFF"/>
                          </a:bgClr>
                        </a:pattFill>
                        <a:ln w="12700" cmpd="sng">
                          <a:solidFill>
                            <a:sysClr val="window" lastClr="FFFFFF">
                              <a:lumMod val="65000"/>
                            </a:sysClr>
                          </a:solidFill>
                          <a:prstDash val="solid"/>
                        </a:ln>
                        <a:effectLst/>
                      </wps:spPr>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fill type="pattern" on="t" color2="#FFFFFF" o:title="5%" focussize="0,0" r:id="rId14"/>
                <v:stroke weight="1pt" color="#A6A6A6"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第四部分 </w:t>
                      </w:r>
                    </w:p>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2020年度部门决算报表</w:t>
                      </w:r>
                    </w:p>
                    <w:p/>
                  </w:txbxContent>
                </v:textbox>
              </v:shape>
            </w:pict>
          </mc:Fallback>
        </mc:AlternateContent>
      </w:r>
    </w:p>
    <w:tbl>
      <w:tblPr>
        <w:tblStyle w:val="5"/>
        <w:tblW w:w="9252" w:type="dxa"/>
        <w:tblInd w:w="0" w:type="dxa"/>
        <w:tblLayout w:type="fixed"/>
        <w:tblCellMar>
          <w:top w:w="15" w:type="dxa"/>
          <w:left w:w="15" w:type="dxa"/>
          <w:bottom w:w="15" w:type="dxa"/>
          <w:right w:w="15" w:type="dxa"/>
        </w:tblCellMar>
      </w:tblPr>
      <w:tblGrid>
        <w:gridCol w:w="2356"/>
        <w:gridCol w:w="353"/>
        <w:gridCol w:w="79"/>
        <w:gridCol w:w="346"/>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356" w:type="dxa"/>
            <w:shd w:val="clear" w:color="auto" w:fill="FFFFFF"/>
            <w:vAlign w:val="center"/>
          </w:tcPr>
          <w:p>
            <w:pPr>
              <w:jc w:val="left"/>
              <w:rPr>
                <w:rFonts w:ascii="宋体" w:hAnsi="宋体" w:eastAsia="宋体" w:cs="宋体"/>
                <w:color w:val="000000"/>
                <w:sz w:val="18"/>
                <w:szCs w:val="18"/>
              </w:rPr>
            </w:pPr>
          </w:p>
        </w:tc>
        <w:tc>
          <w:tcPr>
            <w:tcW w:w="432"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356" w:type="dxa"/>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部门：满城区委组织部</w:t>
            </w:r>
          </w:p>
        </w:tc>
        <w:tc>
          <w:tcPr>
            <w:tcW w:w="432"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i w:val="0"/>
                <w:iCs w:val="0"/>
                <w:color w:val="000000"/>
                <w:kern w:val="0"/>
                <w:sz w:val="20"/>
                <w:szCs w:val="20"/>
                <w:u w:val="none"/>
                <w:lang w:val="en-US" w:eastAsia="zh-CN" w:bidi="ar"/>
              </w:rPr>
              <w:t>287.62</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175.36</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97.15</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6.31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8.79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27</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287.62</w:t>
            </w:r>
            <w:r>
              <w:rPr>
                <w:rFonts w:hint="eastAsia" w:ascii="宋体" w:hAnsi="宋体" w:eastAsia="宋体" w:cs="宋体"/>
                <w:color w:val="000000"/>
                <w:kern w:val="0"/>
                <w:sz w:val="20"/>
                <w:szCs w:val="20"/>
                <w:lang w:bidi="ar"/>
              </w:rPr>
              <w:t>　</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287.62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29</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30</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61</w:t>
            </w:r>
          </w:p>
        </w:tc>
        <w:tc>
          <w:tcPr>
            <w:tcW w:w="1604"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31</w:t>
            </w:r>
          </w:p>
        </w:tc>
        <w:tc>
          <w:tcPr>
            <w:tcW w:w="1417"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i w:val="0"/>
                <w:iCs w:val="0"/>
                <w:color w:val="000000"/>
                <w:kern w:val="0"/>
                <w:sz w:val="20"/>
                <w:szCs w:val="20"/>
                <w:u w:val="none"/>
                <w:lang w:val="en-US" w:eastAsia="zh-CN" w:bidi="ar"/>
              </w:rPr>
              <w:t>287.62</w:t>
            </w:r>
            <w:r>
              <w:rPr>
                <w:rFonts w:hint="eastAsia" w:ascii="宋体" w:hAnsi="宋体" w:eastAsia="宋体" w:cs="宋体"/>
                <w:color w:val="000000"/>
                <w:kern w:val="0"/>
                <w:sz w:val="20"/>
                <w:szCs w:val="20"/>
                <w:lang w:bidi="ar"/>
              </w:rPr>
              <w:t>　</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20"/>
                <w:szCs w:val="20"/>
                <w:lang w:val="en-US" w:eastAsia="zh-CN" w:bidi="ar-SA"/>
              </w:rPr>
            </w:pPr>
            <w:r>
              <w:rPr>
                <w:rFonts w:hint="eastAsia" w:ascii="宋体" w:hAnsi="宋体" w:eastAsia="宋体" w:cs="宋体"/>
                <w:color w:val="000000"/>
                <w:kern w:val="0"/>
                <w:sz w:val="20"/>
                <w:szCs w:val="20"/>
                <w:lang w:bidi="ar"/>
              </w:rPr>
              <w:t>287.62　</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9580" w:type="dxa"/>
        <w:jc w:val="center"/>
        <w:tblLayout w:type="autofit"/>
        <w:tblCellMar>
          <w:top w:w="0" w:type="dxa"/>
          <w:left w:w="0" w:type="dxa"/>
          <w:bottom w:w="0" w:type="dxa"/>
          <w:right w:w="0" w:type="dxa"/>
        </w:tblCellMar>
      </w:tblPr>
      <w:tblGrid>
        <w:gridCol w:w="727"/>
        <w:gridCol w:w="41"/>
        <w:gridCol w:w="42"/>
        <w:gridCol w:w="1430"/>
        <w:gridCol w:w="1096"/>
        <w:gridCol w:w="1096"/>
        <w:gridCol w:w="1096"/>
        <w:gridCol w:w="1096"/>
        <w:gridCol w:w="1163"/>
        <w:gridCol w:w="1163"/>
        <w:gridCol w:w="1103"/>
      </w:tblGrid>
      <w:tr>
        <w:tblPrEx>
          <w:tblCellMar>
            <w:top w:w="0" w:type="dxa"/>
            <w:left w:w="0" w:type="dxa"/>
            <w:bottom w:w="0" w:type="dxa"/>
            <w:right w:w="0" w:type="dxa"/>
          </w:tblCellMar>
        </w:tblPrEx>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6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满城区委组织部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0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本年收入合计</w:t>
            </w:r>
          </w:p>
        </w:tc>
        <w:tc>
          <w:tcPr>
            <w:tcW w:w="10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财政拨款收入</w:t>
            </w:r>
          </w:p>
        </w:tc>
        <w:tc>
          <w:tcPr>
            <w:tcW w:w="10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上级补助收入</w:t>
            </w:r>
          </w:p>
        </w:tc>
        <w:tc>
          <w:tcPr>
            <w:tcW w:w="10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事业收入</w:t>
            </w:r>
          </w:p>
        </w:tc>
        <w:tc>
          <w:tcPr>
            <w:tcW w:w="11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经营收入</w:t>
            </w:r>
          </w:p>
        </w:tc>
        <w:tc>
          <w:tcPr>
            <w:tcW w:w="116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附属单位上缴收入</w:t>
            </w:r>
          </w:p>
        </w:tc>
        <w:tc>
          <w:tcPr>
            <w:tcW w:w="110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其他收入</w:t>
            </w:r>
          </w:p>
        </w:tc>
      </w:tr>
      <w:tr>
        <w:tblPrEx>
          <w:tblCellMar>
            <w:top w:w="0" w:type="dxa"/>
            <w:left w:w="0" w:type="dxa"/>
            <w:bottom w:w="0" w:type="dxa"/>
            <w:right w:w="0" w:type="dxa"/>
          </w:tblCellMar>
        </w:tblPrEx>
        <w:trPr>
          <w:trHeight w:val="380" w:hRule="atLeast"/>
          <w:jc w:val="center"/>
        </w:trPr>
        <w:tc>
          <w:tcPr>
            <w:tcW w:w="81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110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81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1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0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1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1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287.62</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287.62</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一般公共服务支出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175.36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175.36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20132</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组织事务</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175.36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175.36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2013201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行政运行</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142.80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142.80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2013202</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一般行政管理事务</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12.56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12.56</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2013299</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其他组织事务支出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20.00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20.00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97.15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97.15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行政事业单位养老支出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21.65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21.65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2080501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行政单位离退休</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3.40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3.40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2080505</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机关事业单位基本养老保险缴费支出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18.25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18.25</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20808</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抚恤</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75.50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75.50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2080899</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其他优抚支出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75.50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75.50</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卫生健康支出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行政事业单位医疗</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2101101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行政单位医疗</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6.31</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住房保障支出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22102</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住房改革支出</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810"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2210201</w:t>
            </w:r>
          </w:p>
        </w:tc>
        <w:tc>
          <w:tcPr>
            <w:tcW w:w="9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住房公积金</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8.79</w:t>
            </w: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09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6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c>
          <w:tcPr>
            <w:tcW w:w="11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0"/>
                <w:szCs w:val="20"/>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注：本表反映部门本年度取得的各项收入情况。</w:t>
            </w:r>
          </w:p>
        </w:tc>
      </w:tr>
    </w:tbl>
    <w:p>
      <w:pPr>
        <w:jc w:val="left"/>
      </w:pPr>
    </w:p>
    <w:p>
      <w:r>
        <w:br w:type="page"/>
      </w:r>
    </w:p>
    <w:tbl>
      <w:tblPr>
        <w:tblStyle w:val="5"/>
        <w:tblW w:w="9680" w:type="dxa"/>
        <w:jc w:val="center"/>
        <w:tblLayout w:type="fixed"/>
        <w:tblCellMar>
          <w:top w:w="0" w:type="dxa"/>
          <w:left w:w="0" w:type="dxa"/>
          <w:bottom w:w="0" w:type="dxa"/>
          <w:right w:w="0" w:type="dxa"/>
        </w:tblCellMar>
      </w:tblPr>
      <w:tblGrid>
        <w:gridCol w:w="941"/>
        <w:gridCol w:w="53"/>
        <w:gridCol w:w="111"/>
        <w:gridCol w:w="1359"/>
        <w:gridCol w:w="1161"/>
        <w:gridCol w:w="1161"/>
        <w:gridCol w:w="1161"/>
        <w:gridCol w:w="1161"/>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3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Arial" w:hAnsi="Arial" w:cs="Arial"/>
                <w:color w:val="000000"/>
                <w:sz w:val="18"/>
                <w:szCs w:val="18"/>
              </w:rPr>
              <w:t>满城区委组织部</w:t>
            </w: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23" w:hRule="atLeast"/>
          <w:jc w:val="center"/>
        </w:trPr>
        <w:tc>
          <w:tcPr>
            <w:tcW w:w="246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本年支出合计</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35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35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r>
      <w:tr>
        <w:tblPrEx>
          <w:tblCellMar>
            <w:top w:w="0" w:type="dxa"/>
            <w:left w:w="0" w:type="dxa"/>
            <w:bottom w:w="0" w:type="dxa"/>
            <w:right w:w="0" w:type="dxa"/>
          </w:tblCellMar>
        </w:tblPrEx>
        <w:trPr>
          <w:trHeight w:val="323" w:hRule="atLeast"/>
          <w:jc w:val="center"/>
        </w:trPr>
        <w:tc>
          <w:tcPr>
            <w:tcW w:w="246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287.62</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179.56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108.06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一般公共服务支出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175.36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32.56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组织事务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175.36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32.56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12.56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12.56</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20.00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97.15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2080505</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18.25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18.25</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20808</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抚恤</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2080899</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卫生健康支出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住房保障支出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住房改革支出</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2210201</w:t>
            </w:r>
          </w:p>
        </w:tc>
        <w:tc>
          <w:tcPr>
            <w:tcW w:w="13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注：本表反映部门本年度各项支出情况。</w:t>
            </w:r>
          </w:p>
        </w:tc>
      </w:tr>
    </w:tbl>
    <w:p>
      <w:r>
        <w:br w:type="page"/>
      </w:r>
    </w:p>
    <w:tbl>
      <w:tblPr>
        <w:tblStyle w:val="5"/>
        <w:tblW w:w="9990" w:type="dxa"/>
        <w:jc w:val="center"/>
        <w:tblLayout w:type="fixed"/>
        <w:tblCellMar>
          <w:top w:w="0" w:type="dxa"/>
          <w:left w:w="0" w:type="dxa"/>
          <w:bottom w:w="0" w:type="dxa"/>
          <w:right w:w="0" w:type="dxa"/>
        </w:tblCellMar>
      </w:tblPr>
      <w:tblGrid>
        <w:gridCol w:w="1174"/>
        <w:gridCol w:w="67"/>
        <w:gridCol w:w="67"/>
        <w:gridCol w:w="1695"/>
        <w:gridCol w:w="2329"/>
        <w:gridCol w:w="2329"/>
        <w:gridCol w:w="1859"/>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黑体" w:hAnsi="宋体" w:eastAsia="黑体" w:cs="黑体"/>
                <w:color w:val="000000"/>
                <w:sz w:val="32"/>
                <w:szCs w:val="32"/>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5"/>
              <w:tblW w:w="9736" w:type="dxa"/>
              <w:tblInd w:w="0" w:type="dxa"/>
              <w:tblLayout w:type="fixed"/>
              <w:tblCellMar>
                <w:top w:w="0" w:type="dxa"/>
                <w:left w:w="108" w:type="dxa"/>
                <w:bottom w:w="0" w:type="dxa"/>
                <w:right w:w="108" w:type="dxa"/>
              </w:tblCellMar>
            </w:tblPr>
            <w:tblGrid>
              <w:gridCol w:w="2317"/>
              <w:gridCol w:w="465"/>
              <w:gridCol w:w="748"/>
              <w:gridCol w:w="2458"/>
              <w:gridCol w:w="367"/>
              <w:gridCol w:w="817"/>
              <w:gridCol w:w="766"/>
              <w:gridCol w:w="784"/>
              <w:gridCol w:w="762"/>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36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1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312"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部门：满城区委组织部</w:t>
                  </w:r>
                </w:p>
              </w:tc>
              <w:tc>
                <w:tcPr>
                  <w:tcW w:w="465" w:type="dxa"/>
                  <w:tcBorders>
                    <w:top w:val="nil"/>
                    <w:left w:val="nil"/>
                    <w:bottom w:val="nil"/>
                    <w:right w:val="nil"/>
                  </w:tcBorders>
                  <w:shd w:val="clear" w:color="auto" w:fill="auto"/>
                  <w:vAlign w:val="bottom"/>
                </w:tcPr>
                <w:p>
                  <w:pPr>
                    <w:widowControl/>
                    <w:spacing w:line="240" w:lineRule="exact"/>
                    <w:jc w:val="left"/>
                    <w:rPr>
                      <w:rFonts w:hint="eastAsia"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36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17"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66"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546"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45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367"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817"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766"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784"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762"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80" w:lineRule="exact"/>
                    <w:jc w:val="center"/>
                    <w:textAlignment w:val="auto"/>
                    <w:rPr>
                      <w:rFonts w:hint="eastAsia"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458"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367"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817"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66"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84"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762" w:type="dxa"/>
                  <w:vMerge w:val="continue"/>
                  <w:tcBorders>
                    <w:top w:val="nil"/>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hint="eastAsia"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287.62</w:t>
                  </w: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r>
                    <w:rPr>
                      <w:rFonts w:hint="eastAsia" w:ascii="宋体" w:hAnsi="宋体" w:eastAsia="宋体" w:cs="宋体"/>
                      <w:i w:val="0"/>
                      <w:iCs w:val="0"/>
                      <w:color w:val="000000"/>
                      <w:kern w:val="0"/>
                      <w:sz w:val="16"/>
                      <w:szCs w:val="16"/>
                      <w:u w:val="none"/>
                      <w:lang w:val="en-US" w:eastAsia="zh-CN" w:bidi="ar"/>
                    </w:rPr>
                    <w:t>175.36</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r>
                    <w:rPr>
                      <w:rFonts w:hint="eastAsia" w:ascii="宋体" w:hAnsi="宋体" w:eastAsia="宋体" w:cs="宋体"/>
                      <w:i w:val="0"/>
                      <w:iCs w:val="0"/>
                      <w:color w:val="000000"/>
                      <w:kern w:val="0"/>
                      <w:sz w:val="16"/>
                      <w:szCs w:val="16"/>
                      <w:u w:val="none"/>
                      <w:lang w:val="en-US" w:eastAsia="zh-CN" w:bidi="ar"/>
                    </w:rPr>
                    <w:t>175.36</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r>
                    <w:rPr>
                      <w:rFonts w:hint="eastAsia" w:ascii="宋体" w:hAnsi="宋体" w:eastAsia="宋体" w:cs="宋体"/>
                      <w:i w:val="0"/>
                      <w:iCs w:val="0"/>
                      <w:color w:val="000000"/>
                      <w:kern w:val="0"/>
                      <w:sz w:val="16"/>
                      <w:szCs w:val="16"/>
                      <w:u w:val="none"/>
                      <w:lang w:val="en-US" w:eastAsia="zh-CN" w:bidi="ar"/>
                    </w:rPr>
                    <w:t>97.15</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r>
                    <w:rPr>
                      <w:rFonts w:hint="eastAsia" w:ascii="宋体" w:hAnsi="宋体" w:eastAsia="宋体" w:cs="宋体"/>
                      <w:i w:val="0"/>
                      <w:iCs w:val="0"/>
                      <w:color w:val="000000"/>
                      <w:kern w:val="0"/>
                      <w:sz w:val="16"/>
                      <w:szCs w:val="16"/>
                      <w:u w:val="none"/>
                      <w:lang w:val="en-US" w:eastAsia="zh-CN" w:bidi="ar"/>
                    </w:rPr>
                    <w:t>97.15</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r>
                    <w:rPr>
                      <w:rFonts w:hint="eastAsia" w:ascii="宋体" w:hAnsi="宋体" w:eastAsia="宋体" w:cs="宋体"/>
                      <w:i w:val="0"/>
                      <w:iCs w:val="0"/>
                      <w:color w:val="000000"/>
                      <w:kern w:val="0"/>
                      <w:sz w:val="16"/>
                      <w:szCs w:val="16"/>
                      <w:u w:val="none"/>
                      <w:lang w:val="en-US" w:eastAsia="zh-CN" w:bidi="ar"/>
                    </w:rPr>
                    <w:t>6.31</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r>
                    <w:rPr>
                      <w:rFonts w:hint="eastAsia" w:ascii="宋体" w:hAnsi="宋体" w:eastAsia="宋体" w:cs="宋体"/>
                      <w:i w:val="0"/>
                      <w:iCs w:val="0"/>
                      <w:color w:val="000000"/>
                      <w:kern w:val="0"/>
                      <w:sz w:val="16"/>
                      <w:szCs w:val="16"/>
                      <w:u w:val="none"/>
                      <w:lang w:val="en-US" w:eastAsia="zh-CN" w:bidi="ar"/>
                    </w:rPr>
                    <w:t>6.31</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r>
                    <w:rPr>
                      <w:rFonts w:hint="eastAsia" w:ascii="宋体" w:hAnsi="宋体" w:eastAsia="宋体" w:cs="宋体"/>
                      <w:i w:val="0"/>
                      <w:iCs w:val="0"/>
                      <w:color w:val="000000"/>
                      <w:kern w:val="0"/>
                      <w:sz w:val="16"/>
                      <w:szCs w:val="16"/>
                      <w:u w:val="none"/>
                      <w:lang w:val="en-US" w:eastAsia="zh-CN" w:bidi="ar"/>
                    </w:rPr>
                    <w:t>8.79</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r>
                    <w:rPr>
                      <w:rFonts w:hint="eastAsia" w:ascii="宋体" w:hAnsi="宋体" w:eastAsia="宋体" w:cs="宋体"/>
                      <w:i w:val="0"/>
                      <w:iCs w:val="0"/>
                      <w:color w:val="000000"/>
                      <w:kern w:val="0"/>
                      <w:sz w:val="16"/>
                      <w:szCs w:val="16"/>
                      <w:u w:val="none"/>
                      <w:lang w:val="en-US" w:eastAsia="zh-CN" w:bidi="ar"/>
                    </w:rPr>
                    <w:t>8.79</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6"/>
                      <w:szCs w:val="16"/>
                      <w:u w:val="none"/>
                      <w:lang w:val="en-US" w:eastAsia="zh-CN" w:bidi="ar"/>
                    </w:rPr>
                    <w:t>287.62</w:t>
                  </w: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287.62</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287.62</w:t>
                  </w: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宋体" w:hAnsi="宋体" w:eastAsia="宋体" w:cs="Arial"/>
                      <w:color w:val="000000"/>
                      <w:kern w:val="0"/>
                      <w:sz w:val="15"/>
                      <w:szCs w:val="15"/>
                    </w:rPr>
                  </w:pP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8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right"/>
                    <w:textAlignment w:val="auto"/>
                    <w:rPr>
                      <w:rFonts w:ascii="Times New Roman" w:hAnsi="Times New Roman" w:eastAsia="Times New Roman" w:cs="Times New Roman"/>
                      <w:kern w:val="0"/>
                      <w:sz w:val="15"/>
                      <w:szCs w:val="15"/>
                    </w:rPr>
                  </w:pP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817"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kern w:val="0"/>
                      <w:sz w:val="16"/>
                      <w:szCs w:val="16"/>
                    </w:rPr>
                  </w:pPr>
                </w:p>
              </w:tc>
              <w:tc>
                <w:tcPr>
                  <w:tcW w:w="766"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784"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287.62</w:t>
                  </w:r>
                </w:p>
              </w:tc>
              <w:tc>
                <w:tcPr>
                  <w:tcW w:w="245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367"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81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Arial"/>
                      <w:color w:val="000000"/>
                      <w:kern w:val="0"/>
                      <w:sz w:val="16"/>
                      <w:szCs w:val="16"/>
                    </w:rPr>
                  </w:pPr>
                  <w:r>
                    <w:rPr>
                      <w:rFonts w:hint="eastAsia" w:ascii="宋体" w:hAnsi="宋体" w:eastAsia="宋体" w:cs="宋体"/>
                      <w:i w:val="0"/>
                      <w:iCs w:val="0"/>
                      <w:color w:val="000000"/>
                      <w:kern w:val="0"/>
                      <w:sz w:val="16"/>
                      <w:szCs w:val="16"/>
                      <w:u w:val="none"/>
                      <w:lang w:val="en-US" w:eastAsia="zh-CN" w:bidi="ar"/>
                    </w:rPr>
                    <w:t>287.62</w:t>
                  </w:r>
                </w:p>
              </w:tc>
              <w:tc>
                <w:tcPr>
                  <w:tcW w:w="7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Times New Roman" w:hAnsi="Times New Roman" w:eastAsia="Times New Roman" w:cs="Times New Roman"/>
                      <w:kern w:val="0"/>
                      <w:sz w:val="16"/>
                      <w:szCs w:val="16"/>
                    </w:rPr>
                  </w:pPr>
                  <w:r>
                    <w:rPr>
                      <w:rFonts w:hint="eastAsia" w:ascii="宋体" w:hAnsi="宋体" w:eastAsia="宋体" w:cs="宋体"/>
                      <w:i w:val="0"/>
                      <w:iCs w:val="0"/>
                      <w:color w:val="000000"/>
                      <w:kern w:val="0"/>
                      <w:sz w:val="16"/>
                      <w:szCs w:val="16"/>
                      <w:u w:val="none"/>
                      <w:lang w:val="en-US" w:eastAsia="zh-CN" w:bidi="ar"/>
                    </w:rPr>
                    <w:t>287.62</w:t>
                  </w:r>
                </w:p>
              </w:tc>
              <w:tc>
                <w:tcPr>
                  <w:tcW w:w="784"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762" w:type="dxa"/>
                  <w:tcBorders>
                    <w:top w:val="nil"/>
                    <w:left w:val="nil"/>
                    <w:bottom w:val="single" w:color="000000" w:sz="4" w:space="0"/>
                    <w:right w:val="single" w:color="000000" w:sz="4" w:space="0"/>
                  </w:tcBorders>
                  <w:shd w:val="clear" w:color="auto" w:fill="auto"/>
                  <w:vAlign w:val="center"/>
                </w:tcPr>
                <w:p>
                  <w:pPr>
                    <w:jc w:val="right"/>
                    <w:rPr>
                      <w:rFonts w:ascii="Times New Roman" w:hAnsi="Times New Roman" w:eastAsia="Times New Roman" w:cs="Times New Roman"/>
                      <w:kern w:val="0"/>
                      <w:sz w:val="16"/>
                      <w:szCs w:val="16"/>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9"/>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6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r>
              <w:rPr>
                <w:rFonts w:hint="eastAsia" w:ascii="Arial" w:hAnsi="Arial" w:cs="Arial"/>
                <w:color w:val="000000"/>
                <w:sz w:val="18"/>
                <w:szCs w:val="18"/>
              </w:rPr>
              <w:t>满城区委组织部</w:t>
            </w:r>
          </w:p>
        </w:tc>
        <w:tc>
          <w:tcPr>
            <w:tcW w:w="232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658"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300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w:t>
            </w:r>
          </w:p>
        </w:tc>
        <w:tc>
          <w:tcPr>
            <w:tcW w:w="6987"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功能分类科目编码</w:t>
            </w:r>
          </w:p>
        </w:tc>
        <w:tc>
          <w:tcPr>
            <w:tcW w:w="1695"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科目名称</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小计</w:t>
            </w:r>
          </w:p>
        </w:tc>
        <w:tc>
          <w:tcPr>
            <w:tcW w:w="232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基本支出</w:t>
            </w:r>
          </w:p>
        </w:tc>
        <w:tc>
          <w:tcPr>
            <w:tcW w:w="232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lang w:bidi="ar"/>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695"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32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栏次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r>
      <w:tr>
        <w:tblPrEx>
          <w:tblCellMar>
            <w:top w:w="0" w:type="dxa"/>
            <w:left w:w="0" w:type="dxa"/>
            <w:bottom w:w="0" w:type="dxa"/>
            <w:right w:w="0" w:type="dxa"/>
          </w:tblCellMar>
        </w:tblPrEx>
        <w:trPr>
          <w:trHeight w:val="308" w:hRule="atLeast"/>
          <w:jc w:val="center"/>
        </w:trPr>
        <w:tc>
          <w:tcPr>
            <w:tcW w:w="30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合计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287.62</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179.56</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8"/>
                <w:szCs w:val="18"/>
              </w:rPr>
            </w:pPr>
            <w:r>
              <w:rPr>
                <w:rFonts w:hint="eastAsia" w:ascii="宋体" w:hAnsi="宋体" w:eastAsia="宋体" w:cs="宋体"/>
                <w:b/>
                <w:bCs/>
                <w:i w:val="0"/>
                <w:iCs w:val="0"/>
                <w:color w:val="000000"/>
                <w:kern w:val="0"/>
                <w:sz w:val="22"/>
                <w:szCs w:val="22"/>
                <w:u w:val="none"/>
                <w:lang w:val="en-US" w:eastAsia="zh-CN" w:bidi="ar"/>
              </w:rPr>
              <w:t>108.06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一般公共服务支出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175.36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32.56</w:t>
            </w:r>
          </w:p>
        </w:tc>
      </w:tr>
      <w:tr>
        <w:tblPrEx>
          <w:tblCellMar>
            <w:top w:w="0" w:type="dxa"/>
            <w:left w:w="0" w:type="dxa"/>
            <w:bottom w:w="0" w:type="dxa"/>
            <w:right w:w="0" w:type="dxa"/>
          </w:tblCellMar>
        </w:tblPrEx>
        <w:trPr>
          <w:trHeight w:val="272"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组织事务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175.36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32.56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142.80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12.56</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12.56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2013299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20.00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97.15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21.65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3.40</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2080505</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18.25</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18.25</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20808</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抚恤</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2080899</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75.50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卫生健康支出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行政事业单位医疗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2101101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6.31</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住房保障支出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住房改革支出</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2210201</w:t>
            </w:r>
          </w:p>
        </w:tc>
        <w:tc>
          <w:tcPr>
            <w:tcW w:w="16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iCs w:val="0"/>
                <w:color w:val="000000"/>
                <w:kern w:val="0"/>
                <w:sz w:val="22"/>
                <w:szCs w:val="22"/>
                <w:u w:val="none"/>
                <w:lang w:val="en-US" w:eastAsia="zh-CN" w:bidi="ar"/>
              </w:rPr>
              <w:t>8.79</w:t>
            </w:r>
          </w:p>
        </w:tc>
        <w:tc>
          <w:tcPr>
            <w:tcW w:w="232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lang w:bidi="ar"/>
        </w:rPr>
        <w:sectPr>
          <w:pgSz w:w="11906" w:h="16838"/>
          <w:pgMar w:top="2098" w:right="1531" w:bottom="1984" w:left="1531" w:header="851" w:footer="992" w:gutter="0"/>
          <w:cols w:space="425" w:num="1"/>
          <w:docGrid w:type="lines" w:linePitch="312" w:charSpace="0"/>
        </w:sectPr>
      </w:pPr>
    </w:p>
    <w:tbl>
      <w:tblPr>
        <w:tblStyle w:val="5"/>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lang w:bidi="ar"/>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r>
              <w:rPr>
                <w:rFonts w:hint="eastAsia" w:ascii="Arial" w:hAnsi="Arial" w:cs="Arial"/>
                <w:color w:val="000000"/>
                <w:sz w:val="16"/>
                <w:szCs w:val="16"/>
              </w:rPr>
              <w:t>满城区委组织部</w:t>
            </w: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lang w:bidi="ar"/>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lang w:bidi="ar"/>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139.96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32.45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96.11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12.76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5.60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4.90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17.78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6.91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6.17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0.61</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8.79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7.15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2.05</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3.40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0.13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2.57</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0.28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w:t>
            </w:r>
            <w:r>
              <w:rPr>
                <w:rFonts w:hint="eastAsia" w:ascii="宋体" w:hAnsi="宋体" w:eastAsia="宋体" w:cs="宋体"/>
                <w:color w:val="000000"/>
                <w:kern w:val="0"/>
                <w:sz w:val="15"/>
                <w:szCs w:val="15"/>
                <w:lang w:bidi="ar"/>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0.90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0.90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r>
              <w:rPr>
                <w:rFonts w:hint="eastAsia" w:ascii="宋体" w:hAnsi="宋体" w:eastAsia="宋体" w:cs="宋体"/>
                <w:i w:val="0"/>
                <w:iCs w:val="0"/>
                <w:color w:val="000000"/>
                <w:kern w:val="0"/>
                <w:sz w:val="16"/>
                <w:szCs w:val="16"/>
                <w:u w:val="none"/>
                <w:lang w:val="en-US" w:eastAsia="zh-CN" w:bidi="ar"/>
              </w:rPr>
              <w:t>9.70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center"/>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6"/>
                <w:szCs w:val="16"/>
                <w:u w:val="none"/>
                <w:lang w:val="en-US" w:eastAsia="zh-CN" w:bidi="ar"/>
              </w:rPr>
              <w:t>147.11</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16"/>
                <w:szCs w:val="16"/>
                <w:u w:val="none"/>
                <w:lang w:val="en-US" w:eastAsia="zh-CN" w:bidi="ar"/>
              </w:rPr>
              <w:t>32.45</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5"/>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Arial" w:hAnsi="Arial" w:cs="Arial"/>
                <w:color w:val="000000"/>
                <w:sz w:val="18"/>
                <w:szCs w:val="18"/>
              </w:rPr>
              <w:t>满城区委组织部</w:t>
            </w: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5.55</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5.00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5.00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0.55</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1.02</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0.90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0.90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Cs w:val="22"/>
              </w:rPr>
            </w:pPr>
            <w:r>
              <w:rPr>
                <w:rFonts w:hint="eastAsia" w:ascii="宋体" w:hAnsi="宋体" w:eastAsia="宋体" w:cs="宋体"/>
                <w:i w:val="0"/>
                <w:iCs w:val="0"/>
                <w:color w:val="000000"/>
                <w:kern w:val="0"/>
                <w:sz w:val="22"/>
                <w:szCs w:val="22"/>
                <w:u w:val="none"/>
                <w:lang w:val="en-US" w:eastAsia="zh-CN" w:bidi="ar"/>
              </w:rPr>
              <w:t>0.13</w:t>
            </w: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5"/>
        <w:tblW w:w="9510" w:type="dxa"/>
        <w:jc w:val="center"/>
        <w:tblLayout w:type="autofit"/>
        <w:tblCellMar>
          <w:top w:w="0" w:type="dxa"/>
          <w:left w:w="0" w:type="dxa"/>
          <w:bottom w:w="0" w:type="dxa"/>
          <w:right w:w="0" w:type="dxa"/>
        </w:tblCellMar>
      </w:tblPr>
      <w:tblGrid>
        <w:gridCol w:w="893"/>
        <w:gridCol w:w="56"/>
        <w:gridCol w:w="56"/>
        <w:gridCol w:w="2020"/>
        <w:gridCol w:w="1081"/>
        <w:gridCol w:w="1081"/>
        <w:gridCol w:w="1081"/>
        <w:gridCol w:w="1081"/>
        <w:gridCol w:w="1081"/>
        <w:gridCol w:w="108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r>
              <w:rPr>
                <w:rFonts w:hint="eastAsia" w:ascii="Arial" w:hAnsi="Arial" w:cs="Arial"/>
                <w:color w:val="000000"/>
                <w:sz w:val="18"/>
                <w:szCs w:val="18"/>
              </w:rPr>
              <w:t>满城区委组织部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lang w:bidi="ar"/>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pPr>
        <w:rPr>
          <w:b/>
          <w:sz w:val="20"/>
          <w:szCs w:val="22"/>
          <w:highlight w:val="yellow"/>
        </w:rPr>
      </w:pPr>
      <w:r>
        <w:rPr>
          <w:rFonts w:hint="eastAsia" w:ascii="宋体" w:hAnsi="宋体" w:eastAsia="宋体" w:cs="宋体"/>
          <w:sz w:val="20"/>
          <w:szCs w:val="22"/>
        </w:rPr>
        <w:t>注：本表反映部门本年度政府性基金预算财政拨款收入、支出及结转结余情况。</w:t>
      </w:r>
      <w:r>
        <w:rPr>
          <w:rFonts w:hint="eastAsia" w:ascii="宋体" w:hAnsi="宋体" w:eastAsia="宋体" w:cs="宋体"/>
          <w:sz w:val="22"/>
          <w:szCs w:val="22"/>
        </w:rPr>
        <w:t>本部门本年度无相关收入（或支出、收支及结转结余等）情况，按要求空表列示。</w:t>
      </w:r>
      <w:r>
        <w:rPr>
          <w:b/>
          <w:sz w:val="20"/>
          <w:szCs w:val="22"/>
          <w:highlight w:val="yellow"/>
        </w:rPr>
        <w:br w:type="page"/>
      </w:r>
    </w:p>
    <w:tbl>
      <w:tblPr>
        <w:tblStyle w:val="5"/>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r>
              <w:rPr>
                <w:rFonts w:hint="eastAsia" w:ascii="Arial" w:hAnsi="Arial" w:cs="Arial"/>
                <w:color w:val="000000"/>
                <w:sz w:val="20"/>
                <w:szCs w:val="20"/>
              </w:rPr>
              <w:t>满城区委组织部</w:t>
            </w:r>
            <w:bookmarkStart w:id="0" w:name="_GoBack"/>
            <w:bookmarkEnd w:id="0"/>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lang w:bidi="ar"/>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注：本表反映部门本年度国有资本经营预算财政拨款收入、支出及结转结余情况。</w:t>
      </w:r>
      <w:r>
        <w:rPr>
          <w:rFonts w:hint="eastAsia" w:ascii="宋体" w:hAnsi="宋体" w:eastAsia="宋体" w:cs="宋体"/>
          <w:sz w:val="22"/>
          <w:szCs w:val="22"/>
        </w:rPr>
        <w:t>本部门本年度无相关收入（或支出、收支及结转结余等）情况，按要求空表列示。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tabs>
          <w:tab w:val="left" w:pos="235"/>
        </w:tabs>
        <w:spacing w:line="600" w:lineRule="exact"/>
        <w:ind w:firstLine="640" w:firstLineChars="200"/>
        <w:jc w:val="left"/>
        <w:rPr>
          <w:rFonts w:hint="eastAsia"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2540" b="2540"/>
                <wp:wrapNone/>
                <wp:docPr id="3" name="矩形 3"/>
                <wp:cNvGraphicFramePr/>
                <a:graphic xmlns:a="http://schemas.openxmlformats.org/drawingml/2006/main">
                  <a:graphicData uri="http://schemas.microsoft.com/office/word/2010/wordprocessingShape">
                    <wps:wsp>
                      <wps:cNvSpPr/>
                      <wps:spPr>
                        <a:xfrm>
                          <a:off x="697865" y="1375410"/>
                          <a:ext cx="7632700" cy="1069594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4384;v-text-anchor:middle;mso-width-relative:page;mso-height-relative:page;" fillcolor="#BDD7EE [1300]"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DengXian-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CD732D0"/>
    <w:multiLevelType w:val="singleLevel"/>
    <w:tmpl w:val="4CD732D0"/>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61A05"/>
    <w:rsid w:val="0018668E"/>
    <w:rsid w:val="001B73D2"/>
    <w:rsid w:val="001E62BF"/>
    <w:rsid w:val="00293E7B"/>
    <w:rsid w:val="002D1F4F"/>
    <w:rsid w:val="00366D90"/>
    <w:rsid w:val="003D678E"/>
    <w:rsid w:val="00801F66"/>
    <w:rsid w:val="009334BF"/>
    <w:rsid w:val="058B71E0"/>
    <w:rsid w:val="084D07CF"/>
    <w:rsid w:val="0EA325C9"/>
    <w:rsid w:val="17012626"/>
    <w:rsid w:val="20BB4F5C"/>
    <w:rsid w:val="2FB96948"/>
    <w:rsid w:val="330071C7"/>
    <w:rsid w:val="3327616A"/>
    <w:rsid w:val="34C45458"/>
    <w:rsid w:val="35C83C42"/>
    <w:rsid w:val="3CD53A70"/>
    <w:rsid w:val="3CFC0A34"/>
    <w:rsid w:val="3DA734C3"/>
    <w:rsid w:val="3E233E41"/>
    <w:rsid w:val="3FC43735"/>
    <w:rsid w:val="45592226"/>
    <w:rsid w:val="489E03E2"/>
    <w:rsid w:val="49F15CD1"/>
    <w:rsid w:val="518E359C"/>
    <w:rsid w:val="524E1749"/>
    <w:rsid w:val="56615A64"/>
    <w:rsid w:val="5D0C63C4"/>
    <w:rsid w:val="63B13FEF"/>
    <w:rsid w:val="66E75F5F"/>
    <w:rsid w:val="73D824BD"/>
    <w:rsid w:val="7BC11CE9"/>
    <w:rsid w:val="7D722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6">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chart" Target="charts/chart1.xml"/><Relationship Id="rId14" Type="http://schemas.openxmlformats.org/officeDocument/2006/relationships/image" Target="media/image2.bmp"/><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7"/>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dLbls>
          <c:showLegendKey val="0"/>
          <c:showVal val="1"/>
          <c:showCatName val="0"/>
          <c:showSerName val="0"/>
          <c:showPercent val="0"/>
          <c:showBubbleSize val="0"/>
        </c:dLbls>
        <c:gapWidth val="219"/>
        <c:overlap val="-27"/>
        <c:axId val="462451782"/>
        <c:axId val="737457775"/>
      </c:barChart>
      <c:catAx>
        <c:axId val="46245178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737457775"/>
        <c:crosses val="autoZero"/>
        <c:auto val="1"/>
        <c:lblAlgn val="ctr"/>
        <c:lblOffset val="100"/>
        <c:noMultiLvlLbl val="0"/>
      </c:catAx>
      <c:valAx>
        <c:axId val="737457775"/>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462451782"/>
        <c:crosses val="autoZero"/>
        <c:crossBetween val="between"/>
      </c:valAx>
      <c:spPr>
        <a:noFill/>
        <a:ln>
          <a:noFill/>
        </a:ln>
        <a:effectLst/>
      </c:spPr>
    </c:plotArea>
    <c:legend>
      <c:legendPos val="b"/>
      <c:layout>
        <c:manualLayout>
          <c:xMode val="edge"/>
          <c:yMode val="edge"/>
          <c:x val="0.830312807730552"/>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1732</Words>
  <Characters>9876</Characters>
  <Lines>82</Lines>
  <Paragraphs>23</Paragraphs>
  <TotalTime>1</TotalTime>
  <ScaleCrop>false</ScaleCrop>
  <LinksUpToDate>false</LinksUpToDate>
  <CharactersWithSpaces>11585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lenovo</cp:lastModifiedBy>
  <dcterms:modified xsi:type="dcterms:W3CDTF">2022-09-16T01:44:13Z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F46829F9DBE6476793A022400CFD3190</vt:lpwstr>
  </property>
</Properties>
</file>