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-971550</wp:posOffset>
            </wp:positionH>
            <wp:positionV relativeFrom="paragraph">
              <wp:posOffset>-1329055</wp:posOffset>
            </wp:positionV>
            <wp:extent cx="8894445" cy="10673080"/>
            <wp:effectExtent l="0" t="0" r="5715" b="10160"/>
            <wp:wrapNone/>
            <wp:docPr id="4" name="图片 4" descr="c0109c93cd65bad8e9efc5991515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0109c93cd65bad8e9efc59915156c9"/>
                    <pic:cNvPicPr>
                      <a:picLocks noChangeAspect="1"/>
                    </pic:cNvPicPr>
                  </pic:nvPicPr>
                  <pic:blipFill>
                    <a:blip r:embed="rId10"/>
                    <a:stretch>
                      <a:fillRect/>
                    </a:stretch>
                  </pic:blipFill>
                  <pic:spPr>
                    <a:xfrm>
                      <a:off x="0" y="0"/>
                      <a:ext cx="8894445" cy="1067308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-992505</wp:posOffset>
            </wp:positionH>
            <wp:positionV relativeFrom="page">
              <wp:posOffset>15875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1"/>
                    <a:srcRect/>
                    <a:stretch>
                      <a:fillRect/>
                    </a:stretch>
                  </pic:blipFill>
                  <pic:spPr>
                    <a:xfrm>
                      <a:off x="0" y="0"/>
                      <a:ext cx="7559675" cy="10689590"/>
                    </a:xfrm>
                    <a:prstGeom prst="rect">
                      <a:avLst/>
                    </a:prstGeom>
                  </pic:spPr>
                </pic:pic>
              </a:graphicData>
            </a:graphic>
          </wp:anchor>
        </w:drawing>
      </w:r>
      <w:r>
        <w:br w:type="page"/>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default" w:ascii="黑体" w:hAnsi="黑体" w:eastAsia="黑体" w:cs="黑体"/>
          <w:sz w:val="72"/>
          <w:szCs w:val="96"/>
          <w:highlight w:val="yellow"/>
          <w:lang w:val="en-US" w:eastAsia="zh-CN"/>
        </w:rPr>
      </w:pPr>
      <w:r>
        <w:rPr>
          <w:rFonts w:hint="eastAsia" w:ascii="黑体" w:hAnsi="黑体" w:eastAsia="黑体" w:cs="黑体"/>
          <w:spacing w:val="-20"/>
          <w:sz w:val="72"/>
          <w:szCs w:val="96"/>
          <w:lang w:val="en-US" w:eastAsia="zh-CN"/>
        </w:rPr>
        <w:t>保定市满城区坨南乡人民政府</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十</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2"/>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一）宣传贯彻执行党的路线方针政策和党中央、上级党组织及本乡党员代表大会(党员大会)的决议。贯彻执行法律、法规、规章和上级人民代表大会及其常务委员会决议及上级政府的决定、命令，执行本级人民代表大会的决议。</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（二）加强党对基层治理的全面领导，统筹抓好基层党建工作和基层党组织建设各项制度。推进全面从严治党，强化“两个责任”，确保党的路线方针政策在基层得到全面贯彻落实。</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（三）讨论和决定本乡经济建设、政治建设、文化建设、社会建设、生态文明建设和党的建设以及乡村振兴中的重大问题。</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（四）组织召开本级人民代表大会，充分行使重大事项决定权、监督权和任免权，做好人大代表工作，联系选民、反映群众意见和要求。</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五）组织实施与群众生活密切相关的各项公共服务，落实基层“最多跑一次”改革工作，拓宽服务渠道，改进服务方式，建立健全群众办事一次办结机制，推进乡便民服务平台标准化建设，实行“一站式服务”“一枚印章管审批（服务）”，提升群众获得感和幸福感。</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六）执行本行政区域内的经济和社会发展计划、预算，管理本行政区域内的经济、教育、科学、文化、卫生健康、体育事业、人力资源和社会保障、医疗保障和财政、统计、民政、司法行政等行政工作。落实本行政区域内发展规划、专项规划、区域规划、国土空间规划。</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七）乡党委领导乡政权机关、群团组织和其他各类组织,加强指导和规范，支持和保证这些机关和组织依照国家法律法规以及各自章程履行职责。坚持党管武装的根本原则和制度,协调各方力量，对乡人民武装工作实行统一领导。</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（八）加强乡党委自身建设和村党组织建设，以及其他隶属乡党委的党组织建设，抓好发展党员工作，加强党员队伍建设。维护和执行党的纪律，监督党员干部和其他任何工作人员严格遵守国家法律法规。</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（九）按照干部管理权限，负责对干部的教育、培训、选拔、考核和监督工作。协助管理上级有关部门驻乡单位的干部。做好人才服务工作。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领导本乡的基层治理，加强社会主义民主法治建设和精神文明建设，加强社会治安综合治理,推行网格化管理服务，落实社会矛盾纠纷排查调处机制，综合发挥人民调解、行政调解和司法调解的作用，及时化解辖区社会矛盾，维护安全稳定。做好综合执法、应急管理、自然资源和生态环保、乡村振兴、民生保障、脱贫致富、民族宗教、防范邪教等工作。承担民兵预备役、征兵、退役军人服务、拥军优属等工作。</w:t>
      </w:r>
    </w:p>
    <w:p>
      <w:pPr>
        <w:widowControl/>
        <w:spacing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一）保护社会主义的全民所有的财产和劳动群众集体所有的财产，保护公民私人所有的合法财产，维护社会秩序，保障公民的人身权利、民主权利和其他权利。保护各种经济组织的合法权益。保障各少数民族的合法权利和利益，尊重少数民族的风俗习惯。保障宪法和法律赋予妇女的男女平等、同工同酬和婚姻自由等各项权利。</w:t>
      </w:r>
    </w:p>
    <w:p>
      <w:pPr>
        <w:widowControl/>
        <w:spacing w:line="580" w:lineRule="exact"/>
        <w:ind w:firstLine="640" w:firstLineChars="200"/>
        <w:rPr>
          <w:rFonts w:ascii="仿宋_GB2312" w:hAnsi="Calibri" w:eastAsia="仿宋_GB2312" w:cs="Arial Black"/>
          <w:kern w:val="0"/>
          <w:sz w:val="32"/>
          <w:szCs w:val="32"/>
        </w:rPr>
      </w:pPr>
      <w:r>
        <w:rPr>
          <w:rFonts w:hint="eastAsia" w:ascii="仿宋_GB2312" w:eastAsia="仿宋_GB2312" w:cs="Arial Black"/>
          <w:kern w:val="0"/>
          <w:sz w:val="32"/>
          <w:szCs w:val="32"/>
        </w:rPr>
        <w:t>（十二）承办上级党委、人大、政府交办的其他事项。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w:t>
            </w:r>
            <w:r>
              <w:rPr>
                <w:rFonts w:hint="eastAsia" w:ascii="仿宋_GB2312" w:hAnsi="Calibri" w:eastAsia="仿宋_GB2312" w:cs="Arial Black"/>
                <w:kern w:val="0"/>
                <w:sz w:val="28"/>
                <w:szCs w:val="28"/>
                <w:lang w:eastAsia="zh-CN"/>
              </w:rPr>
              <w:t>坨南</w:t>
            </w:r>
            <w:r>
              <w:rPr>
                <w:rFonts w:hint="eastAsia" w:ascii="仿宋_GB2312" w:hAnsi="Calibri" w:eastAsia="仿宋_GB2312" w:cs="Arial Black"/>
                <w:kern w:val="0"/>
                <w:sz w:val="28"/>
                <w:szCs w:val="28"/>
              </w:rPr>
              <w:t>乡人民政府</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ind w:firstLine="560" w:firstLineChars="200"/>
              <w:jc w:val="left"/>
              <w:rPr>
                <w:rFonts w:ascii="仿宋_GB2312" w:hAnsi="Calibri" w:eastAsia="仿宋_GB2312" w:cs="Arial Black"/>
                <w:kern w:val="0"/>
                <w:sz w:val="28"/>
                <w:szCs w:val="28"/>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2"/>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keepNext/>
        <w:keepLines/>
        <w:snapToGrid w:val="0"/>
        <w:spacing w:line="600" w:lineRule="exact"/>
        <w:ind w:firstLine="640" w:firstLineChars="200"/>
        <w:outlineLvl w:val="1"/>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523.31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42.71</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701.93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57.29</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%，主要是增加了人员工资和保险调整</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407.75</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49.88</w:t>
      </w:r>
      <w:r>
        <w:rPr>
          <w:rFonts w:hint="eastAsia" w:ascii="仿宋_GB2312" w:hAnsi="Times New Roman" w:eastAsia="仿宋_GB2312" w:cs="Wingdings"/>
          <w:sz w:val="32"/>
          <w:szCs w:val="32"/>
        </w:rPr>
        <w:t>%，主要是人员工资和保险调整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w:t>
      </w:r>
      <w:r>
        <w:rPr>
          <w:rFonts w:hint="eastAsia" w:ascii="仿宋_GB2312" w:hAnsi="Times New Roman" w:eastAsia="仿宋_GB2312" w:cs="Wingdings"/>
          <w:sz w:val="32"/>
          <w:szCs w:val="32"/>
          <w:lang w:eastAsia="zh-CN"/>
        </w:rPr>
        <w:t>原因无。</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万元，决算数大于预算数主要原因是人员工资和保险调整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增加了大气、农村环境保护、农林水支出等多个项目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万元，决算数大于预算数主要原因是主要是人员工资和保险调整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w:t>
      </w:r>
      <w:r>
        <w:rPr>
          <w:rFonts w:hint="eastAsia" w:ascii="仿宋_GB2312" w:hAnsi="Times New Roman" w:eastAsia="仿宋_GB2312" w:cs="Wingdings"/>
          <w:sz w:val="32"/>
          <w:szCs w:val="32"/>
          <w:lang w:val="en-US" w:eastAsia="zh-CN"/>
        </w:rPr>
        <w:t>收入</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145.25</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381.68</w:t>
      </w:r>
      <w:r>
        <w:rPr>
          <w:rFonts w:hint="eastAsia" w:ascii="仿宋_GB2312" w:hAnsi="Times New Roman" w:eastAsia="仿宋_GB2312" w:cs="Wingdings"/>
          <w:sz w:val="32"/>
          <w:szCs w:val="32"/>
        </w:rPr>
        <w:t>万元，主要是人员工资和保险调整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增加了</w:t>
      </w:r>
      <w:r>
        <w:rPr>
          <w:rFonts w:hint="eastAsia" w:ascii="仿宋_GB2312" w:hAnsi="Times New Roman" w:eastAsia="仿宋_GB2312" w:cs="Wingdings"/>
          <w:sz w:val="32"/>
          <w:szCs w:val="32"/>
          <w:lang w:eastAsia="zh-CN"/>
        </w:rPr>
        <w:t>信访稳定</w:t>
      </w:r>
      <w:r>
        <w:rPr>
          <w:rFonts w:hint="eastAsia" w:ascii="仿宋_GB2312" w:hAnsi="Times New Roman" w:eastAsia="仿宋_GB2312" w:cs="Wingdings"/>
          <w:sz w:val="32"/>
          <w:szCs w:val="32"/>
        </w:rPr>
        <w:t>、农村环境保护、农林水支出等多个项目支出。</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0万元，年初预算数0万元，调整预算数0万元，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万元，主要</w:t>
      </w:r>
      <w:r>
        <w:rPr>
          <w:rFonts w:hint="eastAsia" w:ascii="仿宋_GB2312" w:hAnsi="Times New Roman" w:eastAsia="仿宋_GB2312" w:cs="Wingdings"/>
          <w:sz w:val="32"/>
          <w:szCs w:val="32"/>
          <w:lang w:eastAsia="zh-CN"/>
        </w:rPr>
        <w:t>原因无</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0万元，年初预算数0万元，调整预算数0万元，</w:t>
      </w:r>
      <w:r>
        <w:rPr>
          <w:rFonts w:hint="eastAsia" w:ascii="仿宋_GB2312" w:hAnsi="Times New Roman" w:eastAsia="仿宋_GB2312" w:cs="Wingdings"/>
          <w:sz w:val="32"/>
          <w:szCs w:val="32"/>
        </w:rPr>
        <w:t>完成</w:t>
      </w:r>
      <w:r>
        <w:rPr>
          <w:rFonts w:hint="eastAsia" w:ascii="仿宋_GB2312" w:hAnsi="Times New Roman" w:eastAsia="仿宋_GB2312" w:cs="Wingdings"/>
          <w:sz w:val="32"/>
          <w:szCs w:val="32"/>
          <w:lang w:val="en-US" w:eastAsia="zh-CN"/>
        </w:rPr>
        <w:t>调整</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highlight w:val="none"/>
          <w:lang w:val="en-US" w:eastAsia="zh-CN"/>
        </w:rPr>
        <w:t>0</w:t>
      </w:r>
      <w:r>
        <w:rPr>
          <w:rFonts w:hint="eastAsia" w:ascii="仿宋_GB2312" w:hAnsi="Times New Roman" w:eastAsia="仿宋_GB2312" w:cs="Wingdings"/>
          <w:sz w:val="32"/>
          <w:szCs w:val="32"/>
          <w:highlight w:val="none"/>
        </w:rPr>
        <w:t>%</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万元，主要</w:t>
      </w:r>
      <w:r>
        <w:rPr>
          <w:rFonts w:hint="eastAsia" w:ascii="仿宋_GB2312" w:hAnsi="Times New Roman" w:eastAsia="仿宋_GB2312" w:cs="Wingdings"/>
          <w:sz w:val="32"/>
          <w:szCs w:val="32"/>
          <w:lang w:eastAsia="zh-CN"/>
        </w:rPr>
        <w:t>原因无</w:t>
      </w:r>
      <w:r>
        <w:rPr>
          <w:rFonts w:hint="eastAsia" w:ascii="仿宋_GB2312" w:hAnsi="Times New Roman" w:eastAsia="仿宋_GB2312" w:cs="Wingdings"/>
          <w:sz w:val="32"/>
          <w:szCs w:val="32"/>
        </w:rPr>
        <w:t>。</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1225.24</w:t>
      </w:r>
      <w:r>
        <w:rPr>
          <w:rFonts w:hint="eastAsia" w:ascii="仿宋_GB2312" w:hAnsi="Times New Roman" w:eastAsia="仿宋_GB2312" w:cs="Wingdings"/>
          <w:sz w:val="32"/>
          <w:szCs w:val="32"/>
        </w:rPr>
        <w:t>万元，主要用于以下方面：比如：一般公共服务（类）支出</w:t>
      </w:r>
      <w:r>
        <w:rPr>
          <w:rFonts w:hint="eastAsia" w:ascii="仿宋_GB2312" w:hAnsi="Times New Roman" w:eastAsia="仿宋_GB2312" w:cs="Wingdings"/>
          <w:sz w:val="32"/>
          <w:szCs w:val="32"/>
          <w:lang w:val="en-US" w:eastAsia="zh-CN"/>
        </w:rPr>
        <w:t>457.42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37.33</w:t>
      </w:r>
      <w:r>
        <w:rPr>
          <w:rFonts w:hint="eastAsia" w:ascii="仿宋_GB2312" w:hAnsi="Times New Roman" w:eastAsia="仿宋_GB2312" w:cs="Wingdings"/>
          <w:sz w:val="32"/>
          <w:szCs w:val="32"/>
        </w:rPr>
        <w:t>%，；文化旅游体育与传媒</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17.00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1.39</w:t>
      </w:r>
      <w:r>
        <w:rPr>
          <w:rFonts w:hint="eastAsia" w:ascii="仿宋_GB2312" w:hAnsi="Times New Roman" w:eastAsia="仿宋_GB2312" w:cs="Wingdings"/>
          <w:sz w:val="32"/>
          <w:szCs w:val="32"/>
        </w:rPr>
        <w:t>%；社会保障和就业</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64.35</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5.25</w:t>
      </w:r>
      <w:r>
        <w:rPr>
          <w:rFonts w:hint="eastAsia" w:ascii="仿宋_GB2312" w:hAnsi="Times New Roman" w:eastAsia="仿宋_GB2312" w:cs="Wingdings"/>
          <w:sz w:val="32"/>
          <w:szCs w:val="32"/>
        </w:rPr>
        <w:t>%；卫生健康</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23.52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1.92</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节能环保（</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8.00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0.65</w:t>
      </w:r>
      <w:r>
        <w:rPr>
          <w:rFonts w:hint="eastAsia" w:ascii="仿宋_GB2312" w:hAnsi="Times New Roman" w:eastAsia="仿宋_GB2312" w:cs="Wingdings"/>
          <w:sz w:val="32"/>
          <w:szCs w:val="32"/>
        </w:rPr>
        <w:t>%；农林水</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633.43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51.70</w:t>
      </w:r>
      <w:r>
        <w:rPr>
          <w:rFonts w:hint="eastAsia" w:ascii="仿宋_GB2312" w:hAnsi="Times New Roman" w:eastAsia="仿宋_GB2312" w:cs="Wingdings"/>
          <w:sz w:val="32"/>
          <w:szCs w:val="32"/>
        </w:rPr>
        <w:t>%;住房保障</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类</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21.51万元，占1.76%</w:t>
      </w:r>
      <w:r>
        <w:rPr>
          <w:rFonts w:hint="eastAsia" w:ascii="仿宋_GB2312" w:hAnsi="Times New Roman" w:eastAsia="仿宋_GB2312" w:cs="Wingdings"/>
          <w:sz w:val="32"/>
          <w:szCs w:val="32"/>
        </w:rPr>
        <w:t>。</w: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523.31</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483.02</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其他工资福利支出、退休费、抚恤金、生活补助、奖励金、其他对个人和家庭的补助支出；公用经费</w:t>
      </w:r>
      <w:r>
        <w:rPr>
          <w:rFonts w:hint="eastAsia" w:ascii="仿宋_GB2312" w:hAnsi="Times New Roman" w:eastAsia="仿宋_GB2312" w:cs="Wingdings"/>
          <w:sz w:val="32"/>
          <w:szCs w:val="32"/>
          <w:lang w:val="en-US" w:eastAsia="zh-CN"/>
        </w:rPr>
        <w:t>40.28</w:t>
      </w:r>
      <w:r>
        <w:rPr>
          <w:rFonts w:hint="eastAsia" w:ascii="仿宋_GB2312" w:hAnsi="Times New Roman" w:eastAsia="仿宋_GB2312" w:cs="Wingdings"/>
          <w:sz w:val="32"/>
          <w:szCs w:val="32"/>
        </w:rPr>
        <w:t>万元，主要包括办公费</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邮电费、取暖费、公务用车运行维护费、其他交通费用、其他商品和服务支出</w:t>
      </w:r>
      <w:r>
        <w:rPr>
          <w:rFonts w:hint="eastAsia" w:ascii="仿宋_GB2312" w:hAnsi="Times New Roman" w:eastAsia="仿宋_GB2312" w:cs="Wingdings"/>
          <w:sz w:val="32"/>
          <w:szCs w:val="32"/>
          <w:lang w:eastAsia="zh-CN"/>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7.20</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7.20万</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100.00</w:t>
      </w:r>
      <w:r>
        <w:rPr>
          <w:rFonts w:hint="eastAsia" w:ascii="仿宋_GB2312" w:hAnsi="Times New Roman" w:eastAsia="仿宋_GB2312" w:cs="Wingdings"/>
          <w:sz w:val="32"/>
          <w:szCs w:val="32"/>
        </w:rPr>
        <w:t>%,较预算增加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2020年公车防火、矿山巡查增多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未发生因公出国（境）费支出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7.20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100.00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0.03</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增长</w:t>
      </w:r>
      <w:r>
        <w:rPr>
          <w:rFonts w:hint="eastAsia" w:ascii="仿宋_GB2312" w:hAnsi="Times New Roman" w:eastAsia="仿宋_GB2312" w:cs="Wingdings"/>
          <w:sz w:val="32"/>
          <w:szCs w:val="32"/>
          <w:lang w:val="en-US" w:eastAsia="zh-CN"/>
        </w:rPr>
        <w:t>4.18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,发生运行维护费支出7.20万元</w:t>
      </w:r>
      <w:r>
        <w:rPr>
          <w:rFonts w:hint="eastAsia" w:ascii="仿宋_GB2312" w:hAnsi="Times New Roman" w:eastAsia="仿宋_GB2312" w:cs="Wingdings"/>
          <w:sz w:val="32"/>
          <w:szCs w:val="32"/>
        </w:rPr>
        <w:t>。公车运行维护费支出较预算增加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2020年防火、矿山巡查增多</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0.03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4.18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2020年公车防火、矿山巡查增多</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仿宋_GB2312" w:eastAsia="仿宋_GB2312" w:cs="仿宋_GB2312"/>
          <w:b w:val="0"/>
          <w:bCs w:val="0"/>
          <w:sz w:val="32"/>
          <w:szCs w:val="32"/>
          <w:lang w:val="en-US" w:eastAsia="zh-CN"/>
        </w:rPr>
        <w:t>公务接待</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未发生“公务接待费”支出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704.93</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100.00%</w:t>
      </w:r>
      <w:r>
        <w:rPr>
          <w:rFonts w:hint="eastAsia" w:ascii="仿宋_GB2312" w:hAnsi="仿宋_GB2312" w:eastAsia="仿宋_GB2312" w:cs="仿宋_GB2312"/>
          <w:sz w:val="32"/>
          <w:szCs w:val="32"/>
        </w:rPr>
        <w:t>；政府性基金预算</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办公楼防水工程经费，</w:t>
      </w:r>
      <w:r>
        <w:rPr>
          <w:rFonts w:hint="eastAsia" w:ascii="仿宋_GB2312" w:hAnsi="仿宋_GB2312" w:eastAsia="仿宋_GB2312" w:cs="仿宋_GB2312"/>
          <w:sz w:val="32"/>
          <w:szCs w:val="32"/>
          <w:lang w:val="en-US" w:eastAsia="zh-CN"/>
        </w:rPr>
        <w:t>河道清理经费，2020年7-9月区财政局农村“两委”干部补贴资金等12个项目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级项目开展了部门评价，涉及一般公共预算支出</w:t>
      </w:r>
      <w:r>
        <w:rPr>
          <w:rFonts w:hint="eastAsia" w:ascii="仿宋_GB2312" w:hAnsi="仿宋_GB2312" w:eastAsia="仿宋_GB2312" w:cs="仿宋_GB2312"/>
          <w:sz w:val="32"/>
          <w:szCs w:val="32"/>
          <w:lang w:val="en-US" w:eastAsia="zh-CN"/>
        </w:rPr>
        <w:t>125.22</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万元。其中，对“</w:t>
      </w:r>
      <w:r>
        <w:rPr>
          <w:rFonts w:hint="eastAsia" w:ascii="仿宋_GB2312" w:hAnsi="仿宋_GB2312" w:eastAsia="仿宋_GB2312" w:cs="仿宋_GB2312"/>
          <w:sz w:val="32"/>
          <w:szCs w:val="32"/>
          <w:lang w:val="en-US" w:eastAsia="zh-CN"/>
        </w:rPr>
        <w:t>村干部基础职务补贴</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维稳经费</w:t>
      </w:r>
      <w:r>
        <w:rPr>
          <w:rFonts w:hint="eastAsia" w:ascii="仿宋_GB2312" w:hAnsi="仿宋_GB2312" w:eastAsia="仿宋_GB2312" w:cs="仿宋_GB2312"/>
          <w:sz w:val="32"/>
          <w:szCs w:val="32"/>
        </w:rPr>
        <w:t>”等项目分别委托</w:t>
      </w:r>
      <w:r>
        <w:rPr>
          <w:rFonts w:hint="eastAsia" w:ascii="仿宋_GB2312" w:hAnsi="仿宋_GB2312" w:eastAsia="仿宋_GB2312" w:cs="仿宋_GB2312"/>
          <w:sz w:val="32"/>
          <w:szCs w:val="32"/>
          <w:lang w:val="en-US" w:eastAsia="zh-CN"/>
        </w:rPr>
        <w:t>单位内控</w:t>
      </w:r>
      <w:r>
        <w:rPr>
          <w:rFonts w:hint="eastAsia" w:ascii="仿宋_GB2312" w:hAnsi="仿宋_GB2312" w:eastAsia="仿宋_GB2312" w:cs="仿宋_GB2312"/>
          <w:sz w:val="32"/>
          <w:szCs w:val="32"/>
        </w:rPr>
        <w:t>机构开展绩效评价。从评价情况来看，本部门对</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个项目均能按时、按质、按量对资金予以作用及发放到位。</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val="en-US" w:eastAsia="zh-CN"/>
        </w:rPr>
        <w:t>一般公共预算</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val="en-US" w:eastAsia="zh-CN"/>
        </w:rPr>
        <w:t>政府性基金预算</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补充工作经费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补充工作经费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解决乡财政运转困难</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缓解机关正常运转出现的困难</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补充办公经费</w:t>
      </w:r>
      <w:r>
        <w:rPr>
          <w:rFonts w:hint="eastAsia" w:ascii="仿宋_GB2312" w:hAnsi="仿宋_GB2312" w:eastAsia="仿宋_GB2312" w:cs="仿宋_GB2312"/>
          <w:sz w:val="32"/>
          <w:szCs w:val="32"/>
        </w:rPr>
        <w:t>”项目自评综述： “</w:t>
      </w:r>
      <w:r>
        <w:rPr>
          <w:rFonts w:hint="eastAsia" w:ascii="仿宋_GB2312" w:hAnsi="仿宋_GB2312" w:eastAsia="仿宋_GB2312" w:cs="仿宋_GB2312"/>
          <w:sz w:val="32"/>
          <w:szCs w:val="32"/>
          <w:lang w:val="en-US" w:eastAsia="zh-CN"/>
        </w:rPr>
        <w:t>补充办公经费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4.50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4.50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解决乡财政运转困难</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缓解机关正常运转出现的困难</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3个</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val="en-US" w:eastAsia="zh-CN"/>
        </w:rPr>
        <w:t>维稳经费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保障全乡信访稳定工作的开展，完成区委、区政府有关要求；二是保障群众生活环境的稳定和谐。</w:t>
      </w:r>
      <w:r>
        <w:rPr>
          <w:rFonts w:hint="eastAsia" w:ascii="仿宋_GB2312" w:hAnsi="仿宋_GB2312" w:eastAsia="仿宋_GB2312" w:cs="仿宋_GB2312"/>
          <w:sz w:val="32"/>
          <w:szCs w:val="32"/>
          <w:highlight w:val="none"/>
        </w:rPr>
        <w:t>发现的主要问题及原因：</w:t>
      </w:r>
      <w:r>
        <w:rPr>
          <w:rFonts w:hint="eastAsia" w:ascii="仿宋_GB2312" w:hAnsi="仿宋_GB2312" w:eastAsia="仿宋_GB2312" w:cs="仿宋_GB2312"/>
          <w:sz w:val="32"/>
          <w:szCs w:val="32"/>
        </w:rPr>
        <w:t>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办公楼防水工程经费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办公楼防水工程经费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3.00</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对办公楼顶进行防水工程修缮，促使我乡工作环境得到改善</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减轻乡财政压力，保障乡政府正常办公</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建设岭西村界河路口限高设施费用</w:t>
      </w:r>
      <w:r>
        <w:rPr>
          <w:rFonts w:hint="eastAsia" w:ascii="仿宋_GB2312" w:hAnsi="仿宋_GB2312" w:eastAsia="仿宋_GB2312" w:cs="仿宋_GB2312"/>
          <w:sz w:val="32"/>
          <w:szCs w:val="32"/>
        </w:rPr>
        <w:t>” 项目自评综述：根据年初设定的绩效目标，“</w:t>
      </w:r>
      <w:r>
        <w:rPr>
          <w:rFonts w:hint="eastAsia" w:ascii="仿宋_GB2312" w:hAnsi="仿宋_GB2312" w:eastAsia="仿宋_GB2312" w:cs="仿宋_GB2312"/>
          <w:sz w:val="32"/>
          <w:szCs w:val="32"/>
          <w:lang w:val="en-US" w:eastAsia="zh-CN"/>
        </w:rPr>
        <w:t>建设岭西村界河路口限高设施费用</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5.00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4.91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98.14</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安装限高装置，保障农户农资和果品正常运输安全；二是修整损毁道路，保障农户农资和果品运输安全，提高农户经济收入</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河道清理经费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河道清理经费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sz w:val="32"/>
          <w:szCs w:val="32"/>
        </w:rPr>
        <w:t>万元，执</w:t>
      </w:r>
      <w:r>
        <w:rPr>
          <w:rFonts w:hint="eastAsia" w:ascii="仿宋_GB2312" w:hAnsi="仿宋_GB2312" w:eastAsia="仿宋_GB2312" w:cs="仿宋_GB2312"/>
          <w:sz w:val="32"/>
          <w:szCs w:val="32"/>
          <w:highlight w:val="none"/>
        </w:rPr>
        <w:t>行数为</w:t>
      </w:r>
      <w:r>
        <w:rPr>
          <w:rFonts w:hint="eastAsia" w:ascii="仿宋_GB2312" w:hAnsi="仿宋_GB2312" w:eastAsia="仿宋_GB2312" w:cs="仿宋_GB2312"/>
          <w:sz w:val="32"/>
          <w:szCs w:val="32"/>
          <w:highlight w:val="none"/>
          <w:lang w:val="en-US" w:eastAsia="zh-CN"/>
        </w:rPr>
        <w:t>8.00</w:t>
      </w:r>
      <w:r>
        <w:rPr>
          <w:rFonts w:hint="eastAsia" w:ascii="仿宋_GB2312" w:hAnsi="仿宋_GB2312" w:eastAsia="仿宋_GB2312" w:cs="仿宋_GB2312"/>
          <w:sz w:val="32"/>
          <w:szCs w:val="32"/>
          <w:highlight w:val="none"/>
        </w:rPr>
        <w:t>万元，完成预算的100%。项目绩效目标完成情况：一是</w:t>
      </w:r>
      <w:r>
        <w:rPr>
          <w:rFonts w:hint="eastAsia" w:ascii="仿宋_GB2312" w:hAnsi="仿宋_GB2312" w:eastAsia="仿宋_GB2312" w:cs="仿宋_GB2312"/>
          <w:sz w:val="32"/>
          <w:szCs w:val="32"/>
          <w:highlight w:val="none"/>
          <w:lang w:eastAsia="zh-CN"/>
        </w:rPr>
        <w:t>保障河道在防汛期间的畅通；二是保障农村居民生活环境及生命财产安全</w:t>
      </w:r>
      <w:r>
        <w:rPr>
          <w:rFonts w:hint="eastAsia" w:ascii="仿宋_GB2312" w:hAnsi="仿宋_GB2312" w:eastAsia="仿宋_GB2312" w:cs="仿宋_GB2312"/>
          <w:sz w:val="32"/>
          <w:szCs w:val="32"/>
          <w:highlight w:val="none"/>
        </w:rPr>
        <w:t>。发现的主要问题及原因：无。下一步</w:t>
      </w:r>
      <w:r>
        <w:rPr>
          <w:rFonts w:hint="eastAsia" w:ascii="仿宋_GB2312" w:hAnsi="仿宋_GB2312" w:eastAsia="仿宋_GB2312" w:cs="仿宋_GB2312"/>
          <w:sz w:val="32"/>
          <w:szCs w:val="32"/>
        </w:rPr>
        <w:t>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2020年7-9月份区财政局农村两委干部补贴资金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2020年7-9月份区财政局农村两委干部补贴资金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42.97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42.97</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保障两委干部自身利益，确保村级事务正常运行；二是保障农村社会环境和生活环境和谐稳定。</w:t>
      </w: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）“村干部基础职务补贴”项目自评综述：根据年初设定的绩效目标，“村干部基础职务补贴”项目绩效自评得分为100分（绩效自评表附后）。全年预算数为</w:t>
      </w:r>
      <w:r>
        <w:rPr>
          <w:rFonts w:hint="eastAsia" w:ascii="仿宋_GB2312" w:hAnsi="仿宋_GB2312" w:eastAsia="仿宋_GB2312" w:cs="仿宋_GB2312"/>
          <w:sz w:val="32"/>
          <w:szCs w:val="32"/>
          <w:lang w:val="en-US" w:eastAsia="zh-CN"/>
        </w:rPr>
        <w:t>131.38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131.38</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 “正常离任村干部生活补贴”项目自评综述：根据年初设定的绩效目标， “正常离任村干部生活补贴”项目绩效自评得分为100分（绩效自评表附后）。全年预算数为</w:t>
      </w:r>
      <w:r>
        <w:rPr>
          <w:rFonts w:hint="eastAsia" w:ascii="仿宋_GB2312" w:hAnsi="仿宋_GB2312" w:eastAsia="仿宋_GB2312" w:cs="仿宋_GB2312"/>
          <w:sz w:val="32"/>
          <w:szCs w:val="32"/>
          <w:lang w:val="en-US" w:eastAsia="zh-CN"/>
        </w:rPr>
        <w:t>7.50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7.50</w:t>
      </w:r>
      <w:r>
        <w:rPr>
          <w:rFonts w:hint="eastAsia" w:ascii="仿宋_GB2312" w:hAnsi="仿宋_GB2312" w:eastAsia="仿宋_GB2312" w:cs="仿宋_GB2312"/>
          <w:sz w:val="32"/>
          <w:szCs w:val="32"/>
        </w:rPr>
        <w:t>万元，完成预算的100%。项目绩效目标完成情况：一是保障了正常离任村干部的日常生活；二是体现了党组织对离任村干部的关怀。发现的主要问题及原因：无。下一步改进措施：无。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 “村干部保险”项目自评综述：根据年初设定的绩效目标， “村干部保险”项目绩效自评得分为100分（绩效自评表附后）。全年预算数为</w:t>
      </w:r>
      <w:r>
        <w:rPr>
          <w:rFonts w:hint="eastAsia" w:ascii="仿宋_GB2312" w:hAnsi="仿宋_GB2312" w:eastAsia="仿宋_GB2312" w:cs="仿宋_GB2312"/>
          <w:sz w:val="32"/>
          <w:szCs w:val="32"/>
          <w:lang w:val="en-US" w:eastAsia="zh-CN"/>
        </w:rPr>
        <w:t>6.94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6.94</w:t>
      </w:r>
      <w:r>
        <w:rPr>
          <w:rFonts w:hint="eastAsia" w:ascii="仿宋_GB2312" w:hAnsi="仿宋_GB2312" w:eastAsia="仿宋_GB2312" w:cs="仿宋_GB2312"/>
          <w:sz w:val="32"/>
          <w:szCs w:val="32"/>
        </w:rPr>
        <w:t>万元，完成预算的100%。项目绩效目标完成情况：一是保障了村干部的日常生活，使村干部老有所养，老有所依；二是促使村干部积极主动的开展村内各项工作，发挥积极带头作用。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坨南乡防控经费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坨南乡防控经费</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保障了</w:t>
      </w:r>
      <w:r>
        <w:rPr>
          <w:rFonts w:hint="eastAsia" w:ascii="仿宋_GB2312" w:hAnsi="仿宋_GB2312" w:eastAsia="仿宋_GB2312" w:cs="仿宋_GB2312"/>
          <w:sz w:val="32"/>
          <w:szCs w:val="32"/>
          <w:highlight w:val="none"/>
          <w:lang w:eastAsia="zh-CN"/>
        </w:rPr>
        <w:t>乡村疫情防控工作正常开展</w:t>
      </w:r>
      <w:r>
        <w:rPr>
          <w:rFonts w:hint="eastAsia" w:ascii="仿宋_GB2312" w:hAnsi="仿宋_GB2312" w:eastAsia="仿宋_GB2312" w:cs="仿宋_GB2312"/>
          <w:sz w:val="32"/>
          <w:szCs w:val="32"/>
          <w:highlight w:val="none"/>
        </w:rPr>
        <w:t>。发现的主要问题及</w:t>
      </w:r>
      <w:r>
        <w:rPr>
          <w:rFonts w:hint="eastAsia" w:ascii="仿宋_GB2312" w:hAnsi="仿宋_GB2312" w:eastAsia="仿宋_GB2312" w:cs="仿宋_GB2312"/>
          <w:sz w:val="32"/>
          <w:szCs w:val="32"/>
        </w:rPr>
        <w:t>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val="en-US" w:eastAsia="zh-CN"/>
        </w:rPr>
        <w:t>农村文化建设资金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17.00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17.00</w:t>
      </w:r>
      <w:r>
        <w:rPr>
          <w:rFonts w:hint="eastAsia" w:ascii="仿宋_GB2312" w:hAnsi="仿宋_GB2312" w:eastAsia="仿宋_GB2312" w:cs="仿宋_GB2312"/>
          <w:sz w:val="32"/>
          <w:szCs w:val="32"/>
        </w:rPr>
        <w:t>万元，完成预算的100%。项目绩效目标完成情况：一是</w:t>
      </w:r>
      <w:r>
        <w:rPr>
          <w:rFonts w:hint="eastAsia" w:ascii="仿宋_GB2312" w:hAnsi="仿宋_GB2312" w:eastAsia="仿宋_GB2312" w:cs="仿宋_GB2312"/>
          <w:sz w:val="32"/>
          <w:szCs w:val="32"/>
          <w:lang w:eastAsia="zh-CN"/>
        </w:rPr>
        <w:t>提高人民群众集体文化水平</w:t>
      </w:r>
      <w:r>
        <w:rPr>
          <w:rFonts w:hint="eastAsia" w:ascii="仿宋_GB2312" w:hAnsi="仿宋_GB2312" w:eastAsia="仿宋_GB2312" w:cs="仿宋_GB2312"/>
          <w:sz w:val="32"/>
          <w:szCs w:val="32"/>
        </w:rPr>
        <w:t>；二是保障了村级</w:t>
      </w:r>
      <w:r>
        <w:rPr>
          <w:rFonts w:hint="eastAsia" w:ascii="仿宋_GB2312" w:hAnsi="仿宋_GB2312" w:eastAsia="仿宋_GB2312" w:cs="仿宋_GB2312"/>
          <w:sz w:val="32"/>
          <w:szCs w:val="32"/>
          <w:lang w:eastAsia="zh-CN"/>
        </w:rPr>
        <w:t>文化</w:t>
      </w:r>
      <w:r>
        <w:rPr>
          <w:rFonts w:hint="eastAsia" w:ascii="仿宋_GB2312" w:hAnsi="仿宋_GB2312" w:eastAsia="仿宋_GB2312" w:cs="仿宋_GB2312"/>
          <w:sz w:val="32"/>
          <w:szCs w:val="32"/>
        </w:rPr>
        <w:t>工作顺利开展。发现的主要问题及原因：无。下一步改进措施：无。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）“基层组织运转经费和党建提升经费”项目自评综述：根据年初设定的绩效目标，“基层组织运转经费和党建提升经费”项目绩效自评得分为100分（绩效自评表附后）。全年预算数为</w:t>
      </w:r>
      <w:r>
        <w:rPr>
          <w:rFonts w:hint="eastAsia" w:ascii="仿宋_GB2312" w:hAnsi="仿宋_GB2312" w:eastAsia="仿宋_GB2312" w:cs="仿宋_GB2312"/>
          <w:sz w:val="32"/>
          <w:szCs w:val="32"/>
          <w:lang w:val="en-US" w:eastAsia="zh-CN"/>
        </w:rPr>
        <w:t>0.63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0.63</w:t>
      </w:r>
      <w:r>
        <w:rPr>
          <w:rFonts w:hint="eastAsia" w:ascii="仿宋_GB2312" w:hAnsi="仿宋_GB2312" w:eastAsia="仿宋_GB2312" w:cs="仿宋_GB2312"/>
          <w:sz w:val="32"/>
          <w:szCs w:val="32"/>
        </w:rPr>
        <w:t>万元，完成预算的100%。项目绩效目标完成情况：一是保障了</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级组织正常运转和党建提升；二是保障了</w:t>
      </w:r>
      <w:r>
        <w:rPr>
          <w:rFonts w:hint="eastAsia" w:ascii="仿宋_GB2312" w:hAnsi="仿宋_GB2312" w:eastAsia="仿宋_GB2312" w:cs="仿宋_GB2312"/>
          <w:sz w:val="32"/>
          <w:szCs w:val="32"/>
          <w:lang w:val="en-US" w:eastAsia="zh-CN"/>
        </w:rPr>
        <w:t>乡</w:t>
      </w:r>
      <w:r>
        <w:rPr>
          <w:rFonts w:hint="eastAsia" w:ascii="仿宋_GB2312" w:hAnsi="仿宋_GB2312" w:eastAsia="仿宋_GB2312" w:cs="仿宋_GB2312"/>
          <w:sz w:val="32"/>
          <w:szCs w:val="32"/>
        </w:rPr>
        <w:t>级工作顺利开展和正常运行。发现的主要问题及原因：无。下一步改进措施：无。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“为服务群众专项、村级办公、党组织活动经费”项目自评综述：根据年初设定的绩效目标， “为服务群众专项、村级办公、党组织活动经费”项目绩效自评得分为100分（绩效自评表附后）。全年预算数为</w:t>
      </w:r>
      <w:r>
        <w:rPr>
          <w:rFonts w:hint="eastAsia" w:ascii="仿宋_GB2312" w:hAnsi="仿宋_GB2312" w:eastAsia="仿宋_GB2312" w:cs="仿宋_GB2312"/>
          <w:sz w:val="32"/>
          <w:szCs w:val="32"/>
          <w:lang w:val="en-US" w:eastAsia="zh-CN"/>
        </w:rPr>
        <w:t>17.63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17.63</w:t>
      </w:r>
      <w:r>
        <w:rPr>
          <w:rFonts w:hint="eastAsia" w:ascii="仿宋_GB2312" w:hAnsi="仿宋_GB2312" w:eastAsia="仿宋_GB2312" w:cs="仿宋_GB2312"/>
          <w:sz w:val="32"/>
          <w:szCs w:val="32"/>
        </w:rPr>
        <w:t>万元，完成预算的100%。项目绩效目标完成情况：一是保障了村级组织正常运转和党建提升；二是保障了村级工作顺利开展和正常运行。发现的主要问题及原因：无。下一步改进措施：无。</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美丽乡村样板村奖补资金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美丽乡村样板村奖补资金</w:t>
      </w:r>
      <w:r>
        <w:rPr>
          <w:rFonts w:hint="eastAsia" w:ascii="仿宋_GB2312" w:hAnsi="仿宋_GB2312" w:eastAsia="仿宋_GB2312" w:cs="仿宋_GB2312"/>
          <w:sz w:val="32"/>
          <w:szCs w:val="32"/>
        </w:rPr>
        <w:t>”项目绩效自评得分为100分（绩效自评表附后）。全年预算数为</w:t>
      </w:r>
      <w:r>
        <w:rPr>
          <w:rFonts w:hint="eastAsia" w:ascii="仿宋_GB2312" w:hAnsi="仿宋_GB2312" w:eastAsia="仿宋_GB2312" w:cs="仿宋_GB2312"/>
          <w:sz w:val="32"/>
          <w:szCs w:val="32"/>
          <w:lang w:val="en-US" w:eastAsia="zh-CN"/>
        </w:rPr>
        <w:t>251.52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251.52</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促进农村经济发展；二是促进农村人居环境的改善。</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2017年</w:t>
      </w:r>
      <w:r>
        <w:rPr>
          <w:rFonts w:hint="eastAsia" w:ascii="仿宋_GB2312" w:hAnsi="仿宋_GB2312" w:eastAsia="仿宋_GB2312" w:cs="仿宋_GB2312"/>
          <w:sz w:val="32"/>
          <w:szCs w:val="32"/>
        </w:rPr>
        <w:t>一事一议</w:t>
      </w:r>
      <w:r>
        <w:rPr>
          <w:rFonts w:hint="eastAsia" w:ascii="仿宋_GB2312" w:hAnsi="仿宋_GB2312" w:eastAsia="仿宋_GB2312" w:cs="仿宋_GB2312"/>
          <w:sz w:val="32"/>
          <w:szCs w:val="32"/>
          <w:lang w:eastAsia="zh-CN"/>
        </w:rPr>
        <w:t>财政奖补</w:t>
      </w:r>
      <w:r>
        <w:rPr>
          <w:rFonts w:hint="eastAsia" w:ascii="仿宋_GB2312" w:hAnsi="仿宋_GB2312" w:eastAsia="仿宋_GB2312" w:cs="仿宋_GB2312"/>
          <w:sz w:val="32"/>
          <w:szCs w:val="32"/>
        </w:rPr>
        <w:t>资金”项目自评综述：根据年初设定的绩效目标，“</w:t>
      </w:r>
      <w:r>
        <w:rPr>
          <w:rFonts w:hint="eastAsia" w:ascii="仿宋_GB2312" w:hAnsi="仿宋_GB2312" w:eastAsia="仿宋_GB2312" w:cs="仿宋_GB2312"/>
          <w:sz w:val="32"/>
          <w:szCs w:val="32"/>
          <w:lang w:val="en-US" w:eastAsia="zh-CN"/>
        </w:rPr>
        <w:t>2017年</w:t>
      </w:r>
      <w:r>
        <w:rPr>
          <w:rFonts w:hint="eastAsia" w:ascii="仿宋_GB2312" w:hAnsi="仿宋_GB2312" w:eastAsia="仿宋_GB2312" w:cs="仿宋_GB2312"/>
          <w:sz w:val="32"/>
          <w:szCs w:val="32"/>
        </w:rPr>
        <w:t>一事一议</w:t>
      </w:r>
      <w:r>
        <w:rPr>
          <w:rFonts w:hint="eastAsia" w:ascii="仿宋_GB2312" w:hAnsi="仿宋_GB2312" w:eastAsia="仿宋_GB2312" w:cs="仿宋_GB2312"/>
          <w:sz w:val="32"/>
          <w:szCs w:val="32"/>
          <w:lang w:eastAsia="zh-CN"/>
        </w:rPr>
        <w:t>财政奖补</w:t>
      </w:r>
      <w:r>
        <w:rPr>
          <w:rFonts w:hint="eastAsia" w:ascii="仿宋_GB2312" w:hAnsi="仿宋_GB2312" w:eastAsia="仿宋_GB2312" w:cs="仿宋_GB2312"/>
          <w:sz w:val="32"/>
          <w:szCs w:val="32"/>
        </w:rPr>
        <w:t>资金”项目绩效自评得分为100分（绩效自评表附后）。全年预算数为</w:t>
      </w:r>
      <w:r>
        <w:rPr>
          <w:rFonts w:hint="eastAsia" w:ascii="仿宋_GB2312" w:hAnsi="仿宋_GB2312" w:eastAsia="仿宋_GB2312" w:cs="仿宋_GB2312"/>
          <w:sz w:val="32"/>
          <w:szCs w:val="32"/>
          <w:lang w:val="en-US" w:eastAsia="zh-CN"/>
        </w:rPr>
        <w:t>5.49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5.49</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完善农村基础设施</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方便村民生活，改善村民生活环境</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中央农村综合改革转移支付</w:t>
      </w:r>
      <w:r>
        <w:rPr>
          <w:rFonts w:hint="eastAsia" w:ascii="仿宋_GB2312" w:hAnsi="仿宋_GB2312" w:eastAsia="仿宋_GB2312" w:cs="仿宋_GB2312"/>
          <w:sz w:val="32"/>
          <w:szCs w:val="32"/>
        </w:rPr>
        <w:t>资金”项目自评综述：根据年初设定的绩效目标，“</w:t>
      </w:r>
      <w:r>
        <w:rPr>
          <w:rFonts w:hint="eastAsia" w:ascii="仿宋_GB2312" w:hAnsi="仿宋_GB2312" w:eastAsia="仿宋_GB2312" w:cs="仿宋_GB2312"/>
          <w:sz w:val="32"/>
          <w:szCs w:val="32"/>
          <w:lang w:eastAsia="zh-CN"/>
        </w:rPr>
        <w:t>中央农村综合改革转移支付</w:t>
      </w:r>
      <w:r>
        <w:rPr>
          <w:rFonts w:hint="eastAsia" w:ascii="仿宋_GB2312" w:hAnsi="仿宋_GB2312" w:eastAsia="仿宋_GB2312" w:cs="仿宋_GB2312"/>
          <w:sz w:val="32"/>
          <w:szCs w:val="32"/>
        </w:rPr>
        <w:t>资金”项目绩效自评得分为100分（绩效自评表附后）。全年预算数为</w:t>
      </w:r>
      <w:r>
        <w:rPr>
          <w:rFonts w:hint="eastAsia" w:ascii="仿宋_GB2312" w:hAnsi="仿宋_GB2312" w:eastAsia="仿宋_GB2312" w:cs="仿宋_GB2312"/>
          <w:sz w:val="32"/>
          <w:szCs w:val="32"/>
          <w:lang w:val="en-US" w:eastAsia="zh-CN"/>
        </w:rPr>
        <w:t>164.46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164.46</w:t>
      </w:r>
      <w:r>
        <w:rPr>
          <w:rFonts w:hint="eastAsia" w:ascii="仿宋_GB2312" w:hAnsi="仿宋_GB2312" w:eastAsia="仿宋_GB2312" w:cs="仿宋_GB2312"/>
          <w:sz w:val="32"/>
          <w:szCs w:val="32"/>
        </w:rPr>
        <w:t>万元，完成预算的100%。项目绩效目标完成情况：</w:t>
      </w:r>
      <w:r>
        <w:rPr>
          <w:rFonts w:hint="eastAsia" w:ascii="仿宋_GB2312" w:hAnsi="仿宋_GB2312" w:eastAsia="仿宋_GB2312" w:cs="仿宋_GB2312"/>
          <w:sz w:val="32"/>
          <w:szCs w:val="32"/>
          <w:highlight w:val="none"/>
        </w:rPr>
        <w:t>一是</w:t>
      </w:r>
      <w:r>
        <w:rPr>
          <w:rFonts w:hint="eastAsia" w:ascii="仿宋_GB2312" w:hAnsi="仿宋_GB2312" w:eastAsia="仿宋_GB2312" w:cs="仿宋_GB2312"/>
          <w:sz w:val="32"/>
          <w:szCs w:val="32"/>
          <w:highlight w:val="none"/>
          <w:lang w:eastAsia="zh-CN"/>
        </w:rPr>
        <w:t>完善农村基础设施</w:t>
      </w:r>
      <w:r>
        <w:rPr>
          <w:rFonts w:hint="eastAsia" w:ascii="仿宋_GB2312" w:hAnsi="仿宋_GB2312" w:eastAsia="仿宋_GB2312" w:cs="仿宋_GB2312"/>
          <w:sz w:val="32"/>
          <w:szCs w:val="32"/>
          <w:highlight w:val="none"/>
        </w:rPr>
        <w:t>；二是</w:t>
      </w:r>
      <w:r>
        <w:rPr>
          <w:rFonts w:hint="eastAsia" w:ascii="仿宋_GB2312" w:hAnsi="仿宋_GB2312" w:eastAsia="仿宋_GB2312" w:cs="仿宋_GB2312"/>
          <w:sz w:val="32"/>
          <w:szCs w:val="32"/>
          <w:highlight w:val="none"/>
          <w:lang w:eastAsia="zh-CN"/>
        </w:rPr>
        <w:t>方便村民生活，改善村民生活环境</w:t>
      </w:r>
      <w:r>
        <w:rPr>
          <w:rFonts w:hint="eastAsia" w:ascii="仿宋_GB2312" w:hAnsi="仿宋_GB2312" w:eastAsia="仿宋_GB2312" w:cs="仿宋_GB2312"/>
          <w:sz w:val="32"/>
          <w:szCs w:val="32"/>
          <w:highlight w:val="none"/>
        </w:rPr>
        <w:t>。发</w:t>
      </w:r>
      <w:r>
        <w:rPr>
          <w:rFonts w:hint="eastAsia" w:ascii="仿宋_GB2312" w:hAnsi="仿宋_GB2312" w:eastAsia="仿宋_GB2312" w:cs="仿宋_GB2312"/>
          <w:sz w:val="32"/>
          <w:szCs w:val="32"/>
        </w:rPr>
        <w:t>现的主要问题及原因：无。下一步改进措施：无。</w:t>
      </w:r>
    </w:p>
    <w:p>
      <w:pPr>
        <w:adjustRightInd w:val="0"/>
        <w:snapToGrid w:val="0"/>
        <w:spacing w:line="580" w:lineRule="exact"/>
        <w:ind w:firstLine="640" w:firstLineChars="200"/>
        <w:rPr>
          <w:rFonts w:hint="default" w:ascii="仿宋_GB2312" w:hAnsi="仿宋_GB2312" w:eastAsia="仿宋_GB2312" w:cs="仿宋_GB2312"/>
          <w:sz w:val="32"/>
          <w:szCs w:val="32"/>
          <w:lang w:val="en-US" w:eastAsia="zh-CN"/>
        </w:rPr>
      </w:pPr>
    </w:p>
    <w:p>
      <w:pPr>
        <w:keepNext/>
        <w:keepLines/>
        <w:snapToGrid w:val="0"/>
        <w:spacing w:line="580" w:lineRule="exact"/>
        <w:ind w:firstLine="640" w:firstLineChars="2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发现的主要问题及原因：无。下一步改进措施：无。</w:t>
      </w:r>
    </w:p>
    <w:p>
      <w:pPr>
        <w:adjustRightInd w:val="0"/>
        <w:snapToGrid w:val="0"/>
        <w:spacing w:line="580" w:lineRule="exact"/>
        <w:ind w:left="1050"/>
        <w:rPr>
          <w:rFonts w:ascii="仿宋_GB2312" w:hAnsi="仿宋_GB2312" w:eastAsia="仿宋_GB2312" w:cs="仿宋_GB2312"/>
          <w:sz w:val="32"/>
          <w:szCs w:val="32"/>
        </w:rPr>
      </w:pPr>
      <w:r>
        <w:rPr>
          <w:rFonts w:hint="eastAsia" w:ascii="仿宋_GB2312" w:hAnsi="仿宋_GB2312" w:eastAsia="仿宋_GB2312" w:cs="仿宋_GB2312"/>
          <w:sz w:val="32"/>
          <w:szCs w:val="32"/>
        </w:rPr>
        <w:t>具体统计表如下：</w:t>
      </w:r>
    </w:p>
    <w:tbl>
      <w:tblPr>
        <w:tblStyle w:val="5"/>
        <w:tblW w:w="9060" w:type="dxa"/>
        <w:tblInd w:w="93" w:type="dxa"/>
        <w:tblLayout w:type="fixed"/>
        <w:tblCellMar>
          <w:top w:w="0" w:type="dxa"/>
          <w:left w:w="108" w:type="dxa"/>
          <w:bottom w:w="0" w:type="dxa"/>
          <w:right w:w="108" w:type="dxa"/>
        </w:tblCellMar>
      </w:tblPr>
      <w:tblGrid>
        <w:gridCol w:w="781"/>
        <w:gridCol w:w="4272"/>
        <w:gridCol w:w="1225"/>
        <w:gridCol w:w="904"/>
        <w:gridCol w:w="1011"/>
        <w:gridCol w:w="867"/>
      </w:tblGrid>
      <w:tr>
        <w:tblPrEx>
          <w:tblCellMar>
            <w:top w:w="0" w:type="dxa"/>
            <w:left w:w="108" w:type="dxa"/>
            <w:bottom w:w="0" w:type="dxa"/>
            <w:right w:w="108" w:type="dxa"/>
          </w:tblCellMar>
        </w:tblPrEx>
        <w:trPr>
          <w:trHeight w:val="645" w:hRule="atLeast"/>
        </w:trPr>
        <w:tc>
          <w:tcPr>
            <w:tcW w:w="781" w:type="dxa"/>
            <w:vMerge w:val="restart"/>
            <w:tcBorders>
              <w:top w:val="single" w:color="auto" w:sz="4" w:space="0"/>
              <w:left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序号</w:t>
            </w:r>
          </w:p>
        </w:tc>
        <w:tc>
          <w:tcPr>
            <w:tcW w:w="427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2782"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81"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42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011"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867"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1</w:t>
            </w:r>
          </w:p>
        </w:tc>
        <w:tc>
          <w:tcPr>
            <w:tcW w:w="4272" w:type="dxa"/>
            <w:tcBorders>
              <w:top w:val="nil"/>
              <w:left w:val="single" w:color="auto" w:sz="4" w:space="0"/>
              <w:bottom w:val="single" w:color="auto" w:sz="4" w:space="0"/>
              <w:right w:val="single" w:color="auto" w:sz="4" w:space="0"/>
            </w:tcBorders>
            <w:vAlign w:val="center"/>
          </w:tcPr>
          <w:p>
            <w:pPr>
              <w:widowControl/>
              <w:jc w:val="left"/>
              <w:rPr>
                <w:rFonts w:hint="eastAsia" w:ascii="宋体" w:hAnsi="宋体" w:eastAsia="宋体" w:cs="Arial"/>
                <w:color w:val="000000"/>
                <w:kern w:val="0"/>
                <w:sz w:val="22"/>
                <w:lang w:eastAsia="zh-CN"/>
              </w:rPr>
            </w:pPr>
            <w:r>
              <w:rPr>
                <w:rFonts w:hint="eastAsia" w:eastAsia="宋体" w:cs="Arial"/>
                <w:color w:val="000000"/>
                <w:sz w:val="22"/>
                <w:lang w:eastAsia="zh-CN"/>
              </w:rPr>
              <w:t>补充工作经费</w:t>
            </w:r>
          </w:p>
        </w:tc>
        <w:tc>
          <w:tcPr>
            <w:tcW w:w="1225" w:type="dxa"/>
            <w:tcBorders>
              <w:top w:val="nil"/>
              <w:left w:val="nil"/>
              <w:bottom w:val="single" w:color="auto" w:sz="4" w:space="0"/>
              <w:right w:val="single" w:color="auto" w:sz="4" w:space="0"/>
            </w:tcBorders>
            <w:vAlign w:val="bottom"/>
          </w:tcPr>
          <w:p>
            <w:pPr>
              <w:widowControl/>
              <w:jc w:val="right"/>
              <w:rPr>
                <w:rFonts w:ascii="Arial" w:hAnsi="Arial" w:eastAsia="宋体" w:cs="Arial"/>
                <w:color w:val="000000"/>
                <w:kern w:val="0"/>
                <w:sz w:val="20"/>
                <w:szCs w:val="20"/>
              </w:rPr>
            </w:pPr>
            <w:r>
              <w:rPr>
                <w:rFonts w:hint="eastAsia" w:ascii="Arial" w:hAnsi="Arial" w:cs="Arial"/>
                <w:color w:val="000000"/>
                <w:sz w:val="20"/>
                <w:szCs w:val="20"/>
                <w:lang w:val="en-US" w:eastAsia="zh-CN"/>
              </w:rPr>
              <w:t>13.00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cs="宋体"/>
                <w:color w:val="000000"/>
                <w:kern w:val="0"/>
                <w:sz w:val="22"/>
              </w:rPr>
              <w:t>2</w:t>
            </w:r>
          </w:p>
        </w:tc>
        <w:tc>
          <w:tcPr>
            <w:tcW w:w="4272" w:type="dxa"/>
            <w:tcBorders>
              <w:top w:val="nil"/>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补充办公经费</w:t>
            </w:r>
          </w:p>
        </w:tc>
        <w:tc>
          <w:tcPr>
            <w:tcW w:w="1225" w:type="dxa"/>
            <w:tcBorders>
              <w:top w:val="nil"/>
              <w:left w:val="nil"/>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7.50</w:t>
            </w:r>
            <w:r>
              <w:rPr>
                <w:rFonts w:ascii="Arial" w:hAnsi="Arial" w:cs="Arial"/>
                <w:color w:val="000000"/>
                <w:sz w:val="20"/>
                <w:szCs w:val="20"/>
              </w:rPr>
              <w:t xml:space="preserve"> </w:t>
            </w:r>
          </w:p>
        </w:tc>
        <w:tc>
          <w:tcPr>
            <w:tcW w:w="904" w:type="dxa"/>
            <w:tcBorders>
              <w:top w:val="nil"/>
              <w:left w:val="nil"/>
              <w:bottom w:val="single" w:color="auto" w:sz="4" w:space="0"/>
              <w:right w:val="single" w:color="auto" w:sz="4" w:space="0"/>
            </w:tcBorders>
            <w:vAlign w:val="center"/>
          </w:tcPr>
          <w:p>
            <w:pPr>
              <w:widowControl/>
              <w:jc w:val="center"/>
              <w:rPr>
                <w:rFonts w:ascii="宋体" w:eastAsia="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81"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3</w:t>
            </w:r>
          </w:p>
        </w:tc>
        <w:tc>
          <w:tcPr>
            <w:tcW w:w="4272" w:type="dxa"/>
            <w:tcBorders>
              <w:top w:val="nil"/>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维稳经费</w:t>
            </w:r>
          </w:p>
        </w:tc>
        <w:tc>
          <w:tcPr>
            <w:tcW w:w="1225" w:type="dxa"/>
            <w:tcBorders>
              <w:top w:val="nil"/>
              <w:left w:val="nil"/>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13.00</w:t>
            </w:r>
          </w:p>
        </w:tc>
        <w:tc>
          <w:tcPr>
            <w:tcW w:w="904"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011"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c>
          <w:tcPr>
            <w:tcW w:w="867"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4</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办公楼防水工程经费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3.00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5</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建设岭西村界河路口限高设施费用</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4.91</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rPr>
              <w:t>河道</w:t>
            </w:r>
            <w:r>
              <w:rPr>
                <w:rFonts w:hint="eastAsia" w:cs="Arial"/>
                <w:color w:val="000000"/>
                <w:sz w:val="22"/>
                <w:lang w:eastAsia="zh-CN"/>
              </w:rPr>
              <w:t>清理</w:t>
            </w:r>
            <w:r>
              <w:rPr>
                <w:rFonts w:hint="eastAsia" w:cs="Arial"/>
                <w:color w:val="000000"/>
                <w:sz w:val="22"/>
              </w:rPr>
              <w:t>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8.00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rPr>
            </w:pPr>
            <w:r>
              <w:rPr>
                <w:rFonts w:hint="eastAsia" w:ascii="宋体" w:hAnsi="宋体" w:cs="宋体"/>
                <w:color w:val="000000"/>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eastAsiaTheme="minorEastAsia"/>
                <w:color w:val="000000"/>
                <w:sz w:val="22"/>
                <w:lang w:val="en-US" w:eastAsia="zh-CN"/>
              </w:rPr>
            </w:pPr>
            <w:r>
              <w:rPr>
                <w:rFonts w:hint="eastAsia" w:cs="Arial"/>
                <w:color w:val="000000"/>
                <w:sz w:val="22"/>
                <w:lang w:val="en-US" w:eastAsia="zh-CN"/>
              </w:rPr>
              <w:t>2020年7-9月份区财政局农村两委干部补贴资金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42.97</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8</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村干部基础职务补贴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131.38</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9</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正常离任村干部生活补贴</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7.50</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ind w:firstLine="440" w:firstLineChars="200"/>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lang w:eastAsia="zh-CN"/>
              </w:rPr>
              <w:t>村干部</w:t>
            </w:r>
            <w:r>
              <w:rPr>
                <w:rFonts w:hint="eastAsia" w:cs="Arial"/>
                <w:color w:val="000000"/>
                <w:sz w:val="22"/>
              </w:rPr>
              <w:t>保险</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6.94</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坨南乡防控经费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10.00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eastAsiaTheme="minorEastAsia"/>
                <w:color w:val="000000"/>
                <w:sz w:val="22"/>
                <w:lang w:val="en-US" w:eastAsia="zh-CN"/>
              </w:rPr>
            </w:pPr>
            <w:r>
              <w:rPr>
                <w:rFonts w:hint="eastAsia" w:cs="Arial"/>
                <w:color w:val="000000"/>
                <w:sz w:val="22"/>
                <w:lang w:eastAsia="zh-CN"/>
              </w:rPr>
              <w:t>农村文化建设资金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ascii="Arial" w:hAnsi="Arial" w:cs="Arial"/>
                <w:color w:val="000000"/>
                <w:sz w:val="20"/>
                <w:szCs w:val="20"/>
              </w:rPr>
            </w:pPr>
            <w:r>
              <w:rPr>
                <w:rFonts w:hint="eastAsia" w:ascii="Arial" w:hAnsi="Arial" w:cs="Arial"/>
                <w:color w:val="000000"/>
                <w:sz w:val="20"/>
                <w:szCs w:val="20"/>
                <w:lang w:val="en-US" w:eastAsia="zh-CN"/>
              </w:rPr>
              <w:t>17.00</w:t>
            </w:r>
            <w:r>
              <w:rPr>
                <w:rFonts w:ascii="Arial" w:hAnsi="Arial" w:cs="Arial"/>
                <w:color w:val="000000"/>
                <w:sz w:val="20"/>
                <w:szCs w:val="20"/>
              </w:rPr>
              <w:t xml:space="preserve"> </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color w:val="000000"/>
                <w:kern w:val="0"/>
                <w:sz w:val="22"/>
                <w:lang w:val="en-US" w:eastAsia="zh-CN"/>
              </w:rPr>
            </w:pPr>
            <w:r>
              <w:rPr>
                <w:rFonts w:hint="eastAsia" w:ascii="宋体" w:hAnsi="宋体" w:cs="宋体"/>
                <w:color w:val="000000"/>
                <w:kern w:val="0"/>
                <w:sz w:val="22"/>
                <w:lang w:val="en-US" w:eastAsia="zh-CN"/>
              </w:rPr>
              <w:t>13</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rPr>
              <w:t>基层组织运转经费和党建提升经费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0.63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rPr>
              <w:t>1</w:t>
            </w:r>
            <w:r>
              <w:rPr>
                <w:rFonts w:hint="eastAsia" w:ascii="宋体" w:hAnsi="宋体" w:cs="宋体"/>
                <w:kern w:val="0"/>
                <w:sz w:val="22"/>
                <w:lang w:val="en-US" w:eastAsia="zh-CN"/>
              </w:rPr>
              <w:t>4</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color w:val="000000"/>
                <w:sz w:val="22"/>
              </w:rPr>
            </w:pPr>
            <w:r>
              <w:rPr>
                <w:rFonts w:hint="eastAsia" w:cs="Arial"/>
                <w:color w:val="000000"/>
                <w:sz w:val="22"/>
              </w:rPr>
              <w:t>为服务群众专项、村级办公、党组织活动经费</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17.63</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r>
              <w:rPr>
                <w:rFonts w:hint="eastAsia" w:ascii="宋体" w:hAnsi="宋体" w:cs="宋体"/>
                <w:kern w:val="0"/>
                <w:sz w:val="22"/>
              </w:rPr>
              <w:t xml:space="preserve">    </w:t>
            </w: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kern w:val="0"/>
                <w:sz w:val="22"/>
                <w:lang w:val="en-US" w:eastAsia="zh-CN"/>
              </w:rPr>
            </w:pPr>
            <w:r>
              <w:rPr>
                <w:rFonts w:hint="eastAsia" w:ascii="宋体" w:hAnsi="宋体" w:cs="宋体"/>
                <w:kern w:val="0"/>
                <w:sz w:val="22"/>
                <w:lang w:val="en-US" w:eastAsia="zh-CN"/>
              </w:rPr>
              <w:t>15</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eastAsia" w:cs="Arial" w:eastAsiaTheme="minorEastAsia"/>
                <w:color w:val="000000"/>
                <w:sz w:val="22"/>
                <w:lang w:eastAsia="zh-CN"/>
              </w:rPr>
            </w:pPr>
            <w:r>
              <w:rPr>
                <w:rFonts w:hint="eastAsia" w:cs="Arial"/>
                <w:color w:val="000000"/>
                <w:sz w:val="22"/>
                <w:lang w:eastAsia="zh-CN"/>
              </w:rPr>
              <w:t>美丽乡村样板村奖补资金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251.52</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rPr>
              <w:t>1</w:t>
            </w:r>
            <w:r>
              <w:rPr>
                <w:rFonts w:hint="eastAsia" w:ascii="宋体" w:hAnsi="宋体" w:cs="宋体"/>
                <w:kern w:val="0"/>
                <w:sz w:val="22"/>
                <w:lang w:val="en-US" w:eastAsia="zh-CN"/>
              </w:rPr>
              <w:t>6</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eastAsiaTheme="minorEastAsia"/>
                <w:color w:val="000000"/>
                <w:sz w:val="22"/>
                <w:lang w:val="en-US" w:eastAsia="zh-CN"/>
              </w:rPr>
            </w:pPr>
            <w:r>
              <w:rPr>
                <w:rFonts w:hint="eastAsia" w:cs="Arial"/>
                <w:color w:val="000000"/>
                <w:sz w:val="22"/>
                <w:lang w:val="en-US" w:eastAsia="zh-CN"/>
              </w:rPr>
              <w:t>2017年一事一议财政奖补资金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eastAsiaTheme="minorEastAsia"/>
                <w:color w:val="000000"/>
                <w:sz w:val="20"/>
                <w:szCs w:val="20"/>
                <w:lang w:val="en-US" w:eastAsia="zh-CN"/>
              </w:rPr>
            </w:pPr>
            <w:r>
              <w:rPr>
                <w:rFonts w:hint="eastAsia" w:ascii="Arial" w:hAnsi="Arial" w:cs="Arial"/>
                <w:color w:val="000000"/>
                <w:sz w:val="20"/>
                <w:szCs w:val="20"/>
                <w:lang w:val="en-US" w:eastAsia="zh-CN"/>
              </w:rPr>
              <w:t>5.49</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8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cs="宋体" w:eastAsiaTheme="minorEastAsia"/>
                <w:kern w:val="0"/>
                <w:sz w:val="22"/>
                <w:lang w:val="en-US" w:eastAsia="zh-CN"/>
              </w:rPr>
            </w:pPr>
            <w:r>
              <w:rPr>
                <w:rFonts w:hint="eastAsia" w:ascii="宋体" w:hAnsi="宋体" w:cs="宋体"/>
                <w:kern w:val="0"/>
                <w:sz w:val="22"/>
                <w:lang w:val="en-US" w:eastAsia="zh-CN"/>
              </w:rPr>
              <w:t>17</w:t>
            </w:r>
          </w:p>
        </w:tc>
        <w:tc>
          <w:tcPr>
            <w:tcW w:w="4272" w:type="dxa"/>
            <w:tcBorders>
              <w:top w:val="single" w:color="auto" w:sz="4" w:space="0"/>
              <w:left w:val="single" w:color="auto" w:sz="4" w:space="0"/>
              <w:bottom w:val="single" w:color="auto" w:sz="4" w:space="0"/>
              <w:right w:val="single" w:color="auto" w:sz="4" w:space="0"/>
            </w:tcBorders>
            <w:vAlign w:val="center"/>
          </w:tcPr>
          <w:p>
            <w:pPr>
              <w:rPr>
                <w:rFonts w:hint="default" w:cs="Arial"/>
                <w:color w:val="000000"/>
                <w:sz w:val="22"/>
                <w:lang w:val="en-US" w:eastAsia="zh-CN"/>
              </w:rPr>
            </w:pPr>
            <w:r>
              <w:rPr>
                <w:rFonts w:hint="eastAsia" w:cs="Arial"/>
                <w:color w:val="000000"/>
                <w:sz w:val="22"/>
                <w:lang w:val="en-US" w:eastAsia="zh-CN"/>
              </w:rPr>
              <w:t>中央农村综合改革转移支付资金</w:t>
            </w:r>
          </w:p>
        </w:tc>
        <w:tc>
          <w:tcPr>
            <w:tcW w:w="1225" w:type="dxa"/>
            <w:tcBorders>
              <w:top w:val="single" w:color="auto" w:sz="4" w:space="0"/>
              <w:left w:val="single" w:color="auto" w:sz="4" w:space="0"/>
              <w:bottom w:val="single" w:color="auto" w:sz="4" w:space="0"/>
              <w:right w:val="single" w:color="auto" w:sz="4" w:space="0"/>
            </w:tcBorders>
            <w:vAlign w:val="bottom"/>
          </w:tcPr>
          <w:p>
            <w:pPr>
              <w:jc w:val="right"/>
              <w:rPr>
                <w:rFonts w:hint="default" w:ascii="Arial" w:hAnsi="Arial" w:cs="Arial"/>
                <w:color w:val="000000"/>
                <w:sz w:val="20"/>
                <w:szCs w:val="20"/>
                <w:lang w:val="en-US" w:eastAsia="zh-CN"/>
              </w:rPr>
            </w:pPr>
            <w:r>
              <w:rPr>
                <w:rFonts w:hint="eastAsia" w:ascii="Arial" w:hAnsi="Arial" w:cs="Arial"/>
                <w:color w:val="000000"/>
                <w:sz w:val="20"/>
                <w:szCs w:val="20"/>
                <w:lang w:val="en-US" w:eastAsia="zh-CN"/>
              </w:rPr>
              <w:t>164.46</w:t>
            </w:r>
          </w:p>
        </w:tc>
        <w:tc>
          <w:tcPr>
            <w:tcW w:w="9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kern w:val="0"/>
                <w:sz w:val="22"/>
              </w:rPr>
            </w:pPr>
          </w:p>
        </w:tc>
        <w:tc>
          <w:tcPr>
            <w:tcW w:w="8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bl>
    <w:p>
      <w:pPr>
        <w:numPr>
          <w:ilvl w:val="0"/>
          <w:numId w:val="0"/>
        </w:numPr>
        <w:adjustRightInd w:val="0"/>
        <w:snapToGrid w:val="0"/>
        <w:spacing w:line="600" w:lineRule="exact"/>
        <w:ind w:leftChars="200"/>
        <w:rPr>
          <w:rFonts w:hint="eastAsia" w:ascii="仿宋_GB2312" w:hAnsi="仿宋_GB2312" w:eastAsia="仿宋_GB2312" w:cs="仿宋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40.28</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12.06</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23.04</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节约开支，厉行节俭</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辆，主要是</w:t>
      </w:r>
      <w:r>
        <w:rPr>
          <w:rFonts w:hint="eastAsia" w:ascii="仿宋_GB2312" w:hAnsi="仿宋_GB2312" w:eastAsia="仿宋_GB2312" w:cs="仿宋_GB2312"/>
          <w:sz w:val="32"/>
          <w:szCs w:val="32"/>
          <w:lang w:val="en-US" w:eastAsia="zh-CN"/>
        </w:rPr>
        <w:t>未发生公务用车购置经费支出</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val="en-US" w:eastAsia="zh-CN"/>
        </w:rPr>
        <w:t>防火及矿山巡查公务车</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未发生单位价值100万元以上专用设备支出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lang w:val="en-US" w:eastAsia="zh-CN"/>
        </w:rPr>
        <w:t>政府性基金及</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rPr>
        <w:t>收支及结转结余情况，故</w:t>
      </w:r>
      <w:r>
        <w:rPr>
          <w:rFonts w:hint="eastAsia" w:ascii="仿宋_GB2312" w:hAnsi="仿宋_GB2312" w:eastAsia="仿宋_GB2312" w:cs="仿宋_GB2312"/>
          <w:sz w:val="32"/>
          <w:szCs w:val="32"/>
          <w:lang w:val="en-US" w:eastAsia="zh-CN"/>
        </w:rPr>
        <w:t>政府性基金及</w:t>
      </w:r>
      <w:r>
        <w:rPr>
          <w:rFonts w:hint="eastAsia" w:ascii="仿宋_GB2312" w:hAnsi="仿宋_GB2312" w:eastAsia="仿宋_GB2312" w:cs="仿宋_GB2312"/>
          <w:sz w:val="32"/>
          <w:szCs w:val="32"/>
        </w:rPr>
        <w:t>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2"/>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8"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2"/>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W w:w="9252" w:type="dxa"/>
        <w:tblInd w:w="0" w:type="dxa"/>
        <w:tblLayout w:type="fixed"/>
        <w:tblCellMar>
          <w:top w:w="15" w:type="dxa"/>
          <w:left w:w="15" w:type="dxa"/>
          <w:bottom w:w="15" w:type="dxa"/>
          <w:right w:w="15" w:type="dxa"/>
        </w:tblCellMar>
      </w:tblPr>
      <w:tblGrid>
        <w:gridCol w:w="2356"/>
        <w:gridCol w:w="353"/>
        <w:gridCol w:w="79"/>
        <w:gridCol w:w="346"/>
        <w:gridCol w:w="1417"/>
        <w:gridCol w:w="2665"/>
        <w:gridCol w:w="432"/>
        <w:gridCol w:w="1604"/>
      </w:tblGrid>
      <w:tr>
        <w:tblPrEx>
          <w:tblCellMar>
            <w:top w:w="15" w:type="dxa"/>
            <w:left w:w="15" w:type="dxa"/>
            <w:bottom w:w="15" w:type="dxa"/>
            <w:right w:w="15" w:type="dxa"/>
          </w:tblCellMar>
        </w:tblPrEx>
        <w:trPr>
          <w:trHeight w:val="227" w:hRule="atLeast"/>
        </w:trPr>
        <w:tc>
          <w:tcPr>
            <w:tcW w:w="9252" w:type="dxa"/>
            <w:gridSpan w:val="8"/>
            <w:tcBorders>
              <w:right w:val="single" w:color="808080" w:sz="4" w:space="0"/>
            </w:tcBorders>
            <w:shd w:val="clear" w:color="auto" w:fill="FFFFFF"/>
            <w:vAlign w:val="center"/>
          </w:tcPr>
          <w:p>
            <w:pPr>
              <w:widowControl/>
              <w:jc w:val="center"/>
              <w:textAlignment w:val="center"/>
              <w:rPr>
                <w:rFonts w:ascii="黑体" w:hAnsi="宋体" w:eastAsia="黑体" w:cs="黑体"/>
                <w:color w:val="000000"/>
                <w:sz w:val="30"/>
                <w:szCs w:val="30"/>
              </w:rPr>
            </w:pPr>
            <w:r>
              <w:rPr>
                <w:rFonts w:hint="eastAsia" w:ascii="黑体" w:hAnsi="宋体" w:eastAsia="黑体" w:cs="黑体"/>
                <w:color w:val="000000"/>
                <w:kern w:val="0"/>
                <w:sz w:val="30"/>
                <w:szCs w:val="30"/>
                <w:lang w:bidi="ar"/>
              </w:rPr>
              <w:t>收入支出决算总表</w:t>
            </w:r>
          </w:p>
        </w:tc>
      </w:tr>
      <w:tr>
        <w:tblPrEx>
          <w:tblCellMar>
            <w:top w:w="15" w:type="dxa"/>
            <w:left w:w="15" w:type="dxa"/>
            <w:bottom w:w="15" w:type="dxa"/>
            <w:right w:w="15" w:type="dxa"/>
          </w:tblCellMar>
        </w:tblPrEx>
        <w:trPr>
          <w:trHeight w:val="227" w:hRule="atLeast"/>
        </w:trPr>
        <w:tc>
          <w:tcPr>
            <w:tcW w:w="2356" w:type="dxa"/>
            <w:shd w:val="clear" w:color="auto" w:fill="FFFFFF"/>
            <w:vAlign w:val="center"/>
          </w:tcPr>
          <w:p>
            <w:pPr>
              <w:jc w:val="left"/>
              <w:rPr>
                <w:rFonts w:ascii="宋体" w:hAnsi="宋体" w:eastAsia="宋体" w:cs="宋体"/>
                <w:color w:val="000000"/>
                <w:sz w:val="18"/>
                <w:szCs w:val="18"/>
              </w:rPr>
            </w:pPr>
          </w:p>
        </w:tc>
        <w:tc>
          <w:tcPr>
            <w:tcW w:w="432" w:type="dxa"/>
            <w:gridSpan w:val="2"/>
            <w:shd w:val="clear" w:color="auto" w:fill="FFFFFF"/>
            <w:vAlign w:val="center"/>
          </w:tcPr>
          <w:p>
            <w:pPr>
              <w:jc w:val="left"/>
              <w:rPr>
                <w:rFonts w:ascii="宋体" w:hAnsi="宋体" w:eastAsia="宋体" w:cs="宋体"/>
                <w:color w:val="000000"/>
                <w:sz w:val="18"/>
                <w:szCs w:val="18"/>
              </w:rPr>
            </w:pPr>
          </w:p>
        </w:tc>
        <w:tc>
          <w:tcPr>
            <w:tcW w:w="1763" w:type="dxa"/>
            <w:gridSpan w:val="2"/>
            <w:shd w:val="clear" w:color="auto" w:fill="FFFFFF"/>
            <w:vAlign w:val="center"/>
          </w:tcPr>
          <w:p>
            <w:pPr>
              <w:jc w:val="left"/>
              <w:rPr>
                <w:rFonts w:ascii="宋体" w:hAnsi="宋体" w:eastAsia="宋体" w:cs="宋体"/>
                <w:color w:val="000000"/>
                <w:sz w:val="18"/>
                <w:szCs w:val="18"/>
              </w:rPr>
            </w:pPr>
          </w:p>
        </w:tc>
        <w:tc>
          <w:tcPr>
            <w:tcW w:w="2665" w:type="dxa"/>
            <w:shd w:val="clear" w:color="auto" w:fill="FFFFFF"/>
            <w:vAlign w:val="center"/>
          </w:tcPr>
          <w:p>
            <w:pPr>
              <w:jc w:val="left"/>
              <w:rPr>
                <w:rFonts w:ascii="宋体" w:hAnsi="宋体" w:eastAsia="宋体" w:cs="宋体"/>
                <w:color w:val="000000"/>
                <w:sz w:val="18"/>
                <w:szCs w:val="18"/>
              </w:rPr>
            </w:pPr>
          </w:p>
        </w:tc>
        <w:tc>
          <w:tcPr>
            <w:tcW w:w="432" w:type="dxa"/>
            <w:shd w:val="clear" w:color="auto" w:fill="FFFFFF"/>
            <w:vAlign w:val="center"/>
          </w:tcPr>
          <w:p>
            <w:pPr>
              <w:jc w:val="left"/>
              <w:rPr>
                <w:rFonts w:ascii="宋体" w:hAnsi="宋体" w:eastAsia="宋体" w:cs="宋体"/>
                <w:color w:val="000000"/>
                <w:sz w:val="18"/>
                <w:szCs w:val="18"/>
              </w:rPr>
            </w:pPr>
          </w:p>
        </w:tc>
        <w:tc>
          <w:tcPr>
            <w:tcW w:w="1604" w:type="dxa"/>
            <w:tcBorders>
              <w:right w:val="single" w:color="808080" w:sz="4" w:space="0"/>
            </w:tcBorders>
            <w:shd w:val="clear" w:color="auto" w:fill="FFFFFF"/>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公开01表</w:t>
            </w:r>
          </w:p>
        </w:tc>
      </w:tr>
      <w:tr>
        <w:tblPrEx>
          <w:tblCellMar>
            <w:top w:w="15" w:type="dxa"/>
            <w:left w:w="15" w:type="dxa"/>
            <w:bottom w:w="15" w:type="dxa"/>
            <w:right w:w="15" w:type="dxa"/>
          </w:tblCellMar>
        </w:tblPrEx>
        <w:trPr>
          <w:trHeight w:val="227" w:hRule="atLeast"/>
        </w:trPr>
        <w:tc>
          <w:tcPr>
            <w:tcW w:w="2356" w:type="dxa"/>
            <w:tcBorders>
              <w:bottom w:val="single" w:color="808080" w:sz="4" w:space="0"/>
            </w:tcBorders>
            <w:shd w:val="clear" w:color="auto" w:fill="FFFFFF"/>
            <w:vAlign w:val="center"/>
          </w:tcPr>
          <w:p>
            <w:pPr>
              <w:widowControl/>
              <w:jc w:val="left"/>
              <w:textAlignment w:val="center"/>
              <w:rPr>
                <w:rFonts w:hint="default" w:ascii="宋体" w:hAnsi="宋体" w:eastAsia="宋体" w:cs="宋体"/>
                <w:color w:val="000000"/>
                <w:sz w:val="22"/>
                <w:szCs w:val="22"/>
                <w:lang w:val="en-US" w:eastAsia="zh-CN"/>
              </w:rPr>
            </w:pPr>
            <w:r>
              <w:rPr>
                <w:rFonts w:hint="eastAsia" w:ascii="宋体" w:hAnsi="宋体" w:eastAsia="宋体" w:cs="宋体"/>
                <w:color w:val="000000"/>
                <w:kern w:val="0"/>
                <w:sz w:val="22"/>
                <w:szCs w:val="22"/>
                <w:lang w:bidi="ar"/>
              </w:rPr>
              <w:t>部门：</w:t>
            </w:r>
            <w:r>
              <w:rPr>
                <w:rFonts w:hint="eastAsia" w:ascii="宋体" w:hAnsi="宋体" w:eastAsia="宋体" w:cs="宋体"/>
                <w:color w:val="000000"/>
                <w:kern w:val="0"/>
                <w:sz w:val="22"/>
                <w:szCs w:val="22"/>
                <w:lang w:val="en-US" w:eastAsia="zh-CN" w:bidi="ar"/>
              </w:rPr>
              <w:t>坨南乡人民政府</w:t>
            </w:r>
          </w:p>
        </w:tc>
        <w:tc>
          <w:tcPr>
            <w:tcW w:w="432" w:type="dxa"/>
            <w:gridSpan w:val="2"/>
            <w:tcBorders>
              <w:bottom w:val="single" w:color="808080" w:sz="4" w:space="0"/>
            </w:tcBorders>
            <w:shd w:val="clear" w:color="auto" w:fill="FFFFFF"/>
            <w:vAlign w:val="center"/>
          </w:tcPr>
          <w:p>
            <w:pPr>
              <w:jc w:val="left"/>
              <w:rPr>
                <w:rFonts w:ascii="宋体" w:hAnsi="宋体" w:eastAsia="宋体" w:cs="宋体"/>
                <w:color w:val="000000"/>
                <w:sz w:val="18"/>
                <w:szCs w:val="18"/>
              </w:rPr>
            </w:pPr>
          </w:p>
        </w:tc>
        <w:tc>
          <w:tcPr>
            <w:tcW w:w="1763" w:type="dxa"/>
            <w:gridSpan w:val="2"/>
            <w:tcBorders>
              <w:bottom w:val="single" w:color="808080" w:sz="4" w:space="0"/>
            </w:tcBorders>
            <w:shd w:val="clear" w:color="auto" w:fill="FFFFFF"/>
            <w:vAlign w:val="center"/>
          </w:tcPr>
          <w:p>
            <w:pPr>
              <w:jc w:val="center"/>
              <w:rPr>
                <w:rFonts w:ascii="宋体" w:hAnsi="宋体" w:eastAsia="宋体" w:cs="宋体"/>
                <w:color w:val="000000"/>
                <w:sz w:val="24"/>
              </w:rPr>
            </w:pPr>
          </w:p>
        </w:tc>
        <w:tc>
          <w:tcPr>
            <w:tcW w:w="2665" w:type="dxa"/>
            <w:tcBorders>
              <w:bottom w:val="single" w:color="808080" w:sz="4" w:space="0"/>
            </w:tcBorders>
            <w:shd w:val="clear" w:color="auto" w:fill="FFFFFF"/>
            <w:vAlign w:val="center"/>
          </w:tcPr>
          <w:p>
            <w:pPr>
              <w:jc w:val="left"/>
              <w:rPr>
                <w:rFonts w:ascii="宋体" w:hAnsi="宋体" w:eastAsia="宋体" w:cs="宋体"/>
                <w:color w:val="000000"/>
                <w:sz w:val="18"/>
                <w:szCs w:val="18"/>
              </w:rPr>
            </w:pPr>
          </w:p>
        </w:tc>
        <w:tc>
          <w:tcPr>
            <w:tcW w:w="432" w:type="dxa"/>
            <w:tcBorders>
              <w:bottom w:val="single" w:color="808080" w:sz="4" w:space="0"/>
            </w:tcBorders>
            <w:shd w:val="clear" w:color="auto" w:fill="FFFFFF"/>
            <w:vAlign w:val="center"/>
          </w:tcPr>
          <w:p>
            <w:pPr>
              <w:jc w:val="left"/>
              <w:rPr>
                <w:rFonts w:ascii="宋体" w:hAnsi="宋体" w:eastAsia="宋体" w:cs="宋体"/>
                <w:color w:val="000000"/>
                <w:sz w:val="18"/>
                <w:szCs w:val="18"/>
              </w:rPr>
            </w:pPr>
          </w:p>
        </w:tc>
        <w:tc>
          <w:tcPr>
            <w:tcW w:w="1604" w:type="dxa"/>
            <w:tcBorders>
              <w:bottom w:val="single" w:color="808080" w:sz="4" w:space="0"/>
              <w:right w:val="single" w:color="808080" w:sz="4" w:space="0"/>
            </w:tcBorders>
            <w:shd w:val="clear" w:color="auto" w:fill="FFFFFF"/>
            <w:vAlign w:val="center"/>
          </w:tcPr>
          <w:p>
            <w:pPr>
              <w:widowControl/>
              <w:jc w:val="righ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金额单位：万元</w:t>
            </w:r>
          </w:p>
        </w:tc>
      </w:tr>
      <w:tr>
        <w:tblPrEx>
          <w:tblCellMar>
            <w:top w:w="15" w:type="dxa"/>
            <w:left w:w="15" w:type="dxa"/>
            <w:bottom w:w="15" w:type="dxa"/>
            <w:right w:w="15" w:type="dxa"/>
          </w:tblCellMar>
        </w:tblPrEx>
        <w:trPr>
          <w:trHeight w:val="284" w:hRule="exact"/>
        </w:trPr>
        <w:tc>
          <w:tcPr>
            <w:tcW w:w="4551" w:type="dxa"/>
            <w:gridSpan w:val="5"/>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收入</w:t>
            </w:r>
          </w:p>
        </w:tc>
        <w:tc>
          <w:tcPr>
            <w:tcW w:w="4701" w:type="dxa"/>
            <w:gridSpan w:val="3"/>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支出</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项目</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行次</w:t>
            </w:r>
          </w:p>
        </w:tc>
        <w:tc>
          <w:tcPr>
            <w:tcW w:w="1417"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金额</w:t>
            </w:r>
          </w:p>
        </w:tc>
        <w:tc>
          <w:tcPr>
            <w:tcW w:w="2665"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项目</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行次</w:t>
            </w:r>
          </w:p>
        </w:tc>
        <w:tc>
          <w:tcPr>
            <w:tcW w:w="1604"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金额</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栏次</w:t>
            </w:r>
          </w:p>
        </w:tc>
        <w:tc>
          <w:tcPr>
            <w:tcW w:w="425" w:type="dxa"/>
            <w:gridSpan w:val="2"/>
            <w:tcBorders>
              <w:bottom w:val="single" w:color="000000" w:sz="4" w:space="0"/>
              <w:right w:val="single" w:color="000000" w:sz="4" w:space="0"/>
            </w:tcBorders>
            <w:shd w:val="clear" w:color="auto" w:fill="FFFFFF"/>
            <w:vAlign w:val="center"/>
          </w:tcPr>
          <w:p>
            <w:pPr>
              <w:jc w:val="center"/>
              <w:rPr>
                <w:rFonts w:ascii="宋体" w:hAnsi="宋体" w:eastAsia="宋体" w:cs="宋体"/>
                <w:color w:val="000000"/>
                <w:sz w:val="15"/>
                <w:szCs w:val="16"/>
              </w:rPr>
            </w:pPr>
          </w:p>
        </w:tc>
        <w:tc>
          <w:tcPr>
            <w:tcW w:w="1417"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w:t>
            </w:r>
          </w:p>
        </w:tc>
        <w:tc>
          <w:tcPr>
            <w:tcW w:w="2665"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栏次</w:t>
            </w:r>
          </w:p>
        </w:tc>
        <w:tc>
          <w:tcPr>
            <w:tcW w:w="432" w:type="dxa"/>
            <w:tcBorders>
              <w:bottom w:val="single" w:color="000000" w:sz="4" w:space="0"/>
              <w:right w:val="single" w:color="000000" w:sz="4" w:space="0"/>
            </w:tcBorders>
            <w:shd w:val="clear" w:color="auto" w:fill="FFFFFF"/>
            <w:vAlign w:val="center"/>
          </w:tcPr>
          <w:p>
            <w:pPr>
              <w:jc w:val="center"/>
              <w:rPr>
                <w:rFonts w:ascii="宋体" w:hAnsi="宋体" w:eastAsia="宋体" w:cs="宋体"/>
                <w:color w:val="000000"/>
                <w:sz w:val="15"/>
                <w:szCs w:val="16"/>
              </w:rPr>
            </w:pPr>
          </w:p>
        </w:tc>
        <w:tc>
          <w:tcPr>
            <w:tcW w:w="1604"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一、一般公共预算财政拨款收入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宋体" w:hAnsi="宋体" w:eastAsia="宋体" w:cs="宋体"/>
                <w:color w:val="000000"/>
                <w:kern w:val="0"/>
                <w:sz w:val="18"/>
                <w:szCs w:val="18"/>
                <w:lang w:val="en-US" w:eastAsia="zh-CN" w:bidi="ar"/>
              </w:rPr>
              <w:t>1225.24</w:t>
            </w: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一、一般公共服务支出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32</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457.42</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二、政府性基金预算财政拨款收入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二、外交支出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33</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三、国有资本经营预算财政拨款收入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三、国防支出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34</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四、上级补助收入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四、公共安全支出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35</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五、事业收入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五、教育支出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36</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六、经营收入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六、科学技术支出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37</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七、附属单位上缴收入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7</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七、文化旅游体育与传媒支出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38</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17.00</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八、其他收入</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8</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八、社会保障和就业支出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39</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64.35</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9</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九、卫生健康支出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40</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23.52</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10</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十、节能环保支出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41</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8.00</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11</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十一、城乡社区支出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42</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12</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十二、农林水支出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43</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633.43</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13</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十三、交通运输支出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44</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14</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十四、资源勘探工业信息等支出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45</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15</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十五、商业服务业等支出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46</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16</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十六、金融支出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47</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17</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十七、援助其他地区支出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48</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18</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十八、自然资源海洋气象等支出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49</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19</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十九、住房保障支出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50</w:t>
            </w:r>
          </w:p>
        </w:tc>
        <w:tc>
          <w:tcPr>
            <w:tcW w:w="1604" w:type="dxa"/>
            <w:tcBorders>
              <w:bottom w:val="single" w:color="000000" w:sz="4" w:space="0"/>
              <w:right w:val="single" w:color="000000" w:sz="4" w:space="0"/>
            </w:tcBorders>
            <w:shd w:val="clear" w:color="auto" w:fill="FFFFFF"/>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lang w:val="en-US" w:eastAsia="zh-CN" w:bidi="ar"/>
              </w:rPr>
              <w:t>21.51</w:t>
            </w:r>
            <w:r>
              <w:rPr>
                <w:rFonts w:hint="eastAsia" w:ascii="宋体" w:hAnsi="宋体" w:eastAsia="宋体" w:cs="宋体"/>
                <w:color w:val="000000"/>
                <w:kern w:val="0"/>
                <w:sz w:val="18"/>
                <w:szCs w:val="18"/>
                <w:lang w:bidi="ar"/>
              </w:rPr>
              <w:t>　</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20</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二十、粮油物资储备支出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51</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21</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二十一、国有资本经营预算支出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52</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22</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二十二、灾害防治及应急管理支出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53</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23</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二十三、其他支出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54</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b/>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24</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二十四、债务还本支出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55</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highlight w:val="none"/>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25</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二十五、债务付息支出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56</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highlight w:val="none"/>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26</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二十六、抗疫特别国债安排的支出</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57</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本年收入合计</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27</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宋体" w:hAnsi="宋体" w:eastAsia="宋体" w:cs="宋体"/>
                <w:color w:val="000000"/>
                <w:kern w:val="0"/>
                <w:sz w:val="18"/>
                <w:szCs w:val="18"/>
                <w:lang w:val="en-US" w:eastAsia="zh-CN" w:bidi="ar"/>
              </w:rPr>
              <w:t>1225.24</w:t>
            </w:r>
          </w:p>
        </w:tc>
        <w:tc>
          <w:tcPr>
            <w:tcW w:w="2665"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本年支出合计</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58</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宋体" w:hAnsi="宋体" w:eastAsia="宋体" w:cs="宋体"/>
                <w:color w:val="000000"/>
                <w:kern w:val="0"/>
                <w:sz w:val="18"/>
                <w:szCs w:val="18"/>
                <w:lang w:val="en-US" w:eastAsia="zh-CN" w:bidi="ar"/>
              </w:rPr>
              <w:t>1225.24</w:t>
            </w: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使用非财政拨款结余</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28</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结余分配</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59</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highlight w:val="none"/>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年初结转和结余</w:t>
            </w: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29</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年末结转和结余</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60</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25" w:type="dxa"/>
            <w:gridSpan w:val="2"/>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30</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p>
        </w:tc>
        <w:tc>
          <w:tcPr>
            <w:tcW w:w="2665" w:type="dxa"/>
            <w:tcBorders>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61</w:t>
            </w:r>
          </w:p>
        </w:tc>
        <w:tc>
          <w:tcPr>
            <w:tcW w:w="1604" w:type="dxa"/>
            <w:tcBorders>
              <w:bottom w:val="single" w:color="000000" w:sz="4" w:space="0"/>
              <w:right w:val="single" w:color="000000" w:sz="4" w:space="0"/>
            </w:tcBorders>
            <w:shd w:val="clear" w:color="auto" w:fill="FFFFFF"/>
            <w:vAlign w:val="center"/>
          </w:tcPr>
          <w:p>
            <w:pPr>
              <w:jc w:val="left"/>
              <w:rPr>
                <w:rFonts w:ascii="宋体" w:hAnsi="宋体" w:eastAsia="宋体" w:cs="宋体"/>
                <w:color w:val="000000"/>
                <w:sz w:val="15"/>
                <w:szCs w:val="16"/>
              </w:rPr>
            </w:pPr>
          </w:p>
        </w:tc>
      </w:tr>
      <w:tr>
        <w:tblPrEx>
          <w:tblCellMar>
            <w:top w:w="15" w:type="dxa"/>
            <w:left w:w="15" w:type="dxa"/>
            <w:bottom w:w="15" w:type="dxa"/>
            <w:right w:w="15" w:type="dxa"/>
          </w:tblCellMar>
        </w:tblPrEx>
        <w:trPr>
          <w:trHeight w:val="284" w:hRule="exact"/>
        </w:trPr>
        <w:tc>
          <w:tcPr>
            <w:tcW w:w="2709" w:type="dxa"/>
            <w:gridSpan w:val="2"/>
            <w:tcBorders>
              <w:left w:val="single" w:color="000000" w:sz="4" w:space="0"/>
              <w:bottom w:val="single" w:color="000000" w:sz="4" w:space="0"/>
              <w:right w:val="single" w:color="000000" w:sz="4" w:space="0"/>
            </w:tcBorders>
            <w:shd w:val="clear" w:color="auto" w:fill="FFFFFF"/>
            <w:vAlign w:val="center"/>
          </w:tcPr>
          <w:p>
            <w:pPr>
              <w:widowControl/>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总计</w:t>
            </w:r>
          </w:p>
        </w:tc>
        <w:tc>
          <w:tcPr>
            <w:tcW w:w="425" w:type="dxa"/>
            <w:gridSpan w:val="2"/>
            <w:tcBorders>
              <w:bottom w:val="single" w:color="000000" w:sz="18"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31</w:t>
            </w:r>
          </w:p>
        </w:tc>
        <w:tc>
          <w:tcPr>
            <w:tcW w:w="1417"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宋体" w:hAnsi="宋体" w:eastAsia="宋体" w:cs="宋体"/>
                <w:color w:val="000000"/>
                <w:kern w:val="0"/>
                <w:sz w:val="18"/>
                <w:szCs w:val="18"/>
                <w:lang w:val="en-US" w:eastAsia="zh-CN" w:bidi="ar"/>
              </w:rPr>
              <w:t>1225.24</w:t>
            </w:r>
          </w:p>
        </w:tc>
        <w:tc>
          <w:tcPr>
            <w:tcW w:w="2665" w:type="dxa"/>
            <w:tcBorders>
              <w:bottom w:val="single" w:color="000000" w:sz="4" w:space="0"/>
              <w:right w:val="single" w:color="000000" w:sz="4" w:space="0"/>
            </w:tcBorders>
            <w:shd w:val="clear" w:color="auto" w:fill="FFFFFF"/>
            <w:vAlign w:val="center"/>
          </w:tcPr>
          <w:p>
            <w:pPr>
              <w:widowControl/>
              <w:textAlignment w:val="center"/>
              <w:rPr>
                <w:rFonts w:ascii="宋体" w:hAnsi="宋体" w:eastAsia="宋体" w:cs="宋体"/>
                <w:b/>
                <w:color w:val="000000"/>
                <w:sz w:val="15"/>
                <w:szCs w:val="16"/>
              </w:rPr>
            </w:pPr>
            <w:r>
              <w:rPr>
                <w:rFonts w:hint="eastAsia" w:ascii="宋体" w:hAnsi="宋体" w:eastAsia="宋体" w:cs="宋体"/>
                <w:b/>
                <w:color w:val="000000"/>
                <w:kern w:val="0"/>
                <w:sz w:val="15"/>
                <w:szCs w:val="16"/>
                <w:lang w:bidi="ar"/>
              </w:rPr>
              <w:t>总计</w:t>
            </w:r>
          </w:p>
        </w:tc>
        <w:tc>
          <w:tcPr>
            <w:tcW w:w="432" w:type="dxa"/>
            <w:tcBorders>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15"/>
                <w:szCs w:val="16"/>
              </w:rPr>
            </w:pPr>
            <w:r>
              <w:rPr>
                <w:rFonts w:hint="eastAsia" w:ascii="宋体" w:hAnsi="宋体" w:eastAsia="宋体" w:cs="宋体"/>
                <w:color w:val="000000"/>
                <w:kern w:val="0"/>
                <w:sz w:val="15"/>
                <w:szCs w:val="16"/>
                <w:lang w:bidi="ar"/>
              </w:rPr>
              <w:t>62</w:t>
            </w:r>
          </w:p>
        </w:tc>
        <w:tc>
          <w:tcPr>
            <w:tcW w:w="1604" w:type="dxa"/>
            <w:tcBorders>
              <w:bottom w:val="single" w:color="000000" w:sz="4" w:space="0"/>
              <w:right w:val="single" w:color="000000" w:sz="4" w:space="0"/>
            </w:tcBorders>
            <w:shd w:val="clear" w:color="auto" w:fill="FFFFFF"/>
            <w:vAlign w:val="center"/>
          </w:tcPr>
          <w:p>
            <w:pPr>
              <w:jc w:val="right"/>
              <w:rPr>
                <w:rFonts w:ascii="宋体" w:hAnsi="宋体" w:eastAsia="宋体" w:cs="宋体"/>
                <w:color w:val="000000"/>
                <w:sz w:val="15"/>
                <w:szCs w:val="16"/>
              </w:rPr>
            </w:pPr>
            <w:r>
              <w:rPr>
                <w:rFonts w:hint="eastAsia" w:ascii="宋体" w:hAnsi="宋体" w:eastAsia="宋体" w:cs="宋体"/>
                <w:color w:val="000000"/>
                <w:kern w:val="0"/>
                <w:sz w:val="18"/>
                <w:szCs w:val="18"/>
                <w:lang w:val="en-US" w:eastAsia="zh-CN" w:bidi="ar"/>
              </w:rPr>
              <w:t>1225.24</w:t>
            </w:r>
          </w:p>
        </w:tc>
      </w:tr>
      <w:tr>
        <w:tblPrEx>
          <w:tblCellMar>
            <w:top w:w="15" w:type="dxa"/>
            <w:left w:w="15" w:type="dxa"/>
            <w:bottom w:w="15" w:type="dxa"/>
            <w:right w:w="15" w:type="dxa"/>
          </w:tblCellMar>
        </w:tblPrEx>
        <w:trPr>
          <w:trHeight w:val="340" w:hRule="exact"/>
        </w:trPr>
        <w:tc>
          <w:tcPr>
            <w:tcW w:w="9252" w:type="dxa"/>
            <w:gridSpan w:val="8"/>
            <w:shd w:val="clear" w:color="auto" w:fill="FFFFFF"/>
            <w:vAlign w:val="center"/>
          </w:tcPr>
          <w:p>
            <w:pPr>
              <w:widowControl/>
              <w:jc w:val="left"/>
              <w:textAlignment w:val="center"/>
              <w:rPr>
                <w:rFonts w:ascii="宋体" w:hAnsi="宋体" w:eastAsia="宋体" w:cs="宋体"/>
                <w:color w:val="000000"/>
                <w:sz w:val="15"/>
                <w:szCs w:val="16"/>
                <w:highlight w:val="none"/>
              </w:rPr>
            </w:pPr>
            <w:r>
              <w:rPr>
                <w:rFonts w:hint="eastAsia" w:ascii="宋体" w:hAnsi="宋体" w:eastAsia="宋体" w:cs="宋体"/>
                <w:color w:val="000000"/>
                <w:kern w:val="0"/>
                <w:sz w:val="15"/>
                <w:szCs w:val="16"/>
                <w:highlight w:val="none"/>
                <w:lang w:bidi="ar"/>
              </w:rPr>
              <w:t>注：本表反映部门（或单位）本年度的总收支和年末结转结余情况。本套报表金额单位转换时可能存在尾数误差。</w:t>
            </w:r>
          </w:p>
        </w:tc>
      </w:tr>
    </w:tbl>
    <w:p>
      <w:pPr>
        <w:spacing w:line="400" w:lineRule="exact"/>
        <w:jc w:val="center"/>
        <w:rPr>
          <w:rFonts w:hint="eastAsia"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9792" w:type="dxa"/>
        <w:jc w:val="center"/>
        <w:tblLayout w:type="fixed"/>
        <w:tblCellMar>
          <w:top w:w="0" w:type="dxa"/>
          <w:left w:w="0" w:type="dxa"/>
          <w:bottom w:w="0" w:type="dxa"/>
          <w:right w:w="0" w:type="dxa"/>
        </w:tblCellMar>
      </w:tblPr>
      <w:tblGrid>
        <w:gridCol w:w="1033"/>
        <w:gridCol w:w="59"/>
        <w:gridCol w:w="59"/>
        <w:gridCol w:w="1822"/>
        <w:gridCol w:w="1350"/>
        <w:gridCol w:w="1350"/>
        <w:gridCol w:w="823"/>
        <w:gridCol w:w="823"/>
        <w:gridCol w:w="823"/>
        <w:gridCol w:w="823"/>
        <w:gridCol w:w="827"/>
      </w:tblGrid>
      <w:tr>
        <w:tblPrEx>
          <w:tblCellMar>
            <w:top w:w="0" w:type="dxa"/>
            <w:left w:w="0" w:type="dxa"/>
            <w:bottom w:w="0" w:type="dxa"/>
            <w:right w:w="0" w:type="dxa"/>
          </w:tblCellMar>
        </w:tblPrEx>
        <w:trPr>
          <w:trHeight w:val="670"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5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1033"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8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2"/>
                <w:szCs w:val="22"/>
                <w:lang w:val="en-US" w:eastAsia="zh-CN" w:bidi="ar"/>
              </w:rPr>
              <w:t>坨南乡人民政府</w:t>
            </w: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297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3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82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82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5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8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8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8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82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297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一般公共服务支出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政府办公厅（室）及相关机构事务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一般行政管理事务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信访事务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2010350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事业运行</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文化旅游体育与传媒支出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文化和旅游</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2070109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群众文化</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社会保障和就业支出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行政事业单位养老支出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事业单位离退休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机关事业单位基本养老保险缴费支出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2080506</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机关事业单位职业年金缴费支出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卫生健康支出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公共卫生</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2100409</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重大公共卫生服务</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行政事业单位医疗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行政单位医疗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2101102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事业单位医疗</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节能环保支出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21104</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自然生态保护</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2110402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农村环境保护</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农林水支出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农业农村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2130122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农业生产发展</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2130142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农村道路建设</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农村综合改革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对村级一事一议的补助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2130705</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对村民委员会和村党支部的补助</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住房保障支出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住房改革支出</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2210201</w:t>
            </w:r>
          </w:p>
        </w:tc>
        <w:tc>
          <w:tcPr>
            <w:tcW w:w="1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 xml:space="preserve">  住房公积金</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3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792"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22"/>
                <w:szCs w:val="22"/>
                <w:lang w:val="en-US" w:eastAsia="zh-CN" w:bidi="ar"/>
              </w:rPr>
              <w:t>坨南乡人民政府</w:t>
            </w: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523.31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701.93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2010350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文化和旅游</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群众文化</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公共卫生</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重大公共卫生服务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节能环保支出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自然生态保护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农村环境保护</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农林水支出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农业农村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2130122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农业生产发展</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2130142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农村道路建设</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农村综合改革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对村级一事一议的补助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对村民委员会和村党支部的补助</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lang w:val="en-US" w:eastAsia="zh-CN" w:bidi="ar"/>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2030"/>
        <w:gridCol w:w="1994"/>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243"/>
              <w:gridCol w:w="435"/>
              <w:gridCol w:w="870"/>
              <w:gridCol w:w="2280"/>
              <w:gridCol w:w="480"/>
              <w:gridCol w:w="945"/>
              <w:gridCol w:w="960"/>
              <w:gridCol w:w="615"/>
              <w:gridCol w:w="668"/>
              <w:gridCol w:w="240"/>
            </w:tblGrid>
            <w:tr>
              <w:tblPrEx>
                <w:tblCellMar>
                  <w:top w:w="0" w:type="dxa"/>
                  <w:left w:w="108" w:type="dxa"/>
                  <w:bottom w:w="0" w:type="dxa"/>
                  <w:right w:w="108" w:type="dxa"/>
                </w:tblCellMar>
              </w:tblPrEx>
              <w:trPr>
                <w:gridAfter w:val="1"/>
                <w:wAfter w:w="240" w:type="dxa"/>
                <w:trHeight w:val="180" w:hRule="atLeast"/>
              </w:trPr>
              <w:tc>
                <w:tcPr>
                  <w:tcW w:w="2243"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3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7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94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43"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40" w:type="dxa"/>
                <w:trHeight w:val="90" w:hRule="atLeast"/>
              </w:trPr>
              <w:tc>
                <w:tcPr>
                  <w:tcW w:w="2243"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r>
                    <w:rPr>
                      <w:rFonts w:hint="eastAsia" w:ascii="宋体" w:hAnsi="宋体" w:eastAsia="宋体" w:cs="宋体"/>
                      <w:color w:val="000000"/>
                      <w:kern w:val="0"/>
                      <w:sz w:val="22"/>
                      <w:szCs w:val="22"/>
                      <w:lang w:val="en-US" w:eastAsia="zh-CN" w:bidi="ar"/>
                    </w:rPr>
                    <w:t>坨南乡人民政府</w:t>
                  </w:r>
                </w:p>
              </w:tc>
              <w:tc>
                <w:tcPr>
                  <w:tcW w:w="43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87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94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96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28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40" w:type="dxa"/>
                <w:trHeight w:val="90" w:hRule="atLeast"/>
              </w:trPr>
              <w:tc>
                <w:tcPr>
                  <w:tcW w:w="35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48"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40" w:type="dxa"/>
                <w:trHeight w:val="312" w:hRule="atLeast"/>
              </w:trPr>
              <w:tc>
                <w:tcPr>
                  <w:tcW w:w="224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3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7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28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8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94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96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61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66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243"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3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7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28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8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94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96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1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6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0"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7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87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457.42</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Times New Roman" w:hAnsi="Times New Roman" w:eastAsia="宋体" w:cs="Times New Roman"/>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457.42</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Arial"/>
                      <w:color w:val="000000"/>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17.00</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17.00</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64.35</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64.35</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23.52</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23.52</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8.00</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8.00</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633.43</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633.43</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21.51</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21.51</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262"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292"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87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9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1,225.24</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3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960"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3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870"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1225.24</w:t>
                  </w:r>
                </w:p>
              </w:tc>
              <w:tc>
                <w:tcPr>
                  <w:tcW w:w="22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945"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1225.24</w:t>
                  </w:r>
                </w:p>
              </w:tc>
              <w:tc>
                <w:tcPr>
                  <w:tcW w:w="960" w:type="dxa"/>
                  <w:tcBorders>
                    <w:top w:val="nil"/>
                    <w:left w:val="nil"/>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1225.24</w:t>
                  </w:r>
                </w:p>
              </w:tc>
              <w:tc>
                <w:tcPr>
                  <w:tcW w:w="6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p>
              </w:tc>
              <w:tc>
                <w:tcPr>
                  <w:tcW w:w="66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96"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40"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96"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0"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0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9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0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22"/>
                <w:szCs w:val="22"/>
                <w:lang w:val="en-US" w:eastAsia="zh-CN" w:bidi="ar"/>
              </w:rPr>
              <w:t>坨南乡人民政府</w:t>
            </w:r>
          </w:p>
        </w:tc>
        <w:tc>
          <w:tcPr>
            <w:tcW w:w="19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33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65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203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99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3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9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03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99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33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33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1,225.24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523.31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i w:val="0"/>
                <w:iCs w:val="0"/>
                <w:color w:val="000000"/>
                <w:kern w:val="0"/>
                <w:sz w:val="18"/>
                <w:szCs w:val="18"/>
                <w:u w:val="none"/>
                <w:lang w:val="en-US" w:eastAsia="zh-CN" w:bidi="ar"/>
              </w:rPr>
              <w:t>701.93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一般公共服务支出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政府办公厅（室）及相关机构事务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457.42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423.92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33.50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201.60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20.50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2010308</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信访事务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2010350</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事业运行</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222.33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文化旅游体育与传媒支出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文化和旅游</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2070109</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群众文化</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64.35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行政单位离退休</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2.72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事业单位离退休</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15.02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2080505</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42.86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2080506</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3.75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卫生健康支出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23.52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公共卫生</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2100409</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重大公共卫生服务</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行政事业单位医疗</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13.52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2101102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节能环保支出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自然生态保护</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2110402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农村环境保护</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农林水支出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633.43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农业农村</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137.70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2130122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农业生产发展</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132.79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2130142</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农村道路建设</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农村综合改革</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495.74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对村级一事一议的补助</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288.69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2130705</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对村民委员会和村党支部的补助</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207.05</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w:t>
            </w:r>
          </w:p>
        </w:tc>
        <w:tc>
          <w:tcPr>
            <w:tcW w:w="20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住房保障支出</w:t>
            </w:r>
          </w:p>
        </w:tc>
        <w:tc>
          <w:tcPr>
            <w:tcW w:w="19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21.51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kern w:val="0"/>
                <w:sz w:val="18"/>
                <w:szCs w:val="18"/>
                <w:lang w:val="en-US" w:eastAsia="zh-CN" w:bidi="ar"/>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r>
              <w:rPr>
                <w:rFonts w:hint="eastAsia" w:ascii="宋体" w:hAnsi="宋体" w:eastAsia="宋体" w:cs="宋体"/>
                <w:color w:val="000000"/>
                <w:kern w:val="0"/>
                <w:sz w:val="22"/>
                <w:szCs w:val="22"/>
                <w:lang w:val="en-US" w:eastAsia="zh-CN" w:bidi="ar"/>
              </w:rPr>
              <w:t>坨南乡人民政府</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441.16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40.28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239.21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3.28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14.64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11.71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14.33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43.96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10.19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13.52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8.96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21.51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78.04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41.86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17.74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6.53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0.82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32"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10.40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hint="default" w:ascii="宋体" w:hAnsi="宋体" w:eastAsia="宋体" w:cs="宋体"/>
                <w:color w:val="000000"/>
                <w:sz w:val="16"/>
                <w:szCs w:val="16"/>
                <w:lang w:val="en-US"/>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16.77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5"/>
                <w:szCs w:val="15"/>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 w:val="15"/>
                <w:szCs w:val="15"/>
                <w:lang w:val="en-US" w:eastAsia="zh-CN"/>
              </w:rPr>
            </w:pPr>
            <w:r>
              <w:rPr>
                <w:rFonts w:hint="eastAsia" w:ascii="宋体" w:hAnsi="宋体" w:eastAsia="宋体" w:cs="宋体"/>
                <w:i w:val="0"/>
                <w:iCs w:val="0"/>
                <w:color w:val="000000"/>
                <w:kern w:val="0"/>
                <w:sz w:val="15"/>
                <w:szCs w:val="15"/>
                <w:u w:val="none"/>
                <w:lang w:val="en-US" w:eastAsia="zh-CN" w:bidi="ar"/>
              </w:rPr>
              <w:t>483.02</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40.28</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22"/>
                <w:szCs w:val="22"/>
                <w:lang w:val="en-US" w:eastAsia="zh-CN" w:bidi="ar"/>
              </w:rPr>
              <w:t>坨南乡人民政府</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7.20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664" w:type="dxa"/>
        <w:jc w:val="center"/>
        <w:tblLayout w:type="fixed"/>
        <w:tblCellMar>
          <w:top w:w="0" w:type="dxa"/>
          <w:left w:w="0" w:type="dxa"/>
          <w:bottom w:w="0" w:type="dxa"/>
          <w:right w:w="0" w:type="dxa"/>
        </w:tblCellMar>
      </w:tblPr>
      <w:tblGrid>
        <w:gridCol w:w="967"/>
        <w:gridCol w:w="61"/>
        <w:gridCol w:w="61"/>
        <w:gridCol w:w="2051"/>
        <w:gridCol w:w="1006"/>
        <w:gridCol w:w="1169"/>
        <w:gridCol w:w="1169"/>
        <w:gridCol w:w="1006"/>
        <w:gridCol w:w="1169"/>
        <w:gridCol w:w="1005"/>
      </w:tblGrid>
      <w:tr>
        <w:tblPrEx>
          <w:tblCellMar>
            <w:top w:w="0" w:type="dxa"/>
            <w:left w:w="0" w:type="dxa"/>
            <w:bottom w:w="0" w:type="dxa"/>
            <w:right w:w="0" w:type="dxa"/>
          </w:tblCellMar>
        </w:tblPrEx>
        <w:trPr>
          <w:trHeight w:val="780" w:hRule="atLeast"/>
          <w:jc w:val="center"/>
        </w:trPr>
        <w:tc>
          <w:tcPr>
            <w:tcW w:w="9664"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0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22"/>
                <w:szCs w:val="22"/>
                <w:lang w:val="en-US" w:eastAsia="zh-CN" w:bidi="ar"/>
              </w:rPr>
              <w:t>坨南乡人民政府</w:t>
            </w: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74"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14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00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34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051"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00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2051"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314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Cs w:val="22"/>
                <w:lang w:val="en-US" w:eastAsia="zh-CN"/>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hint="default" w:ascii="宋体" w:hAnsi="宋体" w:eastAsia="宋体" w:cs="宋体"/>
                <w:color w:val="000000"/>
                <w:szCs w:val="22"/>
                <w:lang w:val="en-US" w:eastAsia="zh-CN"/>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20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ascii="黑体" w:hAnsi="黑体" w:eastAsia="黑体" w:cs="黑体"/>
          <w:b w:val="0"/>
          <w:bCs/>
          <w:sz w:val="20"/>
          <w:szCs w:val="20"/>
          <w:highlight w:val="none"/>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b w:val="0"/>
          <w:bCs/>
          <w:sz w:val="20"/>
          <w:szCs w:val="20"/>
          <w:highlight w:val="none"/>
        </w:rPr>
        <w:t>本部门本年度无相关支出情况，按要求以空表列示。</w:t>
      </w:r>
    </w:p>
    <w:p>
      <w:pPr>
        <w:rPr>
          <w:rFonts w:ascii="黑体" w:hAnsi="黑体" w:eastAsia="黑体" w:cs="黑体"/>
          <w:sz w:val="21"/>
          <w:szCs w:val="21"/>
        </w:rPr>
      </w:pPr>
    </w:p>
    <w:p>
      <w:pPr>
        <w:rPr>
          <w:b/>
          <w:sz w:val="20"/>
          <w:szCs w:val="22"/>
          <w:highlight w:val="yellow"/>
        </w:rPr>
      </w:pPr>
      <w:r>
        <w:rPr>
          <w:b/>
          <w:sz w:val="20"/>
          <w:szCs w:val="22"/>
          <w:highlight w:val="yellow"/>
        </w:rPr>
        <w:br w:type="page"/>
      </w:r>
    </w:p>
    <w:tbl>
      <w:tblPr>
        <w:tblStyle w:val="5"/>
        <w:tblW w:w="9064"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2"/>
                <w:szCs w:val="22"/>
                <w:lang w:val="en-US" w:eastAsia="zh-CN" w:bidi="ar"/>
              </w:rPr>
              <w:t>坨南乡人民政府</w:t>
            </w:r>
            <w:bookmarkStart w:id="0" w:name="_GoBack"/>
            <w:bookmarkEnd w:id="0"/>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b w:val="0"/>
          <w:bCs/>
          <w:sz w:val="20"/>
          <w:szCs w:val="20"/>
          <w:highlight w:val="none"/>
        </w:rPr>
      </w:pPr>
      <w:r>
        <w:rPr>
          <w:rFonts w:hint="eastAsia" w:ascii="宋体" w:hAnsi="宋体" w:eastAsia="宋体" w:cs="宋体"/>
          <w:sz w:val="20"/>
          <w:szCs w:val="20"/>
        </w:rPr>
        <w:t>注：本表反映部门本年度国有资本经营预算财政拨款收入、支出及结转结余情况。</w:t>
      </w:r>
      <w:r>
        <w:rPr>
          <w:rFonts w:hint="eastAsia" w:ascii="宋体" w:hAnsi="宋体" w:eastAsia="宋体" w:cs="宋体"/>
          <w:b w:val="0"/>
          <w:bCs/>
          <w:sz w:val="20"/>
          <w:szCs w:val="20"/>
          <w:highlight w:val="none"/>
        </w:rPr>
        <w:t>本部门本年度无相关支出情况，按要求以空表列示。</w:t>
      </w:r>
    </w:p>
    <w:p>
      <w:pPr>
        <w:rPr>
          <w:rFonts w:ascii="黑体" w:hAnsi="黑体" w:eastAsia="黑体" w:cs="黑体"/>
          <w:sz w:val="21"/>
          <w:szCs w:val="21"/>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723724"/>
    <w:rsid w:val="00801F66"/>
    <w:rsid w:val="009334BF"/>
    <w:rsid w:val="00EE5ABD"/>
    <w:rsid w:val="017C0D98"/>
    <w:rsid w:val="01994291"/>
    <w:rsid w:val="021B0852"/>
    <w:rsid w:val="0265001F"/>
    <w:rsid w:val="030F60F7"/>
    <w:rsid w:val="03997F1A"/>
    <w:rsid w:val="03B76367"/>
    <w:rsid w:val="04A71040"/>
    <w:rsid w:val="04B00853"/>
    <w:rsid w:val="04CF747F"/>
    <w:rsid w:val="058A562E"/>
    <w:rsid w:val="058B71E0"/>
    <w:rsid w:val="059F51F2"/>
    <w:rsid w:val="05D435BA"/>
    <w:rsid w:val="070B6684"/>
    <w:rsid w:val="07C470B3"/>
    <w:rsid w:val="07F74E86"/>
    <w:rsid w:val="09E12740"/>
    <w:rsid w:val="0A7829C1"/>
    <w:rsid w:val="0A945AB2"/>
    <w:rsid w:val="0A997F43"/>
    <w:rsid w:val="0B6B20DA"/>
    <w:rsid w:val="0BA21B55"/>
    <w:rsid w:val="0E170F26"/>
    <w:rsid w:val="0E9A5608"/>
    <w:rsid w:val="0EA325C9"/>
    <w:rsid w:val="0F0135C2"/>
    <w:rsid w:val="101F1823"/>
    <w:rsid w:val="10D0752D"/>
    <w:rsid w:val="11AA090E"/>
    <w:rsid w:val="123F34D2"/>
    <w:rsid w:val="141D2034"/>
    <w:rsid w:val="14BE4DF7"/>
    <w:rsid w:val="15C713CD"/>
    <w:rsid w:val="15D36FCC"/>
    <w:rsid w:val="17B26185"/>
    <w:rsid w:val="182E2E18"/>
    <w:rsid w:val="18AF2810"/>
    <w:rsid w:val="194A47D1"/>
    <w:rsid w:val="19FD7058"/>
    <w:rsid w:val="1B565F4D"/>
    <w:rsid w:val="1DCE65B9"/>
    <w:rsid w:val="1F5166BA"/>
    <w:rsid w:val="20094666"/>
    <w:rsid w:val="21AB2AC8"/>
    <w:rsid w:val="23880D2D"/>
    <w:rsid w:val="23A5691D"/>
    <w:rsid w:val="26691215"/>
    <w:rsid w:val="26735168"/>
    <w:rsid w:val="26883305"/>
    <w:rsid w:val="2820577B"/>
    <w:rsid w:val="28DA5C57"/>
    <w:rsid w:val="298F56E8"/>
    <w:rsid w:val="2A0A209E"/>
    <w:rsid w:val="2B700793"/>
    <w:rsid w:val="2BF44B44"/>
    <w:rsid w:val="2C072756"/>
    <w:rsid w:val="2CAA2BBE"/>
    <w:rsid w:val="2CC90264"/>
    <w:rsid w:val="2CFD3E47"/>
    <w:rsid w:val="2D4946F0"/>
    <w:rsid w:val="2D8C6809"/>
    <w:rsid w:val="2E242C56"/>
    <w:rsid w:val="2E2C6FF5"/>
    <w:rsid w:val="2E40135F"/>
    <w:rsid w:val="2F2A75ED"/>
    <w:rsid w:val="2FB96948"/>
    <w:rsid w:val="2FD56FE1"/>
    <w:rsid w:val="303E5E56"/>
    <w:rsid w:val="31A77CF3"/>
    <w:rsid w:val="3327616A"/>
    <w:rsid w:val="34C45458"/>
    <w:rsid w:val="35312749"/>
    <w:rsid w:val="35C83C42"/>
    <w:rsid w:val="35E93E28"/>
    <w:rsid w:val="37265DA9"/>
    <w:rsid w:val="37A43387"/>
    <w:rsid w:val="37BD32C2"/>
    <w:rsid w:val="386366D2"/>
    <w:rsid w:val="38995613"/>
    <w:rsid w:val="38DC7EC9"/>
    <w:rsid w:val="3A2A2D67"/>
    <w:rsid w:val="3AD51234"/>
    <w:rsid w:val="3BAF3687"/>
    <w:rsid w:val="3E76088C"/>
    <w:rsid w:val="41C07EB9"/>
    <w:rsid w:val="42776C3F"/>
    <w:rsid w:val="429D67FD"/>
    <w:rsid w:val="46660B5F"/>
    <w:rsid w:val="46773257"/>
    <w:rsid w:val="47802247"/>
    <w:rsid w:val="480354EE"/>
    <w:rsid w:val="48660211"/>
    <w:rsid w:val="487F1467"/>
    <w:rsid w:val="489A40A9"/>
    <w:rsid w:val="48DE5BC9"/>
    <w:rsid w:val="49752067"/>
    <w:rsid w:val="4A9C625A"/>
    <w:rsid w:val="4CE53C4F"/>
    <w:rsid w:val="4E864109"/>
    <w:rsid w:val="4F565509"/>
    <w:rsid w:val="4F5B6F38"/>
    <w:rsid w:val="4FA32D1F"/>
    <w:rsid w:val="4FD9015C"/>
    <w:rsid w:val="50DF6229"/>
    <w:rsid w:val="514C4D3F"/>
    <w:rsid w:val="51A603DA"/>
    <w:rsid w:val="52C0027D"/>
    <w:rsid w:val="55863126"/>
    <w:rsid w:val="55E9282D"/>
    <w:rsid w:val="5848430D"/>
    <w:rsid w:val="59233626"/>
    <w:rsid w:val="592A0C3E"/>
    <w:rsid w:val="59444785"/>
    <w:rsid w:val="5B6E6886"/>
    <w:rsid w:val="5C1D5703"/>
    <w:rsid w:val="5C916D48"/>
    <w:rsid w:val="5D0C63C4"/>
    <w:rsid w:val="5DB43166"/>
    <w:rsid w:val="6076207E"/>
    <w:rsid w:val="60841BBD"/>
    <w:rsid w:val="6148064D"/>
    <w:rsid w:val="624F6FBE"/>
    <w:rsid w:val="62667A07"/>
    <w:rsid w:val="65432300"/>
    <w:rsid w:val="65BE3337"/>
    <w:rsid w:val="68536E03"/>
    <w:rsid w:val="68667933"/>
    <w:rsid w:val="6A0322E4"/>
    <w:rsid w:val="6CCC2B31"/>
    <w:rsid w:val="6CCC6BF5"/>
    <w:rsid w:val="6D7D019F"/>
    <w:rsid w:val="6E08552A"/>
    <w:rsid w:val="6E3E32D3"/>
    <w:rsid w:val="6E673927"/>
    <w:rsid w:val="6F7864A0"/>
    <w:rsid w:val="710C77C5"/>
    <w:rsid w:val="72672F6C"/>
    <w:rsid w:val="730050DF"/>
    <w:rsid w:val="73C60EA4"/>
    <w:rsid w:val="73CA109A"/>
    <w:rsid w:val="73D824BD"/>
    <w:rsid w:val="745946AC"/>
    <w:rsid w:val="75A32053"/>
    <w:rsid w:val="76486D9D"/>
    <w:rsid w:val="7A704516"/>
    <w:rsid w:val="7B2E57E1"/>
    <w:rsid w:val="7BD649AE"/>
    <w:rsid w:val="7BDA329F"/>
    <w:rsid w:val="7C442CFF"/>
    <w:rsid w:val="7DFE7E8C"/>
    <w:rsid w:val="7E7C22FD"/>
    <w:rsid w:val="7F604C79"/>
    <w:rsid w:val="7FBF0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bmp"/><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0</TotalTime>
  <ScaleCrop>false</ScaleCrop>
  <LinksUpToDate>false</LinksUpToDate>
  <CharactersWithSpaces>11585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lenovo</cp:lastModifiedBy>
  <cp:lastPrinted>2021-10-08T04:01:00Z</cp:lastPrinted>
  <dcterms:modified xsi:type="dcterms:W3CDTF">2022-09-16T02:28:24Z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0FDD78CA31B242ED84C79236CB070341</vt:lpwstr>
  </property>
</Properties>
</file>