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6432" behindDoc="0" locked="0" layoutInCell="1" allowOverlap="1">
            <wp:simplePos x="0" y="0"/>
            <wp:positionH relativeFrom="column">
              <wp:posOffset>-990600</wp:posOffset>
            </wp:positionH>
            <wp:positionV relativeFrom="paragraph">
              <wp:posOffset>-1412875</wp:posOffset>
            </wp:positionV>
            <wp:extent cx="7670800" cy="10789285"/>
            <wp:effectExtent l="0" t="0" r="10160" b="635"/>
            <wp:wrapNone/>
            <wp:docPr id="12" name="图片 12" descr="微信图片_2022083016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20830161157"/>
                    <pic:cNvPicPr>
                      <a:picLocks noChangeAspect="1"/>
                    </pic:cNvPicPr>
                  </pic:nvPicPr>
                  <pic:blipFill>
                    <a:blip r:embed="rId10"/>
                    <a:stretch>
                      <a:fillRect/>
                    </a:stretch>
                  </pic:blipFill>
                  <pic:spPr>
                    <a:xfrm>
                      <a:off x="0" y="0"/>
                      <a:ext cx="7670800" cy="10789285"/>
                    </a:xfrm>
                    <a:prstGeom prst="rect">
                      <a:avLst/>
                    </a:prstGeom>
                  </pic:spPr>
                </pic:pic>
              </a:graphicData>
            </a:graphic>
          </wp:anchor>
        </w:drawing>
      </w:r>
      <w:r>
        <w:br w:type="page"/>
      </w:r>
    </w:p>
    <w:p>
      <w:pPr>
        <w:rPr>
          <w:rFonts w:hint="eastAsia" w:ascii="黑体" w:hAnsi="黑体" w:eastAsia="黑体" w:cs="黑体"/>
          <w:sz w:val="72"/>
          <w:szCs w:val="96"/>
        </w:rPr>
      </w:pPr>
    </w:p>
    <w:p>
      <w:pPr>
        <w:jc w:val="center"/>
        <w:rPr>
          <w:rFonts w:ascii="黑体" w:hAnsi="黑体" w:eastAsia="黑体" w:cs="黑体"/>
          <w:sz w:val="72"/>
          <w:szCs w:val="96"/>
          <w:highlight w:val="yellow"/>
        </w:rPr>
      </w:pPr>
      <w:r>
        <w:rPr>
          <w:rFonts w:hint="eastAsia" w:ascii="黑体" w:hAnsi="黑体" w:eastAsia="黑体" w:cs="黑体"/>
          <w:sz w:val="72"/>
          <w:szCs w:val="96"/>
          <w:lang w:val="en-US" w:eastAsia="zh-CN"/>
        </w:rPr>
        <w:t>保定市满城区行政审批局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1</w:t>
      </w:r>
      <w:r>
        <w:rPr>
          <w:rFonts w:hint="eastAsia" w:ascii="仿宋_GB2312" w:eastAsia="仿宋_GB2312" w:cs="Arial Black"/>
          <w:kern w:val="0"/>
          <w:sz w:val="32"/>
          <w:szCs w:val="32"/>
        </w:rPr>
        <w:t>）贯彻执行国家、省、市、区“放管服”改革、行政审批制度改革、政务服务管理、公共资源交易、社会信用体系建设有关方针政策和法律法规。制定有关政策，协调指导并监督实施。</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2</w:t>
      </w:r>
      <w:r>
        <w:rPr>
          <w:rFonts w:hint="eastAsia" w:ascii="仿宋_GB2312" w:eastAsia="仿宋_GB2312" w:cs="Arial Black"/>
          <w:kern w:val="0"/>
          <w:sz w:val="32"/>
          <w:szCs w:val="32"/>
        </w:rPr>
        <w:t>）组织协调全区“放管服”改革工作，指导、督促贯彻落实国家、省、市、区关于“放管服”改革重要领域、关键环节重大政策措施，承担区推进政府职能转变和“放管服”改革协调小组的日常工作。</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3</w:t>
      </w:r>
      <w:r>
        <w:rPr>
          <w:rFonts w:hint="eastAsia" w:ascii="仿宋_GB2312" w:eastAsia="仿宋_GB2312" w:cs="Arial Black"/>
          <w:kern w:val="0"/>
          <w:sz w:val="32"/>
          <w:szCs w:val="32"/>
        </w:rPr>
        <w:t>）指导协调全区行政审批制度改革工作。建立健全全区行政审批管理体系；推进简政放权，取消、衔接和下放行政审批服务事项；协调推进行政审批标准化工作；承担区行政审批制度改革工作领导小组的日常工作。</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4</w:t>
      </w:r>
      <w:r>
        <w:rPr>
          <w:rFonts w:hint="eastAsia" w:ascii="仿宋_GB2312" w:eastAsia="仿宋_GB2312" w:cs="Arial Black"/>
          <w:kern w:val="0"/>
          <w:sz w:val="32"/>
          <w:szCs w:val="32"/>
        </w:rPr>
        <w:t>）指导协调全区政务服务管理工作。负责优化政务服务供给，降低制度性交易成本，提升政务服务效能；负责推进审批服务便民化；负责探索建立审批与监管的有效衔接机制；指导协调区有关部门为公民、法人或其他组织提供规范、高效、优质的政务服务。</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5</w:t>
      </w:r>
      <w:r>
        <w:rPr>
          <w:rFonts w:hint="eastAsia" w:ascii="仿宋_GB2312" w:eastAsia="仿宋_GB2312" w:cs="Arial Black"/>
          <w:kern w:val="0"/>
          <w:sz w:val="32"/>
          <w:szCs w:val="32"/>
        </w:rPr>
        <w:t>）负责职责范围内的行政许可事项和相关行政服务事项的办理及相关行政性收费；负责协调和监督管理暂未划转行政审批服务事项和公共服务事项的集中统一办理；推进重点项目审批服务的综合协调和督办；组织相关部门开展审批服务事项的联合办理和联合会办；研究推进并联审批服务工作。</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6</w:t>
      </w:r>
      <w:r>
        <w:rPr>
          <w:rFonts w:hint="eastAsia" w:ascii="仿宋_GB2312" w:eastAsia="仿宋_GB2312" w:cs="Arial Black"/>
          <w:kern w:val="0"/>
          <w:sz w:val="32"/>
          <w:szCs w:val="32"/>
        </w:rPr>
        <w:t>）负责全区公共资源交易工作。负责拟订全区公共资源交易市场管理制度和规则；负责编制全区公共资源交易目录；负责推进公共资源交易电子服务系统建设；负责推进全区公共资源交易领域信用体系建设；指导全区并监督全区公共资源交易项目进场交易；指导全区并负责全区公共资源交易项目场内交易活动的监督工作，将违法违规问题移送有关部门处理；协调开展全区公共资源交易活动的联动执法。</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7</w:t>
      </w:r>
      <w:r>
        <w:rPr>
          <w:rFonts w:hint="eastAsia" w:ascii="仿宋_GB2312" w:eastAsia="仿宋_GB2312" w:cs="Arial Black"/>
          <w:kern w:val="0"/>
          <w:sz w:val="32"/>
          <w:szCs w:val="32"/>
        </w:rPr>
        <w:t>）统筹推进全区“互联网+政务服务”工作，构建全区一体化政务服务平台。推行政务服务事项网上办理，形成管理机构、实体大厅、网上平台“三位一体”的政务服务管理模式；推进全区电子证照库建设；推进全区政务服务平台规范化、标准化、集约化建设和互联互通、数据共享。</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8</w:t>
      </w:r>
      <w:r>
        <w:rPr>
          <w:rFonts w:hint="eastAsia" w:ascii="仿宋_GB2312" w:eastAsia="仿宋_GB2312" w:cs="Arial Black"/>
          <w:kern w:val="0"/>
          <w:sz w:val="32"/>
          <w:szCs w:val="32"/>
        </w:rPr>
        <w:t>）引导和推进全区社会信用体系建设。组织制定发展规划和年度工作要点；推动健全信用法规制度和标准体系；负责全区信用信息数据库、共享平台和网站建设，推动信用信息的汇集、交换、共享和应用；负责守信联合激励和失信联合惩戒制度建设和工作实施，建立诚信综合监督体系；组织开展失信问题专项治理；加强城市信用建设，培育和发展信用服务市场；承担区社会信用体系建设领导小组的日常工作。</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9</w:t>
      </w:r>
      <w:r>
        <w:rPr>
          <w:rFonts w:hint="eastAsia" w:ascii="仿宋_GB2312" w:eastAsia="仿宋_GB2312" w:cs="Arial Black"/>
          <w:kern w:val="0"/>
          <w:sz w:val="32"/>
          <w:szCs w:val="32"/>
        </w:rPr>
        <w:t>）建立健全全区行政审批服务、政务服务效能可量化的考核评价制度；负责进驻公共服务、便民服务、中介服务的规范和管理；负责对进驻部门进行综合考评；负责对行政审批窗口工作人员的日常管理和绩效考核；负责全区政务服务、公共资源交易投诉举报的承办、转办和督办工作；指导监督乡（镇）政务服务中心规范化建设，建立完善县乡两级审批服务联动工作机制。</w:t>
      </w:r>
    </w:p>
    <w:p>
      <w:pPr>
        <w:widowControl/>
        <w:spacing w:line="580" w:lineRule="exact"/>
        <w:ind w:firstLine="640" w:firstLineChars="200"/>
        <w:rPr>
          <w:rFonts w:hint="eastAsia" w:ascii="仿宋_GB2312" w:eastAsia="仿宋_GB2312" w:cs="Arial Black"/>
          <w:kern w:val="0"/>
          <w:sz w:val="32"/>
          <w:szCs w:val="32"/>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10</w:t>
      </w:r>
      <w:r>
        <w:rPr>
          <w:rFonts w:hint="eastAsia" w:ascii="仿宋_GB2312" w:eastAsia="仿宋_GB2312" w:cs="Arial Black"/>
          <w:kern w:val="0"/>
          <w:sz w:val="32"/>
          <w:szCs w:val="32"/>
        </w:rPr>
        <w:t>）加强对行政审批业务的研究与探索，不断优化政务服务管理模式。指导和监督区政务服务中心和公共资源交易中心规范化建设，与区有关部门协调建立审管联动机制。</w:t>
      </w:r>
    </w:p>
    <w:p>
      <w:pPr>
        <w:widowControl/>
        <w:spacing w:line="580" w:lineRule="exact"/>
        <w:ind w:firstLine="640" w:firstLineChars="200"/>
        <w:rPr>
          <w:rFonts w:hint="eastAsia" w:ascii="仿宋_GB2312" w:eastAsia="仿宋_GB2312" w:cs="Arial Black"/>
          <w:kern w:val="0"/>
          <w:sz w:val="32"/>
          <w:szCs w:val="32"/>
          <w:lang w:val="en-US" w:eastAsia="zh-CN"/>
        </w:rPr>
      </w:pPr>
      <w:r>
        <w:rPr>
          <w:rFonts w:hint="eastAsia" w:ascii="仿宋_GB2312" w:eastAsia="仿宋_GB2312" w:cs="Arial Black"/>
          <w:kern w:val="0"/>
          <w:sz w:val="32"/>
          <w:szCs w:val="32"/>
        </w:rPr>
        <w:t>（</w:t>
      </w:r>
      <w:r>
        <w:rPr>
          <w:rFonts w:hint="eastAsia" w:ascii="仿宋_GB2312" w:eastAsia="仿宋_GB2312" w:cs="Arial Black"/>
          <w:kern w:val="0"/>
          <w:sz w:val="32"/>
          <w:szCs w:val="32"/>
          <w:lang w:val="en-US" w:eastAsia="zh-CN"/>
        </w:rPr>
        <w:t>11</w:t>
      </w:r>
      <w:r>
        <w:rPr>
          <w:rFonts w:hint="eastAsia" w:ascii="仿宋_GB2312" w:eastAsia="仿宋_GB2312" w:cs="Arial Black"/>
          <w:kern w:val="0"/>
          <w:sz w:val="32"/>
          <w:szCs w:val="32"/>
        </w:rPr>
        <w:t>）承办区委、区政府交办的其他工作。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Times New Roman" w:hAnsi="Times New Roman" w:eastAsia="黑体" w:cs="Times New Roman"/>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p/>
    <w:tbl>
      <w:tblPr>
        <w:tblStyle w:val="6"/>
        <w:tblW w:w="9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3729"/>
        <w:gridCol w:w="2442"/>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01" w:type="dxa"/>
            <w:vAlign w:val="center"/>
          </w:tcPr>
          <w:p>
            <w:pPr>
              <w:spacing w:line="560" w:lineRule="exact"/>
              <w:jc w:val="center"/>
              <w:rPr>
                <w:rFonts w:ascii="仿宋_GB2312" w:hAnsi="Calibri" w:eastAsia="仿宋_GB2312" w:cs="Arial Black"/>
                <w:b/>
                <w:bCs/>
                <w:kern w:val="0"/>
                <w:sz w:val="28"/>
                <w:szCs w:val="28"/>
                <w:lang w:val="en-US" w:eastAsia="zh-CN" w:bidi="ar-SA"/>
              </w:rPr>
            </w:pPr>
            <w:r>
              <w:rPr>
                <w:rFonts w:hint="eastAsia" w:ascii="仿宋_GB2312" w:hAnsi="Calibri" w:eastAsia="仿宋_GB2312" w:cs="Arial Black"/>
                <w:b/>
                <w:bCs/>
                <w:kern w:val="0"/>
                <w:sz w:val="28"/>
                <w:szCs w:val="28"/>
              </w:rPr>
              <w:t>序号</w:t>
            </w:r>
          </w:p>
        </w:tc>
        <w:tc>
          <w:tcPr>
            <w:tcW w:w="3729" w:type="dxa"/>
            <w:vAlign w:val="center"/>
          </w:tcPr>
          <w:p>
            <w:pPr>
              <w:spacing w:line="560" w:lineRule="exact"/>
              <w:jc w:val="center"/>
              <w:rPr>
                <w:rFonts w:ascii="仿宋_GB2312" w:hAnsi="Calibri" w:eastAsia="仿宋_GB2312" w:cs="Arial Black"/>
                <w:b/>
                <w:bCs/>
                <w:kern w:val="0"/>
                <w:sz w:val="28"/>
                <w:szCs w:val="28"/>
                <w:lang w:val="en-US" w:eastAsia="zh-CN" w:bidi="ar-SA"/>
              </w:rPr>
            </w:pPr>
            <w:r>
              <w:rPr>
                <w:rFonts w:hint="eastAsia" w:ascii="仿宋_GB2312" w:hAnsi="Calibri" w:eastAsia="仿宋_GB2312" w:cs="Arial Black"/>
                <w:b/>
                <w:bCs/>
                <w:kern w:val="0"/>
                <w:sz w:val="28"/>
                <w:szCs w:val="28"/>
              </w:rPr>
              <w:t>单位名称</w:t>
            </w:r>
          </w:p>
        </w:tc>
        <w:tc>
          <w:tcPr>
            <w:tcW w:w="2442" w:type="dxa"/>
            <w:vAlign w:val="center"/>
          </w:tcPr>
          <w:p>
            <w:pPr>
              <w:spacing w:line="560" w:lineRule="exact"/>
              <w:jc w:val="center"/>
              <w:rPr>
                <w:rFonts w:ascii="仿宋_GB2312" w:hAnsi="Calibri" w:eastAsia="仿宋_GB2312" w:cs="Arial Black"/>
                <w:b/>
                <w:bCs/>
                <w:kern w:val="0"/>
                <w:sz w:val="28"/>
                <w:szCs w:val="28"/>
                <w:lang w:val="en-US" w:eastAsia="zh-CN" w:bidi="ar-SA"/>
              </w:rPr>
            </w:pPr>
            <w:r>
              <w:rPr>
                <w:rFonts w:hint="eastAsia" w:ascii="仿宋_GB2312" w:hAnsi="Calibri" w:eastAsia="仿宋_GB2312" w:cs="Arial Black"/>
                <w:b/>
                <w:bCs/>
                <w:kern w:val="0"/>
                <w:sz w:val="28"/>
                <w:szCs w:val="28"/>
              </w:rPr>
              <w:t>单位基本性质</w:t>
            </w:r>
          </w:p>
        </w:tc>
        <w:tc>
          <w:tcPr>
            <w:tcW w:w="2439" w:type="dxa"/>
            <w:vAlign w:val="center"/>
          </w:tcPr>
          <w:p>
            <w:pPr>
              <w:spacing w:line="560" w:lineRule="exact"/>
              <w:jc w:val="center"/>
              <w:rPr>
                <w:rFonts w:ascii="仿宋_GB2312" w:hAnsi="Calibri" w:eastAsia="仿宋_GB2312" w:cs="Arial Black"/>
                <w:b/>
                <w:bCs/>
                <w:kern w:val="0"/>
                <w:sz w:val="28"/>
                <w:szCs w:val="28"/>
                <w:lang w:val="en-US" w:eastAsia="zh-CN" w:bidi="ar-SA"/>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01" w:type="dxa"/>
            <w:vAlign w:val="top"/>
          </w:tcPr>
          <w:p>
            <w:pPr>
              <w:spacing w:line="560" w:lineRule="exact"/>
              <w:jc w:val="center"/>
              <w:rPr>
                <w:rFonts w:ascii="仿宋_GB2312" w:hAnsi="Calibri" w:eastAsia="仿宋_GB2312" w:cs="Arial Black"/>
                <w:kern w:val="0"/>
                <w:sz w:val="28"/>
                <w:szCs w:val="28"/>
                <w:lang w:val="en-US" w:eastAsia="zh-CN" w:bidi="ar-SA"/>
              </w:rPr>
            </w:pPr>
            <w:r>
              <w:rPr>
                <w:rFonts w:hint="eastAsia" w:ascii="仿宋_GB2312" w:hAnsi="Calibri" w:eastAsia="仿宋_GB2312" w:cs="Arial Black"/>
                <w:kern w:val="0"/>
                <w:sz w:val="28"/>
                <w:szCs w:val="28"/>
              </w:rPr>
              <w:t>1</w:t>
            </w:r>
          </w:p>
        </w:tc>
        <w:tc>
          <w:tcPr>
            <w:tcW w:w="3729" w:type="dxa"/>
            <w:vAlign w:val="top"/>
          </w:tcPr>
          <w:p>
            <w:pPr>
              <w:spacing w:line="560" w:lineRule="exact"/>
              <w:rPr>
                <w:rFonts w:hint="default" w:ascii="仿宋_GB2312" w:hAnsi="Calibri" w:eastAsia="仿宋_GB2312" w:cs="Arial Black"/>
                <w:kern w:val="0"/>
                <w:sz w:val="28"/>
                <w:szCs w:val="28"/>
                <w:lang w:val="en-US" w:eastAsia="zh-CN" w:bidi="ar-SA"/>
              </w:rPr>
            </w:pPr>
            <w:r>
              <w:rPr>
                <w:rFonts w:hint="eastAsia" w:ascii="仿宋_GB2312" w:hAnsi="Calibri" w:eastAsia="仿宋_GB2312" w:cs="Arial Black"/>
                <w:kern w:val="0"/>
                <w:sz w:val="28"/>
                <w:szCs w:val="28"/>
                <w:lang w:val="en-US" w:eastAsia="zh-CN" w:bidi="ar-SA"/>
              </w:rPr>
              <w:t>保定市满城区行政审批局</w:t>
            </w:r>
          </w:p>
        </w:tc>
        <w:tc>
          <w:tcPr>
            <w:tcW w:w="2442" w:type="dxa"/>
            <w:vAlign w:val="top"/>
          </w:tcPr>
          <w:p>
            <w:pPr>
              <w:spacing w:line="560" w:lineRule="exact"/>
              <w:jc w:val="center"/>
              <w:rPr>
                <w:rFonts w:hint="default" w:ascii="仿宋_GB2312" w:hAnsi="Calibri" w:eastAsia="仿宋_GB2312" w:cs="Arial Black"/>
                <w:kern w:val="0"/>
                <w:sz w:val="28"/>
                <w:szCs w:val="28"/>
                <w:lang w:val="en-US" w:eastAsia="zh-CN" w:bidi="ar-SA"/>
              </w:rPr>
            </w:pPr>
            <w:r>
              <w:rPr>
                <w:rFonts w:hint="eastAsia" w:ascii="仿宋_GB2312" w:hAnsi="Calibri" w:eastAsia="仿宋_GB2312" w:cs="Arial Black"/>
                <w:kern w:val="0"/>
                <w:sz w:val="28"/>
                <w:szCs w:val="28"/>
                <w:lang w:val="en-US" w:eastAsia="zh-CN"/>
              </w:rPr>
              <w:t>行政单位</w:t>
            </w:r>
          </w:p>
        </w:tc>
        <w:tc>
          <w:tcPr>
            <w:tcW w:w="2439" w:type="dxa"/>
            <w:vAlign w:val="top"/>
          </w:tcPr>
          <w:p>
            <w:pPr>
              <w:spacing w:line="560" w:lineRule="exact"/>
              <w:jc w:val="center"/>
              <w:rPr>
                <w:rFonts w:hint="default" w:ascii="仿宋_GB2312" w:hAnsi="Calibri" w:eastAsia="仿宋_GB2312" w:cs="Arial Black"/>
                <w:kern w:val="0"/>
                <w:sz w:val="28"/>
                <w:szCs w:val="28"/>
                <w:lang w:val="en-US" w:eastAsia="zh-CN" w:bidi="ar-SA"/>
              </w:rPr>
            </w:pPr>
            <w:r>
              <w:rPr>
                <w:rFonts w:hint="eastAsia" w:ascii="仿宋_GB2312" w:hAnsi="Calibri" w:eastAsia="仿宋_GB2312" w:cs="Arial Black"/>
                <w:kern w:val="0"/>
                <w:sz w:val="28"/>
                <w:szCs w:val="28"/>
                <w:lang w:val="en-US" w:eastAsia="zh-CN"/>
              </w:rPr>
              <w:t>财政拨款</w:t>
            </w:r>
          </w:p>
        </w:tc>
      </w:tr>
    </w:tbl>
    <w:p>
      <w:pPr>
        <w:widowControl/>
        <w:spacing w:after="160" w:line="580" w:lineRule="exact"/>
        <w:ind w:firstLine="1440" w:firstLineChars="200"/>
        <w:rPr>
          <w:rFonts w:ascii="Times New Roman" w:hAnsi="Times New Roman" w:eastAsia="黑体" w:cs="Times New Roman"/>
          <w:sz w:val="32"/>
          <w:szCs w:val="32"/>
        </w:rPr>
        <w:sectPr>
          <w:headerReference r:id="rId7"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1"/>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本部门2020年度收、支总计（含结转和结余）</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万元。与2019年度决算相比，收支各增加</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%，主要原因是</w:t>
      </w:r>
      <w:r>
        <w:rPr>
          <w:rFonts w:hint="eastAsia" w:ascii="仿宋_GB2312" w:hAnsi="Times New Roman" w:eastAsia="仿宋_GB2312" w:cs="Wingdings"/>
          <w:sz w:val="32"/>
          <w:szCs w:val="32"/>
          <w:lang w:val="en-US" w:eastAsia="zh-CN"/>
        </w:rPr>
        <w:t>2019年度隶属于满城区人民政府，没有独立财务，2020年设账财务独立</w:t>
      </w:r>
      <w:r>
        <w:rPr>
          <w:rFonts w:hint="eastAsia" w:ascii="仿宋_GB2312" w:hAnsi="Times New Roman" w:eastAsia="仿宋_GB2312" w:cs="Wingdings"/>
          <w:sz w:val="32"/>
          <w:szCs w:val="32"/>
        </w:rPr>
        <w:t>。</w:t>
      </w: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3360"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360" w:firstLineChars="200"/>
        <w:rPr>
          <w:rFonts w:ascii="仿宋_GB2312" w:hAnsi="Times New Roman" w:eastAsia="仿宋_GB2312" w:cs="Wingdings"/>
          <w:sz w:val="18"/>
          <w:szCs w:val="18"/>
        </w:rPr>
      </w:pPr>
    </w:p>
    <w:p>
      <w:pPr>
        <w:adjustRightInd w:val="0"/>
        <w:snapToGrid w:val="0"/>
        <w:spacing w:line="600" w:lineRule="exact"/>
        <w:ind w:firstLine="640" w:firstLineChars="200"/>
        <w:rPr>
          <w:rFonts w:ascii="仿宋_GB2312" w:hAnsi="Times New Roman" w:eastAsia="仿宋_GB2312" w:cs="Wingdings"/>
          <w:sz w:val="32"/>
          <w:szCs w:val="32"/>
        </w:rPr>
      </w:pPr>
      <w:r>
        <w:rPr>
          <w:rFonts w:ascii="仿宋_GB2312" w:hAnsi="Times New Roman" w:eastAsia="仿宋_GB2312" w:cs="Wingdings"/>
          <w:sz w:val="32"/>
          <w:szCs w:val="32"/>
        </w:rPr>
        <w:tab/>
      </w: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420" w:firstLineChars="200"/>
        <w:rPr>
          <w:rFonts w:ascii="仿宋_GB2312" w:hAnsi="Times New Roman" w:eastAsia="仿宋_GB2312" w:cs="Wingdings"/>
          <w:sz w:val="32"/>
          <w:szCs w:val="32"/>
        </w:rPr>
      </w:pPr>
      <w:r>
        <w:drawing>
          <wp:anchor distT="0" distB="0" distL="114300" distR="114300" simplePos="0" relativeHeight="251666432" behindDoc="1" locked="0" layoutInCell="1" allowOverlap="1">
            <wp:simplePos x="0" y="0"/>
            <wp:positionH relativeFrom="column">
              <wp:posOffset>876300</wp:posOffset>
            </wp:positionH>
            <wp:positionV relativeFrom="paragraph">
              <wp:posOffset>817245</wp:posOffset>
            </wp:positionV>
            <wp:extent cx="3691255" cy="2052955"/>
            <wp:effectExtent l="0" t="0" r="4445" b="444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207.04</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61.15</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131.54</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38.85</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%。如图所示：</w:t>
      </w:r>
    </w:p>
    <w:p>
      <w:pPr>
        <w:adjustRightInd w:val="0"/>
        <w:snapToGrid w:val="0"/>
        <w:spacing w:line="600" w:lineRule="exact"/>
        <w:ind w:firstLine="1920" w:firstLineChars="600"/>
        <w:rPr>
          <w:rFonts w:ascii="仿宋_GB2312" w:hAnsi="Times New Roman" w:eastAsia="仿宋_GB2312" w:cs="Wingdings"/>
          <w:sz w:val="32"/>
          <w:szCs w:val="32"/>
        </w:rPr>
      </w:pPr>
      <w:r>
        <w:rPr>
          <w:sz w:val="32"/>
        </w:rPr>
        <mc:AlternateContent>
          <mc:Choice Requires="wps">
            <w:drawing>
              <wp:anchor distT="0" distB="0" distL="114300" distR="114300" simplePos="0" relativeHeight="251659264" behindDoc="1" locked="0" layoutInCell="1" allowOverlap="1">
                <wp:simplePos x="0" y="0"/>
                <wp:positionH relativeFrom="column">
                  <wp:posOffset>1222375</wp:posOffset>
                </wp:positionH>
                <wp:positionV relativeFrom="paragraph">
                  <wp:posOffset>1600200</wp:posOffset>
                </wp:positionV>
                <wp:extent cx="3218180" cy="431165"/>
                <wp:effectExtent l="0" t="0" r="1270" b="6985"/>
                <wp:wrapNone/>
                <wp:docPr id="30" name="文本框 30"/>
                <wp:cNvGraphicFramePr/>
                <a:graphic xmlns:a="http://schemas.openxmlformats.org/drawingml/2006/main">
                  <a:graphicData uri="http://schemas.microsoft.com/office/word/2010/wordprocessingShape">
                    <wps:wsp>
                      <wps:cNvSpPr txBox="1"/>
                      <wps:spPr>
                        <a:xfrm>
                          <a:off x="2298065" y="10035540"/>
                          <a:ext cx="3218180" cy="43116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w:t>
                            </w:r>
                            <w:r>
                              <w:rPr>
                                <w:rFonts w:hint="eastAsia" w:ascii="仿宋_GB2312" w:hAnsi="Times New Roman" w:eastAsia="仿宋_GB2312" w:cs="Wingdings"/>
                                <w:sz w:val="28"/>
                                <w:szCs w:val="28"/>
                                <w:lang w:val="en-US" w:eastAsia="zh-CN"/>
                              </w:rPr>
                              <w:t>2</w:t>
                            </w:r>
                            <w:r>
                              <w:rPr>
                                <w:rFonts w:hint="eastAsia" w:ascii="仿宋_GB2312" w:hAnsi="Times New Roman" w:eastAsia="仿宋_GB2312" w:cs="Wingdings"/>
                                <w:sz w:val="28"/>
                                <w:szCs w:val="28"/>
                              </w:rPr>
                              <w:t>：支出决算构成情况（按支出性质）</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25pt;margin-top:126pt;height:33.95pt;width:253.4pt;z-index:-251657216;mso-width-relative:page;mso-height-relative:page;" fillcolor="#FFFFFF" filled="t" stroked="f" coordsize="21600,21600" o:gfxdata="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94ff01gAAAAsBAAAPAAAAAAAAAAEAIAAAACIAAABkcnMvZG93bnJldi54bWxQSwECFAAUAAAA&#10;CACHTuJAwn5sHWICAACsBAAADgAAAAAAAAABACAAAAAlAQAAZHJzL2Uyb0RvYy54bWxQSwUGAAAA&#10;AAYABgBZAQAA+QU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w:t>
                      </w:r>
                      <w:r>
                        <w:rPr>
                          <w:rFonts w:hint="eastAsia" w:ascii="仿宋_GB2312" w:hAnsi="Times New Roman" w:eastAsia="仿宋_GB2312" w:cs="Wingdings"/>
                          <w:sz w:val="28"/>
                          <w:szCs w:val="28"/>
                          <w:lang w:val="en-US" w:eastAsia="zh-CN"/>
                        </w:rPr>
                        <w:t>2</w:t>
                      </w:r>
                      <w:r>
                        <w:rPr>
                          <w:rFonts w:hint="eastAsia" w:ascii="仿宋_GB2312" w:hAnsi="Times New Roman" w:eastAsia="仿宋_GB2312" w:cs="Wingdings"/>
                          <w:sz w:val="28"/>
                          <w:szCs w:val="28"/>
                        </w:rPr>
                        <w:t>：支出决算构成情况（按支出性质）</w:t>
                      </w:r>
                    </w:p>
                    <w:p>
                      <w:pPr>
                        <w:spacing w:after="160" w:line="480" w:lineRule="auto"/>
                        <w:rPr>
                          <w:rFonts w:ascii="Times New Roman" w:hAnsi="Times New Roman" w:eastAsia="宋体" w:cs="Times New Roman"/>
                          <w:sz w:val="20"/>
                        </w:rPr>
                      </w:pPr>
                    </w:p>
                  </w:txbxContent>
                </v:textbox>
              </v:shape>
            </w:pict>
          </mc:Fallback>
        </mc:AlternateContent>
      </w:r>
    </w:p>
    <w:p>
      <w:pPr>
        <w:keepNext/>
        <w:keepLines/>
        <w:snapToGrid w:val="0"/>
        <w:spacing w:line="600" w:lineRule="exact"/>
        <w:outlineLvl w:val="1"/>
        <w:rPr>
          <w:rFonts w:ascii="黑体" w:hAnsi="Calibri" w:eastAsia="黑体" w:cs="Times New Roman"/>
          <w:b/>
          <w:bC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本部门2020年度财政拨款收支均为一般公共预算财政拨款，其中本年收入</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万元,比2019年度增加</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2019年度隶属于满城区人民政府，没有独立财务，2020年设账财务独立，故收入全部为增加</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val="en-US" w:eastAsia="zh-CN"/>
        </w:rPr>
        <w:t>比2019年度</w:t>
      </w:r>
      <w:r>
        <w:rPr>
          <w:rFonts w:hint="eastAsia" w:ascii="仿宋_GB2312" w:hAnsi="Times New Roman" w:eastAsia="仿宋_GB2312" w:cs="Wingdings"/>
          <w:sz w:val="32"/>
          <w:szCs w:val="32"/>
        </w:rPr>
        <w:t>增加</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2019年度隶属于满城区人民政府，没有独立财务，2020年设账财务独立，故支出全部为增加</w:t>
      </w:r>
      <w:r>
        <w:rPr>
          <w:rFonts w:hint="eastAsia" w:ascii="仿宋_GB2312" w:hAnsi="Times New Roman" w:eastAsia="仿宋_GB2312" w:cs="Wingdings"/>
          <w:sz w:val="32"/>
          <w:szCs w:val="32"/>
        </w:rPr>
        <w:t>。</w:t>
      </w:r>
    </w:p>
    <w:p>
      <w:pPr>
        <w:snapToGrid w:val="0"/>
        <w:spacing w:line="600" w:lineRule="exact"/>
        <w:ind w:firstLine="643" w:firstLineChars="200"/>
        <w:rPr>
          <w:rFonts w:ascii="仿宋_GB2312" w:hAnsi="Times New Roman" w:eastAsia="仿宋_GB2312" w:cs="Mongolian Baiti"/>
          <w:b/>
          <w:bCs/>
          <w:color w:val="auto"/>
          <w:sz w:val="32"/>
          <w:szCs w:val="32"/>
        </w:rPr>
      </w:pPr>
      <w:r>
        <w:rPr>
          <w:rFonts w:hint="eastAsia" w:ascii="楷体_GB2312" w:hAnsi="Times New Roman" w:eastAsia="楷体_GB2312" w:cs="Mongolian Baiti"/>
          <w:b/>
          <w:bCs/>
          <w:color w:val="auto"/>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color w:val="auto"/>
          <w:sz w:val="32"/>
          <w:szCs w:val="32"/>
        </w:rPr>
      </w:pPr>
      <w:r>
        <w:rPr>
          <w:rFonts w:hint="eastAsia" w:ascii="仿宋_GB2312" w:hAnsi="Times New Roman" w:eastAsia="仿宋_GB2312" w:cs="Wingdings"/>
          <w:color w:val="auto"/>
          <w:sz w:val="32"/>
          <w:szCs w:val="32"/>
        </w:rPr>
        <w:t>本部门2020年度一般公共预算财政拨款收入</w:t>
      </w:r>
      <w:r>
        <w:rPr>
          <w:rFonts w:hint="eastAsia" w:ascii="仿宋_GB2312" w:hAnsi="Times New Roman" w:eastAsia="仿宋_GB2312" w:cs="Wingdings"/>
          <w:color w:val="auto"/>
          <w:sz w:val="32"/>
          <w:szCs w:val="32"/>
          <w:lang w:val="en-US" w:eastAsia="zh-CN"/>
        </w:rPr>
        <w:t>338.58</w:t>
      </w:r>
      <w:r>
        <w:rPr>
          <w:rFonts w:hint="eastAsia" w:ascii="仿宋_GB2312" w:hAnsi="Times New Roman" w:eastAsia="仿宋_GB2312" w:cs="Wingdings"/>
          <w:color w:val="auto"/>
          <w:sz w:val="32"/>
          <w:szCs w:val="32"/>
        </w:rPr>
        <w:t>万元，完成年初预算的</w:t>
      </w:r>
      <w:r>
        <w:rPr>
          <w:rFonts w:hint="eastAsia" w:ascii="仿宋_GB2312" w:hAnsi="Times New Roman" w:eastAsia="仿宋_GB2312" w:cs="Wingdings"/>
          <w:color w:val="auto"/>
          <w:sz w:val="32"/>
          <w:szCs w:val="32"/>
          <w:lang w:val="en-US" w:eastAsia="zh-CN"/>
        </w:rPr>
        <w:t>103.02</w:t>
      </w:r>
      <w:r>
        <w:rPr>
          <w:rFonts w:hint="eastAsia" w:ascii="仿宋_GB2312" w:hAnsi="Times New Roman" w:eastAsia="仿宋_GB2312" w:cs="Wingdings"/>
          <w:color w:val="auto"/>
          <w:sz w:val="32"/>
          <w:szCs w:val="32"/>
        </w:rPr>
        <w:t>%,比年初预算增加</w:t>
      </w:r>
      <w:r>
        <w:rPr>
          <w:rFonts w:hint="eastAsia" w:ascii="仿宋_GB2312" w:hAnsi="Times New Roman" w:eastAsia="仿宋_GB2312" w:cs="Wingdings"/>
          <w:color w:val="auto"/>
          <w:sz w:val="32"/>
          <w:szCs w:val="32"/>
          <w:lang w:val="en-US" w:eastAsia="zh-CN"/>
        </w:rPr>
        <w:t>9.91</w:t>
      </w:r>
      <w:r>
        <w:rPr>
          <w:rFonts w:hint="eastAsia" w:ascii="仿宋_GB2312" w:hAnsi="Times New Roman" w:eastAsia="仿宋_GB2312" w:cs="Wingdings"/>
          <w:color w:val="auto"/>
          <w:sz w:val="32"/>
          <w:szCs w:val="32"/>
        </w:rPr>
        <w:t>万元，决算数大于预算数主要原因是</w:t>
      </w:r>
      <w:r>
        <w:rPr>
          <w:rFonts w:hint="eastAsia" w:ascii="仿宋_GB2312" w:hAnsi="Times New Roman" w:eastAsia="仿宋_GB2312" w:cs="Wingdings"/>
          <w:color w:val="auto"/>
          <w:sz w:val="32"/>
          <w:szCs w:val="32"/>
          <w:lang w:val="en-US" w:eastAsia="zh-CN"/>
        </w:rPr>
        <w:t>人员经费增加</w:t>
      </w:r>
      <w:r>
        <w:rPr>
          <w:rFonts w:hint="eastAsia" w:ascii="仿宋_GB2312" w:hAnsi="Times New Roman" w:eastAsia="仿宋_GB2312" w:cs="Wingdings"/>
          <w:color w:val="auto"/>
          <w:sz w:val="32"/>
          <w:szCs w:val="32"/>
        </w:rPr>
        <w:t>；本年支出</w:t>
      </w:r>
      <w:r>
        <w:rPr>
          <w:rFonts w:hint="eastAsia" w:ascii="仿宋_GB2312" w:hAnsi="Times New Roman" w:eastAsia="仿宋_GB2312" w:cs="Wingdings"/>
          <w:color w:val="auto"/>
          <w:sz w:val="32"/>
          <w:szCs w:val="32"/>
          <w:lang w:val="en-US" w:eastAsia="zh-CN"/>
        </w:rPr>
        <w:t>338.58</w:t>
      </w:r>
      <w:r>
        <w:rPr>
          <w:rFonts w:hint="eastAsia" w:ascii="仿宋_GB2312" w:hAnsi="Times New Roman" w:eastAsia="仿宋_GB2312" w:cs="Wingdings"/>
          <w:color w:val="auto"/>
          <w:sz w:val="32"/>
          <w:szCs w:val="32"/>
        </w:rPr>
        <w:t>万元，完成年初预算的</w:t>
      </w:r>
      <w:r>
        <w:rPr>
          <w:rFonts w:hint="eastAsia" w:ascii="仿宋_GB2312" w:hAnsi="Times New Roman" w:eastAsia="仿宋_GB2312" w:cs="Wingdings"/>
          <w:color w:val="auto"/>
          <w:sz w:val="32"/>
          <w:szCs w:val="32"/>
          <w:lang w:val="en-US" w:eastAsia="zh-CN"/>
        </w:rPr>
        <w:t>103.02</w:t>
      </w:r>
      <w:r>
        <w:rPr>
          <w:rFonts w:hint="eastAsia" w:ascii="仿宋_GB2312" w:hAnsi="Times New Roman" w:eastAsia="仿宋_GB2312" w:cs="Wingdings"/>
          <w:color w:val="auto"/>
          <w:sz w:val="32"/>
          <w:szCs w:val="32"/>
        </w:rPr>
        <w:t>%,比年初预算增加</w:t>
      </w:r>
      <w:r>
        <w:rPr>
          <w:rFonts w:hint="eastAsia" w:ascii="仿宋_GB2312" w:hAnsi="Times New Roman" w:eastAsia="仿宋_GB2312" w:cs="Wingdings"/>
          <w:color w:val="auto"/>
          <w:sz w:val="32"/>
          <w:szCs w:val="32"/>
          <w:lang w:val="en-US" w:eastAsia="zh-CN"/>
        </w:rPr>
        <w:t>9.91</w:t>
      </w:r>
      <w:r>
        <w:rPr>
          <w:rFonts w:hint="eastAsia" w:ascii="仿宋_GB2312" w:hAnsi="Times New Roman" w:eastAsia="仿宋_GB2312" w:cs="Wingdings"/>
          <w:color w:val="auto"/>
          <w:sz w:val="32"/>
          <w:szCs w:val="32"/>
        </w:rPr>
        <w:t>万元，决算数大于预算数主要原因主要是</w:t>
      </w:r>
      <w:r>
        <w:rPr>
          <w:rFonts w:hint="eastAsia" w:ascii="仿宋_GB2312" w:hAnsi="Times New Roman" w:eastAsia="仿宋_GB2312" w:cs="Wingdings"/>
          <w:color w:val="auto"/>
          <w:sz w:val="32"/>
          <w:szCs w:val="32"/>
          <w:lang w:val="en-US" w:eastAsia="zh-CN"/>
        </w:rPr>
        <w:t>人员经费增加</w:t>
      </w:r>
      <w:r>
        <w:rPr>
          <w:rFonts w:hint="eastAsia" w:ascii="仿宋_GB2312" w:hAnsi="Times New Roman" w:eastAsia="仿宋_GB2312" w:cs="Wingdings"/>
          <w:color w:val="auto"/>
          <w:sz w:val="32"/>
          <w:szCs w:val="32"/>
        </w:rPr>
        <w:t>。</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338.58</w:t>
      </w:r>
      <w:r>
        <w:rPr>
          <w:rFonts w:hint="eastAsia" w:ascii="仿宋_GB2312" w:hAnsi="Times New Roman" w:eastAsia="仿宋_GB2312" w:cs="Wingdings"/>
          <w:sz w:val="32"/>
          <w:szCs w:val="32"/>
        </w:rPr>
        <w:t>万元，主要用于以下方面：比如：一般公共服务（类）支出</w:t>
      </w:r>
      <w:r>
        <w:rPr>
          <w:rFonts w:hint="eastAsia" w:ascii="仿宋_GB2312" w:hAnsi="Times New Roman" w:eastAsia="仿宋_GB2312" w:cs="Wingdings"/>
          <w:sz w:val="32"/>
          <w:szCs w:val="32"/>
          <w:lang w:val="en-US" w:eastAsia="zh-CN"/>
        </w:rPr>
        <w:t>292.24</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86.31</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26.10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7.71</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val="en-US" w:eastAsia="zh-CN"/>
        </w:rPr>
        <w:t>卫生健康（类）支出8.36万元，占2.47%；</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11.88</w:t>
      </w:r>
      <w:r>
        <w:rPr>
          <w:rFonts w:hint="eastAsia" w:ascii="仿宋_GB2312" w:hAnsi="Times New Roman" w:eastAsia="仿宋_GB2312" w:cs="Wingdings"/>
          <w:sz w:val="32"/>
          <w:szCs w:val="32"/>
        </w:rPr>
        <w:t>万元，</w:t>
      </w:r>
      <w:r>
        <w:drawing>
          <wp:anchor distT="0" distB="0" distL="114300" distR="114300" simplePos="0" relativeHeight="251666432" behindDoc="1" locked="0" layoutInCell="1" allowOverlap="1">
            <wp:simplePos x="0" y="0"/>
            <wp:positionH relativeFrom="column">
              <wp:posOffset>477520</wp:posOffset>
            </wp:positionH>
            <wp:positionV relativeFrom="paragraph">
              <wp:posOffset>286385</wp:posOffset>
            </wp:positionV>
            <wp:extent cx="4809490" cy="2196465"/>
            <wp:effectExtent l="0" t="0" r="10160" b="13335"/>
            <wp:wrapNone/>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_GB2312" w:hAnsi="Times New Roman" w:eastAsia="仿宋_GB2312" w:cs="Wingdings"/>
          <w:sz w:val="32"/>
          <w:szCs w:val="32"/>
        </w:rPr>
        <w:t xml:space="preserve">占 </w:t>
      </w:r>
      <w:r>
        <w:rPr>
          <w:rFonts w:hint="eastAsia" w:ascii="仿宋_GB2312" w:hAnsi="Times New Roman" w:eastAsia="仿宋_GB2312" w:cs="Wingdings"/>
          <w:sz w:val="32"/>
          <w:szCs w:val="32"/>
          <w:lang w:val="en-US" w:eastAsia="zh-CN"/>
        </w:rPr>
        <w:t>3.51</w:t>
      </w:r>
      <w:r>
        <w:rPr>
          <w:rFonts w:hint="eastAsia" w:ascii="仿宋_GB2312" w:hAnsi="Times New Roman" w:eastAsia="仿宋_GB2312" w:cs="Wingdings"/>
          <w:sz w:val="32"/>
          <w:szCs w:val="32"/>
        </w:rPr>
        <w:t>%。</w: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rPr>
          <w:rFonts w:ascii="楷体_GB2312" w:hAnsi="Times New Roman" w:eastAsia="楷体_GB2312" w:cs="Mongolian Baiti"/>
          <w:b/>
          <w:bCs/>
          <w:sz w:val="32"/>
          <w:szCs w:val="32"/>
        </w:rPr>
      </w:pPr>
      <w:r>
        <w:rPr>
          <w:sz w:val="32"/>
        </w:rPr>
        <mc:AlternateContent>
          <mc:Choice Requires="wps">
            <w:drawing>
              <wp:anchor distT="0" distB="0" distL="114300" distR="114300" simplePos="0" relativeHeight="251660288" behindDoc="1" locked="0" layoutInCell="1" allowOverlap="1">
                <wp:simplePos x="0" y="0"/>
                <wp:positionH relativeFrom="column">
                  <wp:posOffset>981075</wp:posOffset>
                </wp:positionH>
                <wp:positionV relativeFrom="paragraph">
                  <wp:posOffset>123190</wp:posOffset>
                </wp:positionV>
                <wp:extent cx="3576320" cy="391795"/>
                <wp:effectExtent l="0" t="0" r="5080" b="8255"/>
                <wp:wrapNone/>
                <wp:docPr id="164" name="文本框 32"/>
                <wp:cNvGraphicFramePr/>
                <a:graphic xmlns:a="http://schemas.openxmlformats.org/drawingml/2006/main">
                  <a:graphicData uri="http://schemas.microsoft.com/office/word/2010/wordprocessingShape">
                    <wps:wsp>
                      <wps:cNvSpPr txBox="1"/>
                      <wps:spPr>
                        <a:xfrm>
                          <a:off x="1953260" y="4122420"/>
                          <a:ext cx="3576320" cy="39179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w:t>
                            </w:r>
                            <w:r>
                              <w:rPr>
                                <w:rFonts w:hint="eastAsia" w:ascii="仿宋_GB2312" w:hAnsi="Times New Roman" w:eastAsia="仿宋_GB2312" w:cs="Wingdings"/>
                                <w:sz w:val="28"/>
                                <w:szCs w:val="28"/>
                                <w:lang w:val="en-US" w:eastAsia="zh-CN"/>
                              </w:rPr>
                              <w:t>3</w:t>
                            </w:r>
                            <w:r>
                              <w:rPr>
                                <w:rFonts w:hint="eastAsia" w:ascii="仿宋_GB2312" w:hAnsi="Times New Roman" w:eastAsia="仿宋_GB2312" w:cs="Wingdings"/>
                                <w:sz w:val="28"/>
                                <w:szCs w:val="28"/>
                              </w:rPr>
                              <w:t>：财政拨款支出决算结构（按功能分类）</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26" o:spt="202" type="#_x0000_t202" style="position:absolute;left:0pt;margin-left:77.25pt;margin-top:9.7pt;height:30.85pt;width:281.6pt;z-index:-251656192;mso-width-relative:page;mso-height-relative:page;" fillcolor="#FFFFFF" filled="t" stroked="f" coordsize="21600,21600" o:gfxdata="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5/MNQAAAAJAQAADwAAAAAAAAABACAAAAAiAAAAZHJzL2Rvd25yZXYueG1sUEsBAhQAFAAAAAgA&#10;h07iQC87PzdiAgAArAQAAA4AAAAAAAAAAQAgAAAAIwEAAGRycy9lMm9Eb2MueG1sUEsFBgAAAAAG&#10;AAYAWQEAAPcFA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w:t>
                      </w:r>
                      <w:r>
                        <w:rPr>
                          <w:rFonts w:hint="eastAsia" w:ascii="仿宋_GB2312" w:hAnsi="Times New Roman" w:eastAsia="仿宋_GB2312" w:cs="Wingdings"/>
                          <w:sz w:val="28"/>
                          <w:szCs w:val="28"/>
                          <w:lang w:val="en-US" w:eastAsia="zh-CN"/>
                        </w:rPr>
                        <w:t>3</w:t>
                      </w:r>
                      <w:r>
                        <w:rPr>
                          <w:rFonts w:hint="eastAsia" w:ascii="仿宋_GB2312" w:hAnsi="Times New Roman" w:eastAsia="仿宋_GB2312" w:cs="Wingdings"/>
                          <w:sz w:val="28"/>
                          <w:szCs w:val="28"/>
                        </w:rPr>
                        <w:t>：财政拨款支出决算结构（按功能分类）</w:t>
                      </w:r>
                    </w:p>
                    <w:p>
                      <w:pPr>
                        <w:spacing w:after="160" w:line="480" w:lineRule="auto"/>
                        <w:rPr>
                          <w:rFonts w:ascii="Times New Roman" w:hAnsi="Times New Roman" w:eastAsia="宋体" w:cs="Times New Roman"/>
                          <w:sz w:val="20"/>
                        </w:rPr>
                      </w:pPr>
                    </w:p>
                  </w:txbxContent>
                </v:textbox>
              </v:shape>
            </w:pict>
          </mc:Fallback>
        </mc:AlternateContent>
      </w:r>
    </w:p>
    <w:p>
      <w:pPr>
        <w:adjustRightInd w:val="0"/>
        <w:snapToGrid w:val="0"/>
        <w:spacing w:line="600" w:lineRule="exact"/>
        <w:rPr>
          <w:rFonts w:ascii="楷体_GB2312" w:hAnsi="Times New Roman" w:eastAsia="楷体_GB2312" w:cs="Mongolian Baiti"/>
          <w:b/>
          <w:bCs/>
          <w:sz w:val="32"/>
          <w:szCs w:val="32"/>
        </w:rPr>
      </w:pP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207.04</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192.45</w:t>
      </w:r>
      <w:r>
        <w:rPr>
          <w:rFonts w:hint="eastAsia" w:ascii="仿宋_GB2312" w:hAnsi="Times New Roman" w:eastAsia="仿宋_GB2312" w:cs="Wingdings"/>
          <w:sz w:val="32"/>
          <w:szCs w:val="32"/>
        </w:rPr>
        <w:t xml:space="preserve">万元，主要包括基本工资、津贴补贴、奖金、绩效工资、机关事业单位基本养老保险缴费、职业年金缴费、职工基本医疗保险缴费、住房公积金、其他工资福利支出、奖励金；公用经费 </w:t>
      </w:r>
      <w:r>
        <w:rPr>
          <w:rFonts w:hint="eastAsia" w:ascii="仿宋_GB2312" w:hAnsi="Times New Roman" w:eastAsia="仿宋_GB2312" w:cs="Wingdings"/>
          <w:sz w:val="32"/>
          <w:szCs w:val="32"/>
          <w:lang w:val="en-US" w:eastAsia="zh-CN"/>
        </w:rPr>
        <w:t>14.59</w:t>
      </w:r>
      <w:r>
        <w:rPr>
          <w:rFonts w:hint="eastAsia" w:ascii="仿宋_GB2312" w:hAnsi="Times New Roman" w:eastAsia="仿宋_GB2312" w:cs="Wingdings"/>
          <w:sz w:val="32"/>
          <w:szCs w:val="32"/>
        </w:rPr>
        <w:t>万元，主要包括办公费、取暖费、公务用车运行维护费、其他交通费用。</w:t>
      </w:r>
    </w:p>
    <w:p>
      <w:pPr>
        <w:keepNext/>
        <w:keepLines/>
        <w:snapToGrid w:val="0"/>
        <w:spacing w:line="600" w:lineRule="exact"/>
        <w:ind w:firstLine="640" w:firstLineChars="200"/>
        <w:outlineLvl w:val="1"/>
        <w:rPr>
          <w:rFonts w:ascii="仿宋_GB2312" w:hAnsi="Times New Roman" w:eastAsia="仿宋_GB2312" w:cs="Wingdings"/>
          <w:sz w:val="32"/>
          <w:szCs w:val="32"/>
          <w:highlight w:val="yellow"/>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2.92</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1.34万</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45.89</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1.58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54.11</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因为履行八项规定，节约开支</w:t>
      </w:r>
      <w:r>
        <w:rPr>
          <w:rFonts w:hint="eastAsia" w:ascii="仿宋_GB2312" w:hAnsi="Times New Roman" w:eastAsia="仿宋_GB2312" w:cs="Wingdings"/>
          <w:sz w:val="32"/>
          <w:szCs w:val="32"/>
        </w:rPr>
        <w:t>；较2019年度增加</w:t>
      </w:r>
      <w:r>
        <w:rPr>
          <w:rFonts w:hint="eastAsia" w:ascii="仿宋_GB2312" w:hAnsi="Times New Roman" w:eastAsia="仿宋_GB2312" w:cs="Wingdings"/>
          <w:sz w:val="32"/>
          <w:szCs w:val="32"/>
          <w:lang w:val="en-US" w:eastAsia="zh-CN"/>
        </w:rPr>
        <w:t>1.34</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2019年度隶属于满城区人民政府，没有独立财务，2020年设账财务独立，故“三公”经费全部为增加</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无本单位组织的出国（境）团组。因公出国（境）费支出较预算增加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无因公出国费用支出</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无因公出国费用支出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Mongolian Baiti"/>
          <w:b/>
          <w:bCs/>
          <w:color w:val="auto"/>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1.34</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53.60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w:t>
      </w:r>
      <w:r>
        <w:rPr>
          <w:rFonts w:hint="eastAsia" w:ascii="仿宋_GB2312" w:hAnsi="Times New Roman" w:eastAsia="仿宋_GB2312" w:cs="Wingdings"/>
          <w:color w:val="auto"/>
          <w:sz w:val="32"/>
          <w:szCs w:val="32"/>
        </w:rPr>
        <w:t>少</w:t>
      </w:r>
      <w:r>
        <w:rPr>
          <w:rFonts w:hint="eastAsia" w:ascii="仿宋_GB2312" w:hAnsi="Times New Roman" w:eastAsia="仿宋_GB2312" w:cs="Wingdings"/>
          <w:color w:val="auto"/>
          <w:sz w:val="32"/>
          <w:szCs w:val="32"/>
          <w:lang w:val="en-US" w:eastAsia="zh-CN"/>
        </w:rPr>
        <w:t>1.16</w:t>
      </w:r>
      <w:r>
        <w:rPr>
          <w:rFonts w:hint="eastAsia" w:ascii="仿宋_GB2312" w:hAnsi="Times New Roman" w:eastAsia="仿宋_GB2312" w:cs="Wingdings"/>
          <w:color w:val="auto"/>
          <w:sz w:val="32"/>
          <w:szCs w:val="32"/>
        </w:rPr>
        <w:t>万元，降低</w:t>
      </w:r>
      <w:r>
        <w:rPr>
          <w:rFonts w:hint="eastAsia" w:ascii="仿宋_GB2312" w:hAnsi="Times New Roman" w:eastAsia="仿宋_GB2312" w:cs="Wingdings"/>
          <w:color w:val="auto"/>
          <w:sz w:val="32"/>
          <w:szCs w:val="32"/>
          <w:lang w:val="en-US" w:eastAsia="zh-CN"/>
        </w:rPr>
        <w:t>46.40</w:t>
      </w:r>
      <w:r>
        <w:rPr>
          <w:rFonts w:hint="eastAsia" w:ascii="仿宋_GB2312" w:hAnsi="Times New Roman" w:eastAsia="仿宋_GB2312" w:cs="Wingdings"/>
          <w:color w:val="auto"/>
          <w:sz w:val="32"/>
          <w:szCs w:val="32"/>
        </w:rPr>
        <w:t>%,主要是</w:t>
      </w:r>
      <w:r>
        <w:rPr>
          <w:rFonts w:hint="eastAsia" w:ascii="仿宋_GB2312" w:hAnsi="Times New Roman" w:eastAsia="仿宋_GB2312" w:cs="Wingdings"/>
          <w:color w:val="auto"/>
          <w:sz w:val="32"/>
          <w:szCs w:val="32"/>
          <w:lang w:val="en-US" w:eastAsia="zh-CN"/>
        </w:rPr>
        <w:t>因为履行八项规定，厉行节约</w:t>
      </w:r>
      <w:r>
        <w:rPr>
          <w:rFonts w:hint="eastAsia" w:ascii="仿宋_GB2312" w:hAnsi="Times New Roman" w:eastAsia="仿宋_GB2312" w:cs="Wingdings"/>
          <w:color w:val="auto"/>
          <w:sz w:val="32"/>
          <w:szCs w:val="32"/>
        </w:rPr>
        <w:t>；较上年</w:t>
      </w:r>
      <w:r>
        <w:rPr>
          <w:rFonts w:hint="eastAsia" w:ascii="仿宋_GB2312" w:hAnsi="Times New Roman" w:eastAsia="仿宋_GB2312" w:cs="Wingdings"/>
          <w:color w:val="auto"/>
          <w:sz w:val="32"/>
          <w:szCs w:val="32"/>
          <w:lang w:val="en-US" w:eastAsia="zh-CN"/>
        </w:rPr>
        <w:t>增加1.34</w:t>
      </w:r>
      <w:r>
        <w:rPr>
          <w:rFonts w:hint="eastAsia" w:ascii="仿宋_GB2312" w:hAnsi="Times New Roman" w:eastAsia="仿宋_GB2312" w:cs="Wingdings"/>
          <w:color w:val="auto"/>
          <w:sz w:val="32"/>
          <w:szCs w:val="32"/>
        </w:rPr>
        <w:t>万元，</w:t>
      </w:r>
      <w:r>
        <w:rPr>
          <w:rFonts w:hint="eastAsia" w:ascii="仿宋_GB2312" w:hAnsi="Times New Roman" w:eastAsia="仿宋_GB2312" w:cs="Wingdings"/>
          <w:color w:val="auto"/>
          <w:sz w:val="32"/>
          <w:szCs w:val="32"/>
          <w:lang w:val="en-US" w:eastAsia="zh-CN"/>
        </w:rPr>
        <w:t>增长100</w:t>
      </w:r>
      <w:r>
        <w:rPr>
          <w:rFonts w:hint="eastAsia" w:ascii="仿宋_GB2312" w:hAnsi="Times New Roman" w:eastAsia="仿宋_GB2312" w:cs="Wingdings"/>
          <w:color w:val="auto"/>
          <w:sz w:val="32"/>
          <w:szCs w:val="32"/>
        </w:rPr>
        <w:t>%,主要是</w:t>
      </w:r>
      <w:r>
        <w:rPr>
          <w:rFonts w:hint="eastAsia" w:ascii="仿宋_GB2312" w:hAnsi="Times New Roman" w:eastAsia="仿宋_GB2312" w:cs="Wingdings"/>
          <w:color w:val="auto"/>
          <w:sz w:val="32"/>
          <w:szCs w:val="32"/>
          <w:lang w:val="en-US" w:eastAsia="zh-CN"/>
        </w:rPr>
        <w:t>2019年度隶属于满城区人民政府，没有独立财务，2020年设账财务独立，故公务用车购置及运行维护费全部为增加</w:t>
      </w:r>
      <w:r>
        <w:rPr>
          <w:rFonts w:hint="eastAsia" w:ascii="仿宋_GB2312" w:hAnsi="Times New Roman" w:eastAsia="仿宋_GB2312" w:cs="Wingdings"/>
          <w:color w:val="auto"/>
          <w:sz w:val="32"/>
          <w:szCs w:val="32"/>
        </w:rPr>
        <w:t>。</w:t>
      </w:r>
      <w:r>
        <w:rPr>
          <w:rFonts w:hint="eastAsia" w:ascii="仿宋_GB2312" w:hAnsi="Times New Roman" w:eastAsia="仿宋_GB2312" w:cs="Mongolian Baiti"/>
          <w:b/>
          <w:bCs/>
          <w:color w:val="auto"/>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辆，发生“公务用车购置”经费支出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万元。公务用车购置费支出较预算增加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无购置公务用车</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未发生“公务用车购置”经费支出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,发生运行维护费支出1.34万元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1.16</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46.40</w:t>
      </w:r>
      <w:r>
        <w:rPr>
          <w:rFonts w:hint="eastAsia" w:ascii="仿宋_GB2312" w:hAnsi="Times New Roman" w:eastAsia="仿宋_GB2312" w:cs="Wingdings"/>
          <w:sz w:val="32"/>
          <w:szCs w:val="32"/>
        </w:rPr>
        <w:t>%,主要是</w:t>
      </w:r>
      <w:r>
        <w:rPr>
          <w:rFonts w:hint="eastAsia" w:ascii="仿宋_GB2312" w:hAnsi="Times New Roman" w:eastAsia="仿宋_GB2312" w:cs="Wingdings"/>
          <w:color w:val="auto"/>
          <w:sz w:val="32"/>
          <w:szCs w:val="32"/>
          <w:lang w:val="en-US" w:eastAsia="zh-CN"/>
        </w:rPr>
        <w:t>因为履行八项规定，厉行节约</w:t>
      </w:r>
      <w:r>
        <w:rPr>
          <w:rFonts w:hint="eastAsia" w:ascii="仿宋_GB2312" w:hAnsi="Times New Roman" w:eastAsia="仿宋_GB2312" w:cs="Wingdings"/>
          <w:sz w:val="32"/>
          <w:szCs w:val="32"/>
        </w:rPr>
        <w:t>；较上年增加</w:t>
      </w:r>
      <w:r>
        <w:rPr>
          <w:rFonts w:hint="eastAsia" w:ascii="仿宋_GB2312" w:hAnsi="Times New Roman" w:eastAsia="仿宋_GB2312" w:cs="Wingdings"/>
          <w:sz w:val="32"/>
          <w:szCs w:val="32"/>
          <w:lang w:val="en-US" w:eastAsia="zh-CN"/>
        </w:rPr>
        <w:t>1.34</w:t>
      </w:r>
      <w:r>
        <w:rPr>
          <w:rFonts w:hint="eastAsia" w:ascii="仿宋_GB2312" w:hAnsi="Times New Roman" w:eastAsia="仿宋_GB2312" w:cs="Wingdings"/>
          <w:sz w:val="32"/>
          <w:szCs w:val="32"/>
        </w:rPr>
        <w:t>万元，增长</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%，主要是</w:t>
      </w:r>
      <w:r>
        <w:rPr>
          <w:rFonts w:hint="eastAsia" w:ascii="仿宋_GB2312" w:hAnsi="Times New Roman" w:eastAsia="仿宋_GB2312" w:cs="Wingdings"/>
          <w:sz w:val="32"/>
          <w:szCs w:val="32"/>
          <w:lang w:val="en-US" w:eastAsia="zh-CN"/>
        </w:rPr>
        <w:t>2019年度隶属于满城区人民政府，没有独立财务，2020年设账财务独立，故公务用车运行维护费支出增加</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color w:val="auto"/>
          <w:sz w:val="32"/>
          <w:szCs w:val="32"/>
        </w:rPr>
        <w:t>本部门2020年</w:t>
      </w:r>
      <w:r>
        <w:rPr>
          <w:rFonts w:hint="eastAsia" w:ascii="仿宋_GB2312" w:hAnsi="仿宋_GB2312" w:eastAsia="仿宋_GB2312" w:cs="仿宋_GB2312"/>
          <w:b w:val="0"/>
          <w:bCs w:val="0"/>
          <w:color w:val="auto"/>
          <w:sz w:val="32"/>
          <w:szCs w:val="32"/>
          <w:lang w:val="en-US" w:eastAsia="zh-CN"/>
        </w:rPr>
        <w:t>公务接待</w:t>
      </w:r>
      <w:r>
        <w:rPr>
          <w:rFonts w:hint="eastAsia" w:ascii="仿宋_GB2312" w:hAnsi="仿宋_GB2312" w:eastAsia="仿宋_GB2312" w:cs="仿宋_GB2312"/>
          <w:b w:val="0"/>
          <w:bCs w:val="0"/>
          <w:color w:val="auto"/>
          <w:sz w:val="32"/>
          <w:szCs w:val="32"/>
        </w:rPr>
        <w:t>费支出</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万元，完成预算的</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发生</w:t>
      </w:r>
      <w:r>
        <w:rPr>
          <w:rFonts w:hint="eastAsia" w:ascii="仿宋_GB2312" w:hAnsi="Times New Roman" w:eastAsia="仿宋_GB2312" w:cs="Wingdings"/>
          <w:color w:val="auto"/>
          <w:sz w:val="32"/>
          <w:szCs w:val="32"/>
        </w:rPr>
        <w:t>公务接待共</w:t>
      </w:r>
      <w:r>
        <w:rPr>
          <w:rFonts w:hint="eastAsia" w:ascii="仿宋_GB2312" w:hAnsi="Times New Roman" w:eastAsia="仿宋_GB2312" w:cs="Wingdings"/>
          <w:color w:val="auto"/>
          <w:sz w:val="32"/>
          <w:szCs w:val="32"/>
          <w:lang w:val="en-US" w:eastAsia="zh-CN"/>
        </w:rPr>
        <w:t>0</w:t>
      </w:r>
      <w:r>
        <w:rPr>
          <w:rFonts w:hint="eastAsia" w:ascii="仿宋_GB2312" w:hAnsi="Times New Roman" w:eastAsia="仿宋_GB2312" w:cs="Wingdings"/>
          <w:color w:val="auto"/>
          <w:sz w:val="32"/>
          <w:szCs w:val="32"/>
        </w:rPr>
        <w:t>批次、</w:t>
      </w:r>
      <w:r>
        <w:rPr>
          <w:rFonts w:hint="eastAsia" w:ascii="仿宋_GB2312" w:hAnsi="Times New Roman" w:eastAsia="仿宋_GB2312" w:cs="Wingdings"/>
          <w:color w:val="auto"/>
          <w:sz w:val="32"/>
          <w:szCs w:val="32"/>
          <w:lang w:val="en-US" w:eastAsia="zh-CN"/>
        </w:rPr>
        <w:t>0</w:t>
      </w:r>
      <w:r>
        <w:rPr>
          <w:rFonts w:hint="eastAsia" w:ascii="仿宋_GB2312" w:hAnsi="Times New Roman" w:eastAsia="仿宋_GB2312" w:cs="Wingdings"/>
          <w:color w:val="auto"/>
          <w:sz w:val="32"/>
          <w:szCs w:val="32"/>
        </w:rPr>
        <w:t>人次。公务接待费支出较预算减少</w:t>
      </w:r>
      <w:r>
        <w:rPr>
          <w:rFonts w:hint="eastAsia" w:ascii="仿宋_GB2312" w:hAnsi="Times New Roman" w:eastAsia="仿宋_GB2312" w:cs="Wingdings"/>
          <w:color w:val="auto"/>
          <w:sz w:val="32"/>
          <w:szCs w:val="32"/>
          <w:lang w:val="en-US" w:eastAsia="zh-CN"/>
        </w:rPr>
        <w:t>0.42</w:t>
      </w:r>
      <w:r>
        <w:rPr>
          <w:rFonts w:hint="eastAsia" w:ascii="仿宋_GB2312" w:hAnsi="Times New Roman" w:eastAsia="仿宋_GB2312" w:cs="Wingdings"/>
          <w:color w:val="auto"/>
          <w:sz w:val="32"/>
          <w:szCs w:val="32"/>
        </w:rPr>
        <w:t>万元，降低</w:t>
      </w:r>
      <w:r>
        <w:rPr>
          <w:rFonts w:hint="eastAsia" w:ascii="仿宋_GB2312" w:hAnsi="Times New Roman" w:eastAsia="仿宋_GB2312" w:cs="Wingdings"/>
          <w:color w:val="auto"/>
          <w:sz w:val="32"/>
          <w:szCs w:val="32"/>
          <w:lang w:val="en-US" w:eastAsia="zh-CN"/>
        </w:rPr>
        <w:t>100</w:t>
      </w:r>
      <w:r>
        <w:rPr>
          <w:rFonts w:hint="eastAsia" w:ascii="仿宋_GB2312" w:hAnsi="Times New Roman" w:eastAsia="仿宋_GB2312" w:cs="Wingdings"/>
          <w:color w:val="auto"/>
          <w:sz w:val="32"/>
          <w:szCs w:val="32"/>
        </w:rPr>
        <w:t>%,主要是</w:t>
      </w:r>
      <w:r>
        <w:rPr>
          <w:rFonts w:hint="eastAsia" w:ascii="仿宋_GB2312" w:hAnsi="Times New Roman" w:eastAsia="仿宋_GB2312" w:cs="Wingdings"/>
          <w:color w:val="auto"/>
          <w:sz w:val="32"/>
          <w:szCs w:val="32"/>
          <w:lang w:val="en-US" w:eastAsia="zh-CN"/>
        </w:rPr>
        <w:t>因为履行八项规定，厉行节约</w:t>
      </w:r>
      <w:r>
        <w:rPr>
          <w:rFonts w:hint="eastAsia" w:ascii="仿宋_GB2312" w:hAnsi="Times New Roman" w:eastAsia="仿宋_GB2312" w:cs="Wingdings"/>
          <w:color w:val="auto"/>
          <w:sz w:val="32"/>
          <w:szCs w:val="32"/>
        </w:rPr>
        <w:t>；较上年度减少</w:t>
      </w:r>
      <w:r>
        <w:rPr>
          <w:rFonts w:hint="eastAsia" w:ascii="仿宋_GB2312" w:hAnsi="Times New Roman" w:eastAsia="仿宋_GB2312" w:cs="Wingdings"/>
          <w:color w:val="auto"/>
          <w:sz w:val="32"/>
          <w:szCs w:val="32"/>
          <w:lang w:val="en-US" w:eastAsia="zh-CN"/>
        </w:rPr>
        <w:t>0</w:t>
      </w:r>
      <w:r>
        <w:rPr>
          <w:rFonts w:hint="eastAsia" w:ascii="仿宋_GB2312" w:hAnsi="Times New Roman" w:eastAsia="仿宋_GB2312" w:cs="Wingdings"/>
          <w:color w:val="auto"/>
          <w:sz w:val="32"/>
          <w:szCs w:val="32"/>
        </w:rPr>
        <w:t>万元，降低</w:t>
      </w:r>
      <w:r>
        <w:rPr>
          <w:rFonts w:hint="eastAsia" w:ascii="仿宋_GB2312" w:hAnsi="Times New Roman" w:eastAsia="仿宋_GB2312" w:cs="Wingdings"/>
          <w:color w:val="auto"/>
          <w:sz w:val="32"/>
          <w:szCs w:val="32"/>
          <w:lang w:val="en-US" w:eastAsia="zh-CN"/>
        </w:rPr>
        <w:t>0</w:t>
      </w:r>
      <w:r>
        <w:rPr>
          <w:rFonts w:hint="eastAsia" w:ascii="仿宋_GB2312" w:hAnsi="Times New Roman" w:eastAsia="仿宋_GB2312" w:cs="Wingdings"/>
          <w:color w:val="auto"/>
          <w:sz w:val="32"/>
          <w:szCs w:val="32"/>
        </w:rPr>
        <w:t>%,主要是</w:t>
      </w:r>
      <w:r>
        <w:rPr>
          <w:rFonts w:hint="eastAsia" w:ascii="仿宋_GB2312" w:hAnsi="Times New Roman" w:eastAsia="仿宋_GB2312" w:cs="Wingdings"/>
          <w:color w:val="auto"/>
          <w:sz w:val="32"/>
          <w:szCs w:val="32"/>
          <w:lang w:val="en-US" w:eastAsia="zh-CN"/>
        </w:rPr>
        <w:t>2019年度</w:t>
      </w:r>
      <w:r>
        <w:rPr>
          <w:rFonts w:hint="eastAsia" w:ascii="仿宋_GB2312" w:hAnsi="Times New Roman" w:eastAsia="仿宋_GB2312" w:cs="Wingdings"/>
          <w:sz w:val="32"/>
          <w:szCs w:val="32"/>
          <w:lang w:val="en-US" w:eastAsia="zh-CN"/>
        </w:rPr>
        <w:t>隶属于满城区人民政府，没有独立财务，2020年设账财务独立，故公务接待费支出增加</w:t>
      </w:r>
      <w:r>
        <w:rPr>
          <w:rFonts w:hint="eastAsia" w:ascii="仿宋_GB2312" w:hAnsi="Times New Roman" w:eastAsia="仿宋_GB2312" w:cs="Wingdings"/>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106.97</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val="en-US" w:eastAsia="zh-CN"/>
        </w:rPr>
        <w:t>日常运转经费项目</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58.73</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万元。其中，对“</w:t>
      </w:r>
      <w:r>
        <w:rPr>
          <w:rFonts w:hint="eastAsia" w:ascii="仿宋_GB2312" w:hAnsi="仿宋_GB2312" w:eastAsia="仿宋_GB2312" w:cs="仿宋_GB2312"/>
          <w:sz w:val="32"/>
          <w:szCs w:val="32"/>
          <w:lang w:val="en-US" w:eastAsia="zh-CN"/>
        </w:rPr>
        <w:t>日常运转经费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由单位成立评审领导小组开展绩效评价。从评价情况来看，单位能够根据工作实际和需要，确定部门预算项目和预算额度，清晰描述预算项目开展范围和内容，确定预算项目绩效目标。在预算执行过程中，按时间和进度的绩效管理目标要求，合理安排资金的使用，保证了各项工作的顺利进行，较好的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val="en-US" w:eastAsia="zh-CN"/>
        </w:rPr>
        <w:t>日常运转经费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60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日常运转经费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日常运转经费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58.73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58.73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支持行政审批部门开展业务工作，提高行政审批综合业务水平</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加强行政审批机关经费保障力度。</w:t>
      </w:r>
      <w:r>
        <w:rPr>
          <w:rFonts w:hint="eastAsia" w:ascii="仿宋_GB2312" w:hAnsi="仿宋_GB2312" w:eastAsia="仿宋_GB2312" w:cs="仿宋_GB2312"/>
          <w:sz w:val="32"/>
          <w:szCs w:val="32"/>
        </w:rPr>
        <w:t>发现的主要问题及原因：</w:t>
      </w:r>
      <w:r>
        <w:rPr>
          <w:rFonts w:hint="eastAsia" w:ascii="仿宋" w:hAnsi="仿宋" w:eastAsia="仿宋" w:cs="仿宋"/>
          <w:sz w:val="32"/>
          <w:szCs w:val="32"/>
        </w:rPr>
        <w:t>预算绩效管理工作技术性较强，但负责人员未经过系统专业的培训学习，导致工作过程不流畅、略滞后。</w:t>
      </w:r>
      <w:r>
        <w:rPr>
          <w:rFonts w:hint="eastAsia" w:ascii="仿宋_GB2312" w:hAnsi="仿宋_GB2312" w:eastAsia="仿宋_GB2312" w:cs="仿宋_GB2312"/>
          <w:sz w:val="32"/>
          <w:szCs w:val="32"/>
        </w:rPr>
        <w:t>下一步改进措施：一是</w:t>
      </w:r>
      <w:r>
        <w:rPr>
          <w:rFonts w:hint="eastAsia" w:ascii="仿宋" w:hAnsi="仿宋" w:eastAsia="仿宋" w:cs="仿宋"/>
          <w:sz w:val="32"/>
          <w:szCs w:val="32"/>
        </w:rPr>
        <w:t>我们将对接财政部门专业人员，联系开展培训学习</w:t>
      </w:r>
      <w:r>
        <w:rPr>
          <w:rFonts w:hint="eastAsia" w:ascii="仿宋_GB2312" w:hAnsi="仿宋_GB2312" w:eastAsia="仿宋_GB2312" w:cs="仿宋_GB2312"/>
          <w:sz w:val="32"/>
          <w:szCs w:val="32"/>
        </w:rPr>
        <w:t>；二是严格落实监督预算绩效运行，并将绩效评价结果作为以后年度预算的依据，优化资源配置。</w:t>
      </w:r>
    </w:p>
    <w:p>
      <w:pPr>
        <w:numPr>
          <w:ilvl w:val="0"/>
          <w:numId w:val="2"/>
        </w:numPr>
        <w:adjustRightInd w:val="0"/>
        <w:snapToGrid w:val="0"/>
        <w:spacing w:line="60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日常运转经费</w:t>
      </w:r>
      <w:r>
        <w:rPr>
          <w:rFonts w:hint="eastAsia" w:ascii="仿宋_GB2312" w:hAnsi="仿宋_GB2312" w:eastAsia="仿宋_GB2312" w:cs="仿宋_GB2312"/>
          <w:sz w:val="32"/>
          <w:szCs w:val="32"/>
        </w:rPr>
        <w:t>项目绩效自评综述：根据年初设定的绩效目标，</w:t>
      </w:r>
      <w:r>
        <w:rPr>
          <w:rFonts w:hint="eastAsia" w:ascii="仿宋_GB2312" w:hAnsi="仿宋_GB2312" w:eastAsia="仿宋_GB2312" w:cs="仿宋_GB2312"/>
          <w:sz w:val="32"/>
          <w:szCs w:val="32"/>
          <w:lang w:val="en-US" w:eastAsia="zh-CN"/>
        </w:rPr>
        <w:t>日常运转经费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分。全年预算数为</w:t>
      </w:r>
      <w:r>
        <w:rPr>
          <w:rFonts w:hint="eastAsia" w:ascii="仿宋_GB2312" w:hAnsi="仿宋_GB2312" w:eastAsia="仿宋_GB2312" w:cs="仿宋_GB2312"/>
          <w:sz w:val="32"/>
          <w:szCs w:val="32"/>
          <w:lang w:val="en-US" w:eastAsia="zh-CN"/>
        </w:rPr>
        <w:t>20.27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20.27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val="en-US" w:eastAsia="zh-CN"/>
        </w:rPr>
        <w:t>支持行政审批部门开展业务工作，提高行政审批综合业务水平</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val="en-US" w:eastAsia="zh-CN"/>
        </w:rPr>
        <w:t>加强行政审批机关经费保障力度。</w:t>
      </w:r>
      <w:r>
        <w:rPr>
          <w:rFonts w:hint="eastAsia" w:ascii="仿宋_GB2312" w:hAnsi="仿宋_GB2312" w:eastAsia="仿宋_GB2312" w:cs="仿宋_GB2312"/>
          <w:sz w:val="32"/>
          <w:szCs w:val="32"/>
        </w:rPr>
        <w:t>发现的主要问题及原因：</w:t>
      </w:r>
      <w:r>
        <w:rPr>
          <w:rFonts w:hint="eastAsia" w:ascii="仿宋" w:hAnsi="仿宋" w:eastAsia="仿宋" w:cs="仿宋"/>
          <w:sz w:val="32"/>
          <w:szCs w:val="32"/>
        </w:rPr>
        <w:t>预算绩效管理工作技术性较强，但负责人员未经过系统专业的培训学习，导致工作过程不流畅、略滞后。</w:t>
      </w:r>
      <w:r>
        <w:rPr>
          <w:rFonts w:hint="eastAsia" w:ascii="仿宋_GB2312" w:hAnsi="仿宋_GB2312" w:eastAsia="仿宋_GB2312" w:cs="仿宋_GB2312"/>
          <w:sz w:val="32"/>
          <w:szCs w:val="32"/>
        </w:rPr>
        <w:t>下一步改进措施：一是</w:t>
      </w:r>
      <w:r>
        <w:rPr>
          <w:rFonts w:hint="eastAsia" w:ascii="仿宋" w:hAnsi="仿宋" w:eastAsia="仿宋" w:cs="仿宋"/>
          <w:sz w:val="32"/>
          <w:szCs w:val="32"/>
        </w:rPr>
        <w:t>我们将对接财政部门专业人员，联系开展培训学习</w:t>
      </w:r>
      <w:r>
        <w:rPr>
          <w:rFonts w:hint="eastAsia" w:ascii="仿宋_GB2312" w:hAnsi="仿宋_GB2312" w:eastAsia="仿宋_GB2312" w:cs="仿宋_GB2312"/>
          <w:sz w:val="32"/>
          <w:szCs w:val="32"/>
        </w:rPr>
        <w:t>；二是严格落实监督预算绩效运行，并将绩效评价结果作为以后年度预算的依据，优化资源配置。</w:t>
      </w:r>
    </w:p>
    <w:p>
      <w:pPr>
        <w:adjustRightInd w:val="0"/>
        <w:snapToGrid w:val="0"/>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（三）财政评价项目绩效评价结果</w:t>
      </w:r>
    </w:p>
    <w:p>
      <w:pPr>
        <w:adjustRightInd w:val="0"/>
        <w:snapToGrid w:val="0"/>
        <w:spacing w:line="600" w:lineRule="exact"/>
        <w:ind w:firstLine="640" w:firstLineChars="200"/>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lang w:val="en-US"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14.59</w:t>
      </w:r>
      <w:r>
        <w:rPr>
          <w:rFonts w:hint="eastAsia" w:ascii="仿宋_GB2312" w:hAnsi="仿宋_GB2312" w:eastAsia="仿宋_GB2312" w:cs="仿宋_GB2312"/>
          <w:sz w:val="32"/>
          <w:szCs w:val="32"/>
        </w:rPr>
        <w:t>万元，比2019年度增加</w:t>
      </w:r>
      <w:r>
        <w:rPr>
          <w:rFonts w:hint="eastAsia" w:ascii="仿宋_GB2312" w:hAnsi="仿宋_GB2312" w:eastAsia="仿宋_GB2312" w:cs="仿宋_GB2312"/>
          <w:sz w:val="32"/>
          <w:szCs w:val="32"/>
          <w:lang w:val="en-US" w:eastAsia="zh-CN"/>
        </w:rPr>
        <w:t>14.59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%。主要原因是</w:t>
      </w:r>
      <w:r>
        <w:rPr>
          <w:rFonts w:hint="eastAsia" w:ascii="仿宋_GB2312" w:hAnsi="Times New Roman" w:eastAsia="仿宋_GB2312" w:cs="Wingdings"/>
          <w:sz w:val="32"/>
          <w:szCs w:val="32"/>
          <w:lang w:val="en-US" w:eastAsia="zh-CN"/>
        </w:rPr>
        <w:t>2019年度隶属于满城区人民政府，没有独立财务，2020年设账财务独立，故机关运行经费支出增加</w:t>
      </w:r>
      <w:r>
        <w:rPr>
          <w:rFonts w:hint="eastAsia" w:ascii="仿宋_GB2312" w:hAnsi="Times New Roman" w:eastAsia="仿宋_GB2312" w:cs="Wingdings"/>
          <w:sz w:val="32"/>
          <w:szCs w:val="32"/>
        </w:rPr>
        <w:t>。</w:t>
      </w:r>
    </w:p>
    <w:p>
      <w:pPr>
        <w:keepNext/>
        <w:keepLines/>
        <w:snapToGrid w:val="0"/>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辆，比上年增加</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辆，主要是</w:t>
      </w:r>
      <w:r>
        <w:rPr>
          <w:rFonts w:hint="eastAsia" w:ascii="仿宋_GB2312" w:hAnsi="仿宋_GB2312" w:eastAsia="仿宋_GB2312" w:cs="仿宋_GB2312"/>
          <w:sz w:val="32"/>
          <w:szCs w:val="32"/>
          <w:lang w:val="en-US" w:eastAsia="zh-CN"/>
        </w:rPr>
        <w:t>2020年单位成立</w:t>
      </w:r>
      <w:r>
        <w:rPr>
          <w:rFonts w:hint="eastAsia" w:ascii="仿宋_GB2312" w:hAnsi="仿宋_GB2312" w:eastAsia="仿宋_GB2312" w:cs="仿宋_GB2312"/>
          <w:sz w:val="32"/>
          <w:szCs w:val="32"/>
        </w:rPr>
        <w:t>。其中，副部（省）级及以上领导用车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台（套）比上年增加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套。</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w:t>
      </w:r>
      <w:r>
        <w:rPr>
          <w:rFonts w:hint="eastAsia" w:ascii="仿宋_GB2312" w:hAnsi="仿宋_GB2312" w:eastAsia="仿宋_GB2312" w:cs="仿宋_GB2312"/>
          <w:sz w:val="32"/>
          <w:szCs w:val="32"/>
          <w:highlight w:val="none"/>
        </w:rPr>
        <w:t>政府性基金预算、国有资金经营预算</w:t>
      </w:r>
      <w:r>
        <w:rPr>
          <w:rFonts w:hint="eastAsia" w:ascii="仿宋_GB2312" w:hAnsi="仿宋_GB2312" w:eastAsia="仿宋_GB2312" w:cs="仿宋_GB2312"/>
          <w:sz w:val="32"/>
          <w:szCs w:val="32"/>
        </w:rPr>
        <w:t>收支及结转结余情况，故</w:t>
      </w:r>
      <w:r>
        <w:rPr>
          <w:rFonts w:hint="eastAsia" w:ascii="仿宋_GB2312" w:hAnsi="仿宋_GB2312" w:eastAsia="仿宋_GB2312" w:cs="仿宋_GB2312"/>
          <w:sz w:val="32"/>
          <w:szCs w:val="32"/>
          <w:highlight w:val="none"/>
        </w:rPr>
        <w:t>政府性基金预算、国有资金经营预算</w:t>
      </w:r>
      <w:r>
        <w:rPr>
          <w:rFonts w:hint="eastAsia" w:ascii="仿宋_GB2312" w:hAnsi="仿宋_GB2312" w:eastAsia="仿宋_GB2312" w:cs="仿宋_GB2312"/>
          <w:sz w:val="32"/>
          <w:szCs w:val="32"/>
        </w:rPr>
        <w:t>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201930</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5pt;margin-top:15.9pt;height:263.1pt;width:613.65pt;z-index:251660288;v-text-anchor:middle;mso-width-relative:page;mso-height-relative:page;" fillcolor="#7F7F7F [16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fill type="pattern" on="t" color2="#FFFFFF [3212]" o:title="5%" focussize="0,0" r:id="rId11"/>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8"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1"/>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W w:w="9252" w:type="dxa"/>
        <w:tblInd w:w="0" w:type="dxa"/>
        <w:tblLayout w:type="fixed"/>
        <w:tblCellMar>
          <w:top w:w="15" w:type="dxa"/>
          <w:left w:w="15" w:type="dxa"/>
          <w:bottom w:w="15" w:type="dxa"/>
          <w:right w:w="15" w:type="dxa"/>
        </w:tblCellMar>
      </w:tblPr>
      <w:tblGrid>
        <w:gridCol w:w="2709"/>
        <w:gridCol w:w="31"/>
        <w:gridCol w:w="240"/>
        <w:gridCol w:w="154"/>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740" w:type="dxa"/>
            <w:gridSpan w:val="2"/>
            <w:shd w:val="clear" w:color="auto" w:fill="FFFFFF"/>
            <w:vAlign w:val="center"/>
          </w:tcPr>
          <w:p>
            <w:pPr>
              <w:jc w:val="left"/>
              <w:rPr>
                <w:rFonts w:ascii="宋体" w:hAnsi="宋体" w:eastAsia="宋体" w:cs="宋体"/>
                <w:color w:val="000000"/>
                <w:sz w:val="18"/>
                <w:szCs w:val="18"/>
              </w:rPr>
            </w:pPr>
          </w:p>
        </w:tc>
        <w:tc>
          <w:tcPr>
            <w:tcW w:w="240" w:type="dxa"/>
            <w:shd w:val="clear" w:color="auto" w:fill="FFFFFF"/>
            <w:vAlign w:val="center"/>
          </w:tcPr>
          <w:p>
            <w:pPr>
              <w:jc w:val="left"/>
              <w:rPr>
                <w:rFonts w:ascii="宋体" w:hAnsi="宋体" w:eastAsia="宋体" w:cs="宋体"/>
                <w:color w:val="000000"/>
                <w:sz w:val="18"/>
                <w:szCs w:val="18"/>
              </w:rPr>
            </w:pPr>
          </w:p>
        </w:tc>
        <w:tc>
          <w:tcPr>
            <w:tcW w:w="1571"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740" w:type="dxa"/>
            <w:gridSpan w:val="2"/>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r>
              <w:rPr>
                <w:rFonts w:hint="eastAsia" w:ascii="宋体" w:hAnsi="宋体" w:eastAsia="宋体" w:cs="宋体"/>
                <w:color w:val="000000"/>
                <w:kern w:val="0"/>
                <w:sz w:val="18"/>
                <w:szCs w:val="18"/>
                <w:lang w:val="en-US" w:eastAsia="zh-CN" w:bidi="ar"/>
              </w:rPr>
              <w:t>保定市满城区行政审批局</w:t>
            </w:r>
          </w:p>
        </w:tc>
        <w:tc>
          <w:tcPr>
            <w:tcW w:w="240"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571"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3"/>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338.58</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292.24</w:t>
            </w: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26.10</w:t>
            </w: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8.36</w:t>
            </w: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11.88</w:t>
            </w: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338.58</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338.58</w:t>
            </w: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3"/>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338.58</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lang w:val="en-US" w:eastAsia="zh-CN" w:bidi="ar"/>
              </w:rPr>
              <w:t>338.58</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5000" w:type="pct"/>
        <w:jc w:val="center"/>
        <w:tblLayout w:type="fixed"/>
        <w:tblCellMar>
          <w:top w:w="0" w:type="dxa"/>
          <w:left w:w="0" w:type="dxa"/>
          <w:bottom w:w="0" w:type="dxa"/>
          <w:right w:w="0" w:type="dxa"/>
        </w:tblCellMar>
      </w:tblPr>
      <w:tblGrid>
        <w:gridCol w:w="953"/>
        <w:gridCol w:w="3723"/>
        <w:gridCol w:w="750"/>
        <w:gridCol w:w="804"/>
        <w:gridCol w:w="515"/>
        <w:gridCol w:w="524"/>
        <w:gridCol w:w="524"/>
        <w:gridCol w:w="525"/>
        <w:gridCol w:w="556"/>
      </w:tblGrid>
      <w:tr>
        <w:tblPrEx>
          <w:tblCellMar>
            <w:top w:w="0" w:type="dxa"/>
            <w:left w:w="0" w:type="dxa"/>
            <w:bottom w:w="0" w:type="dxa"/>
            <w:right w:w="0" w:type="dxa"/>
          </w:tblCellMar>
        </w:tblPrEx>
        <w:trPr>
          <w:trHeight w:val="670" w:hRule="atLeast"/>
          <w:jc w:val="center"/>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bookmarkStart w:id="0" w:name="_GoBack"/>
            <w:bookmarkEnd w:id="0"/>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2634" w:type="pct"/>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53"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0"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5"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5"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09" w:type="pct"/>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2634" w:type="pct"/>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val="en-US" w:eastAsia="zh-CN" w:bidi="ar"/>
              </w:rPr>
              <w:t>保定市满城区行政审批局</w:t>
            </w:r>
          </w:p>
        </w:tc>
        <w:tc>
          <w:tcPr>
            <w:tcW w:w="422"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53"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0"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5"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4" w:type="pct"/>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263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422"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453"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290"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295"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295"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295"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313" w:type="pct"/>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536"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097" w:type="pct"/>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42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453"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29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29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29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29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313"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53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97"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2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3"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3"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53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97" w:type="pct"/>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422"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53"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0"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95"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13" w:type="pct"/>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634"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422"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45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90"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95"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95"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95"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313"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2634"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color w:val="000000"/>
                <w:sz w:val="18"/>
                <w:szCs w:val="18"/>
                <w:lang w:val="en-US" w:eastAsia="zh-CN"/>
              </w:rPr>
              <w:t>338.58</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kern w:val="2"/>
                <w:sz w:val="22"/>
                <w:szCs w:val="24"/>
                <w:lang w:val="en-US" w:eastAsia="zh-CN" w:bidi="ar-SA"/>
              </w:rPr>
            </w:pPr>
            <w:r>
              <w:rPr>
                <w:rFonts w:hint="eastAsia" w:ascii="宋体" w:hAnsi="宋体" w:eastAsia="宋体" w:cs="宋体"/>
                <w:color w:val="000000"/>
                <w:sz w:val="18"/>
                <w:szCs w:val="18"/>
                <w:lang w:val="en-US" w:eastAsia="zh-CN"/>
              </w:rPr>
              <w:t>338.58</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201</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一般公共服务支出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292.24</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292.24</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20103</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政府办公厅（室）及相关机构事务</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292.24</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292.24</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2010301</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行政运行</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101.38</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101.38</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2010302</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一般行政管理事务</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114.02</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114.02</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2010306</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政务公开审批</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4.00</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4.00</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2010350</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事业运行</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29.33</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29.33</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2010399</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其他政府办公厅（室）及相关机构事务支出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43.51</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43.51</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208</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社会保障和就业支出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26.10</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26.10</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20805</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行政事业单位养老支出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26.10</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26.10</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2080505</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机关事业单位基本养老保险缴费支出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24.00</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24.00</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2080506</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机关事业单位职业年金缴费支出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2.10</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210</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卫生健康支出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8.36</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21011</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行政事业单位医疗</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8.36</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2101101</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行政单位医疗</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6.82</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6.82</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2101102</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事业单位医疗</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1.54</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1.54</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221</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住房保障支出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11.88</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22102</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住房改革支出</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11.88</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3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2210201</w:t>
            </w:r>
          </w:p>
        </w:tc>
        <w:tc>
          <w:tcPr>
            <w:tcW w:w="209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住房公积金</w:t>
            </w:r>
          </w:p>
        </w:tc>
        <w:tc>
          <w:tcPr>
            <w:tcW w:w="7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11.88</w:t>
            </w:r>
          </w:p>
        </w:tc>
        <w:tc>
          <w:tcPr>
            <w:tcW w:w="80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29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31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18"/>
                <w:szCs w:val="18"/>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865"/>
        <w:gridCol w:w="3546"/>
        <w:gridCol w:w="981"/>
        <w:gridCol w:w="1009"/>
        <w:gridCol w:w="941"/>
        <w:gridCol w:w="791"/>
        <w:gridCol w:w="859"/>
        <w:gridCol w:w="688"/>
      </w:tblGrid>
      <w:tr>
        <w:tblPrEx>
          <w:tblCellMar>
            <w:top w:w="0" w:type="dxa"/>
            <w:left w:w="0" w:type="dxa"/>
            <w:bottom w:w="0" w:type="dxa"/>
            <w:right w:w="0" w:type="dxa"/>
          </w:tblCellMar>
        </w:tblPrEx>
        <w:trPr>
          <w:trHeight w:val="612" w:hRule="atLeast"/>
          <w:jc w:val="center"/>
        </w:trPr>
        <w:tc>
          <w:tcPr>
            <w:tcW w:w="968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441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8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88"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4411"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保定市满城区行政审批局</w:t>
            </w:r>
          </w:p>
        </w:tc>
        <w:tc>
          <w:tcPr>
            <w:tcW w:w="9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0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7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54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44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98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00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94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79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85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68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86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354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98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0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94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7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8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6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86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54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8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4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86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54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98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00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94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79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85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68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441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9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0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9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7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8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441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color w:val="000000"/>
                <w:sz w:val="18"/>
                <w:szCs w:val="18"/>
                <w:lang w:val="en-US" w:eastAsia="zh-CN"/>
              </w:rPr>
              <w:t>338.58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207.04</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val="0"/>
                <w:bCs/>
                <w:color w:val="000000"/>
                <w:sz w:val="18"/>
                <w:szCs w:val="18"/>
                <w:lang w:val="en-US" w:eastAsia="zh-CN"/>
              </w:rPr>
            </w:pPr>
            <w:r>
              <w:rPr>
                <w:rFonts w:hint="eastAsia" w:ascii="宋体" w:hAnsi="宋体" w:eastAsia="宋体" w:cs="宋体"/>
                <w:b w:val="0"/>
                <w:bCs/>
                <w:color w:val="000000"/>
                <w:sz w:val="18"/>
                <w:szCs w:val="18"/>
                <w:lang w:val="en-US" w:eastAsia="zh-CN"/>
              </w:rPr>
              <w:t>131.54</w:t>
            </w: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一般公共服务支出</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292.24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160.70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131.54</w:t>
            </w: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政府办公厅（室）及相关机构事务</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292.24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160.70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131.54</w:t>
            </w: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2010301</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行政运行</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101.38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101.38</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2010302</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一般行政管理事务</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114.02</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114.02</w:t>
            </w: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2010306</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政务公开审批</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4.00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2010350</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事业运行</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29.33</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29.33</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2010399</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其他政府办公厅（室）及相关机构事务支出</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43.51</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25.99</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17.52</w:t>
            </w: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208</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社会保障和就业支出</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26.10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26.10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20805</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行政事业单位养老支出</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26.10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26.10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2080505</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机关事业单位基本养老保险缴费支出</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24.00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24.00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2080506</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机关事业单位职业年金缴费支出</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卫生健康支出</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21011</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行政事业单位医疗</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2101101</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行政单位医疗</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6.82</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6.82</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2101102</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事业单位医疗</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1.54</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1.54</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221</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住房保障支出</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22102</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住房改革支出</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86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2210201</w:t>
            </w:r>
          </w:p>
        </w:tc>
        <w:tc>
          <w:tcPr>
            <w:tcW w:w="35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住房公积金</w:t>
            </w:r>
          </w:p>
        </w:tc>
        <w:tc>
          <w:tcPr>
            <w:tcW w:w="9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10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7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8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r>
        <w:tblPrEx>
          <w:tblCellMar>
            <w:top w:w="0" w:type="dxa"/>
            <w:left w:w="0" w:type="dxa"/>
            <w:bottom w:w="0" w:type="dxa"/>
            <w:right w:w="0" w:type="dxa"/>
          </w:tblCellMar>
        </w:tblPrEx>
        <w:trPr>
          <w:trHeight w:val="323" w:hRule="atLeast"/>
          <w:jc w:val="center"/>
        </w:trPr>
        <w:tc>
          <w:tcPr>
            <w:tcW w:w="968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bidi="ar"/>
              </w:rPr>
            </w:pPr>
          </w:p>
        </w:tc>
      </w:tr>
    </w:tbl>
    <w:p>
      <w:r>
        <w:br w:type="page"/>
      </w:r>
    </w:p>
    <w:tbl>
      <w:tblPr>
        <w:tblStyle w:val="5"/>
        <w:tblW w:w="9990" w:type="dxa"/>
        <w:jc w:val="center"/>
        <w:tblLayout w:type="fixed"/>
        <w:tblCellMar>
          <w:top w:w="0" w:type="dxa"/>
          <w:left w:w="0" w:type="dxa"/>
          <w:bottom w:w="0" w:type="dxa"/>
          <w:right w:w="0" w:type="dxa"/>
        </w:tblCellMar>
      </w:tblPr>
      <w:tblGrid>
        <w:gridCol w:w="979"/>
        <w:gridCol w:w="3355"/>
        <w:gridCol w:w="518"/>
        <w:gridCol w:w="1800"/>
        <w:gridCol w:w="1664"/>
        <w:gridCol w:w="1204"/>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6"/>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tbl>
            <w:tblPr>
              <w:tblStyle w:val="5"/>
              <w:tblW w:w="4997" w:type="pct"/>
              <w:jc w:val="center"/>
              <w:tblLayout w:type="fixed"/>
              <w:tblCellMar>
                <w:top w:w="0" w:type="dxa"/>
                <w:left w:w="108" w:type="dxa"/>
                <w:bottom w:w="0" w:type="dxa"/>
                <w:right w:w="108" w:type="dxa"/>
              </w:tblCellMar>
            </w:tblPr>
            <w:tblGrid>
              <w:gridCol w:w="2337"/>
              <w:gridCol w:w="416"/>
              <w:gridCol w:w="715"/>
              <w:gridCol w:w="2467"/>
              <w:gridCol w:w="544"/>
              <w:gridCol w:w="697"/>
              <w:gridCol w:w="779"/>
              <w:gridCol w:w="868"/>
              <w:gridCol w:w="874"/>
              <w:gridCol w:w="257"/>
            </w:tblGrid>
            <w:tr>
              <w:tblPrEx>
                <w:tblCellMar>
                  <w:top w:w="0" w:type="dxa"/>
                  <w:left w:w="108" w:type="dxa"/>
                  <w:bottom w:w="0" w:type="dxa"/>
                  <w:right w:w="108" w:type="dxa"/>
                </w:tblCellMar>
              </w:tblPrEx>
              <w:trPr>
                <w:gridAfter w:val="1"/>
                <w:wAfter w:w="129" w:type="pct"/>
                <w:trHeight w:val="90" w:hRule="atLeast"/>
                <w:jc w:val="center"/>
              </w:trPr>
              <w:tc>
                <w:tcPr>
                  <w:tcW w:w="1174" w:type="pct"/>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209" w:type="pct"/>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57" w:type="pct"/>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239" w:type="pct"/>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73" w:type="pct"/>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50" w:type="pct"/>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266" w:type="pct"/>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129" w:type="pct"/>
                <w:trHeight w:val="90" w:hRule="atLeast"/>
                <w:jc w:val="center"/>
              </w:trPr>
              <w:tc>
                <w:tcPr>
                  <w:tcW w:w="1742" w:type="pct"/>
                  <w:gridSpan w:val="3"/>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8"/>
                      <w:szCs w:val="18"/>
                    </w:rPr>
                    <w:t>部门：</w:t>
                  </w:r>
                  <w:r>
                    <w:rPr>
                      <w:rFonts w:hint="eastAsia" w:ascii="宋体" w:hAnsi="宋体" w:eastAsia="宋体" w:cs="宋体"/>
                      <w:color w:val="000000"/>
                      <w:kern w:val="0"/>
                      <w:sz w:val="18"/>
                      <w:szCs w:val="18"/>
                      <w:lang w:val="en-US" w:eastAsia="zh-CN" w:bidi="ar"/>
                    </w:rPr>
                    <w:t>保定市满城区行政审批局</w:t>
                  </w:r>
                </w:p>
              </w:tc>
              <w:tc>
                <w:tcPr>
                  <w:tcW w:w="1239" w:type="pct"/>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73" w:type="pct"/>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50" w:type="pct"/>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91" w:type="pct"/>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74" w:type="pct"/>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129" w:type="pct"/>
                <w:trHeight w:val="90" w:hRule="atLeast"/>
                <w:jc w:val="center"/>
              </w:trPr>
              <w:tc>
                <w:tcPr>
                  <w:tcW w:w="174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3128" w:type="pct"/>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129" w:type="pct"/>
                <w:trHeight w:val="312" w:hRule="atLeast"/>
                <w:jc w:val="center"/>
              </w:trPr>
              <w:tc>
                <w:tcPr>
                  <w:tcW w:w="1174"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209"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357"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1239"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273"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350"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391"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436"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438"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jc w:val="center"/>
              </w:trPr>
              <w:tc>
                <w:tcPr>
                  <w:tcW w:w="1174" w:type="pct"/>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09" w:type="pct"/>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357" w:type="pct"/>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1239" w:type="pct"/>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73" w:type="pct"/>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350" w:type="pct"/>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391" w:type="pct"/>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36" w:type="pct"/>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38" w:type="pct"/>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129" w:type="pct"/>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338.58</w:t>
                  </w: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bidi="ar-SA"/>
                    </w:rPr>
                  </w:pPr>
                  <w:r>
                    <w:rPr>
                      <w:rFonts w:hint="eastAsia" w:ascii="Times New Roman" w:hAnsi="Times New Roman" w:eastAsia="宋体" w:cs="Times New Roman"/>
                      <w:kern w:val="0"/>
                      <w:sz w:val="15"/>
                      <w:szCs w:val="15"/>
                      <w:lang w:val="en-US" w:eastAsia="zh-CN"/>
                    </w:rPr>
                    <w:t>292.24</w:t>
                  </w: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292.24</w:t>
                  </w: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bidi="ar-SA"/>
                    </w:rPr>
                  </w:pPr>
                  <w:r>
                    <w:rPr>
                      <w:rFonts w:hint="eastAsia" w:ascii="Times New Roman" w:hAnsi="Times New Roman" w:eastAsia="宋体" w:cs="Times New Roman"/>
                      <w:kern w:val="0"/>
                      <w:sz w:val="15"/>
                      <w:szCs w:val="15"/>
                      <w:lang w:val="en-US" w:eastAsia="zh-CN"/>
                    </w:rPr>
                    <w:t>26.10</w:t>
                  </w: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26.10</w:t>
                  </w: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bidi="ar-SA"/>
                    </w:rPr>
                  </w:pPr>
                  <w:r>
                    <w:rPr>
                      <w:rFonts w:hint="eastAsia" w:ascii="Times New Roman" w:hAnsi="Times New Roman" w:eastAsia="宋体" w:cs="Times New Roman"/>
                      <w:kern w:val="0"/>
                      <w:sz w:val="15"/>
                      <w:szCs w:val="15"/>
                      <w:lang w:val="en-US" w:eastAsia="zh-CN"/>
                    </w:rPr>
                    <w:t>8.36</w:t>
                  </w: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8.36</w:t>
                  </w: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bidi="ar-SA"/>
                    </w:rPr>
                  </w:pPr>
                  <w:r>
                    <w:rPr>
                      <w:rFonts w:hint="eastAsia" w:ascii="Times New Roman" w:hAnsi="Times New Roman" w:eastAsia="宋体" w:cs="Times New Roman"/>
                      <w:kern w:val="0"/>
                      <w:sz w:val="15"/>
                      <w:szCs w:val="15"/>
                      <w:lang w:val="en-US" w:eastAsia="zh-CN"/>
                    </w:rPr>
                    <w:t>11.88</w:t>
                  </w: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11.88</w:t>
                  </w: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338.58</w:t>
                  </w: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bidi="ar-SA"/>
                    </w:rPr>
                  </w:pPr>
                  <w:r>
                    <w:rPr>
                      <w:rFonts w:hint="eastAsia" w:ascii="Times New Roman" w:hAnsi="Times New Roman" w:eastAsia="宋体" w:cs="Times New Roman"/>
                      <w:kern w:val="0"/>
                      <w:sz w:val="15"/>
                      <w:szCs w:val="15"/>
                      <w:lang w:val="en-US" w:eastAsia="zh-CN"/>
                    </w:rPr>
                    <w:t>338.58</w:t>
                  </w: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338.58</w:t>
                  </w: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20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Times New Roman" w:cs="Times New Roman"/>
                      <w:kern w:val="0"/>
                      <w:sz w:val="15"/>
                      <w:szCs w:val="15"/>
                      <w:lang w:val="en-US" w:eastAsia="zh-CN" w:bidi="ar-SA"/>
                    </w:rPr>
                  </w:pP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1174"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209" w:type="pct"/>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35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default" w:ascii="宋体" w:hAnsi="宋体" w:eastAsia="宋体" w:cs="Arial"/>
                      <w:color w:val="000000"/>
                      <w:kern w:val="0"/>
                      <w:sz w:val="15"/>
                      <w:szCs w:val="15"/>
                      <w:lang w:val="en-US" w:eastAsia="zh-CN"/>
                    </w:rPr>
                  </w:pPr>
                  <w:r>
                    <w:rPr>
                      <w:rFonts w:hint="eastAsia" w:ascii="宋体" w:hAnsi="宋体" w:eastAsia="宋体" w:cs="Arial"/>
                      <w:color w:val="000000"/>
                      <w:kern w:val="0"/>
                      <w:sz w:val="15"/>
                      <w:szCs w:val="15"/>
                      <w:lang w:val="en-US" w:eastAsia="zh-CN"/>
                    </w:rPr>
                    <w:t>338.58</w:t>
                  </w:r>
                </w:p>
              </w:tc>
              <w:tc>
                <w:tcPr>
                  <w:tcW w:w="1239"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273"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350"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eastAsia" w:ascii="Times New Roman" w:hAnsi="Times New Roman" w:eastAsia="宋体" w:cs="Times New Roman"/>
                      <w:kern w:val="0"/>
                      <w:sz w:val="15"/>
                      <w:szCs w:val="15"/>
                      <w:lang w:val="en-US" w:eastAsia="zh-CN" w:bidi="ar-SA"/>
                    </w:rPr>
                  </w:pPr>
                  <w:r>
                    <w:rPr>
                      <w:rFonts w:hint="eastAsia" w:ascii="Times New Roman" w:hAnsi="Times New Roman" w:eastAsia="宋体" w:cs="Times New Roman"/>
                      <w:kern w:val="0"/>
                      <w:sz w:val="15"/>
                      <w:szCs w:val="15"/>
                      <w:lang w:val="en-US" w:eastAsia="zh-CN"/>
                    </w:rPr>
                    <w:t>338.58</w:t>
                  </w: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hint="default" w:ascii="Times New Roman" w:hAnsi="Times New Roman" w:eastAsia="宋体" w:cs="Times New Roman"/>
                      <w:kern w:val="0"/>
                      <w:sz w:val="15"/>
                      <w:szCs w:val="15"/>
                      <w:lang w:val="en-US" w:eastAsia="zh-CN"/>
                    </w:rPr>
                  </w:pPr>
                  <w:r>
                    <w:rPr>
                      <w:rFonts w:hint="eastAsia" w:ascii="Times New Roman" w:hAnsi="Times New Roman" w:eastAsia="宋体" w:cs="Times New Roman"/>
                      <w:kern w:val="0"/>
                      <w:sz w:val="15"/>
                      <w:szCs w:val="15"/>
                      <w:lang w:val="en-US" w:eastAsia="zh-CN"/>
                    </w:rPr>
                    <w:t>338.58</w:t>
                  </w:r>
                </w:p>
              </w:tc>
              <w:tc>
                <w:tcPr>
                  <w:tcW w:w="436"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4870" w:type="pct"/>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129" w:type="pct"/>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jc w:val="center"/>
              </w:trPr>
              <w:tc>
                <w:tcPr>
                  <w:tcW w:w="4870" w:type="pct"/>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129" w:type="pct"/>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4334"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33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4852"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保定市满城区行政审批局</w:t>
            </w:r>
          </w:p>
        </w:tc>
        <w:tc>
          <w:tcPr>
            <w:tcW w:w="18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33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485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5138"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97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3873"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166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674"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97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873"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74"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97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873"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6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74"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485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67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485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color w:val="000000"/>
                <w:sz w:val="18"/>
                <w:szCs w:val="18"/>
                <w:lang w:val="en-US" w:eastAsia="zh-CN"/>
              </w:rPr>
              <w:t>338.58</w:t>
            </w:r>
          </w:p>
        </w:tc>
        <w:tc>
          <w:tcPr>
            <w:tcW w:w="1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207.04</w:t>
            </w:r>
          </w:p>
        </w:tc>
        <w:tc>
          <w:tcPr>
            <w:tcW w:w="167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val="0"/>
                <w:bCs/>
                <w:color w:val="000000"/>
                <w:sz w:val="18"/>
                <w:szCs w:val="18"/>
              </w:rPr>
            </w:pPr>
            <w:r>
              <w:rPr>
                <w:rFonts w:hint="eastAsia" w:ascii="宋体" w:hAnsi="宋体" w:eastAsia="宋体" w:cs="宋体"/>
                <w:b w:val="0"/>
                <w:bCs/>
                <w:color w:val="000000"/>
                <w:sz w:val="18"/>
                <w:szCs w:val="18"/>
                <w:lang w:val="en-US" w:eastAsia="zh-CN"/>
              </w:rPr>
              <w:t>131.54</w:t>
            </w:r>
          </w:p>
        </w:tc>
      </w:tr>
      <w:tr>
        <w:tblPrEx>
          <w:tblCellMar>
            <w:top w:w="0" w:type="dxa"/>
            <w:left w:w="0" w:type="dxa"/>
            <w:bottom w:w="0" w:type="dxa"/>
            <w:right w:w="0" w:type="dxa"/>
          </w:tblCellMar>
        </w:tblPrEx>
        <w:trPr>
          <w:trHeight w:val="308" w:hRule="atLeast"/>
          <w:jc w:val="center"/>
        </w:trPr>
        <w:tc>
          <w:tcPr>
            <w:tcW w:w="97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w:t>
            </w:r>
          </w:p>
        </w:tc>
        <w:tc>
          <w:tcPr>
            <w:tcW w:w="3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一般公共服务支出</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292.24</w:t>
            </w:r>
          </w:p>
        </w:tc>
        <w:tc>
          <w:tcPr>
            <w:tcW w:w="1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160.70</w:t>
            </w:r>
          </w:p>
        </w:tc>
        <w:tc>
          <w:tcPr>
            <w:tcW w:w="167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131.54</w:t>
            </w:r>
          </w:p>
        </w:tc>
      </w:tr>
      <w:tr>
        <w:tblPrEx>
          <w:tblCellMar>
            <w:top w:w="0" w:type="dxa"/>
            <w:left w:w="0" w:type="dxa"/>
            <w:bottom w:w="0" w:type="dxa"/>
            <w:right w:w="0" w:type="dxa"/>
          </w:tblCellMar>
        </w:tblPrEx>
        <w:trPr>
          <w:trHeight w:val="308" w:hRule="atLeast"/>
          <w:jc w:val="center"/>
        </w:trPr>
        <w:tc>
          <w:tcPr>
            <w:tcW w:w="97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w:t>
            </w:r>
          </w:p>
        </w:tc>
        <w:tc>
          <w:tcPr>
            <w:tcW w:w="3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政府办公厅（室）及相关机构事务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292.24</w:t>
            </w:r>
          </w:p>
        </w:tc>
        <w:tc>
          <w:tcPr>
            <w:tcW w:w="1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160.70</w:t>
            </w:r>
          </w:p>
        </w:tc>
        <w:tc>
          <w:tcPr>
            <w:tcW w:w="167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131.54</w:t>
            </w:r>
          </w:p>
        </w:tc>
      </w:tr>
      <w:tr>
        <w:tblPrEx>
          <w:tblCellMar>
            <w:top w:w="0" w:type="dxa"/>
            <w:left w:w="0" w:type="dxa"/>
            <w:bottom w:w="0" w:type="dxa"/>
            <w:right w:w="0" w:type="dxa"/>
          </w:tblCellMar>
        </w:tblPrEx>
        <w:trPr>
          <w:trHeight w:val="308" w:hRule="atLeast"/>
          <w:jc w:val="center"/>
        </w:trPr>
        <w:tc>
          <w:tcPr>
            <w:tcW w:w="97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2010301</w:t>
            </w:r>
          </w:p>
        </w:tc>
        <w:tc>
          <w:tcPr>
            <w:tcW w:w="3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行政运行</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101.38</w:t>
            </w:r>
          </w:p>
        </w:tc>
        <w:tc>
          <w:tcPr>
            <w:tcW w:w="1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101.38</w:t>
            </w:r>
          </w:p>
        </w:tc>
        <w:tc>
          <w:tcPr>
            <w:tcW w:w="167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2010302</w:t>
            </w:r>
          </w:p>
        </w:tc>
        <w:tc>
          <w:tcPr>
            <w:tcW w:w="387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一般行政管理事务</w:t>
            </w:r>
          </w:p>
        </w:tc>
        <w:tc>
          <w:tcPr>
            <w:tcW w:w="1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114.02</w:t>
            </w:r>
          </w:p>
        </w:tc>
        <w:tc>
          <w:tcPr>
            <w:tcW w:w="166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67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114.02</w:t>
            </w:r>
          </w:p>
        </w:tc>
      </w:tr>
      <w:tr>
        <w:tblPrEx>
          <w:tblCellMar>
            <w:top w:w="0" w:type="dxa"/>
            <w:left w:w="0" w:type="dxa"/>
            <w:bottom w:w="0" w:type="dxa"/>
            <w:right w:w="0" w:type="dxa"/>
          </w:tblCellMar>
        </w:tblPrEx>
        <w:trPr>
          <w:trHeight w:val="308" w:hRule="atLeast"/>
          <w:jc w:val="center"/>
        </w:trPr>
        <w:tc>
          <w:tcPr>
            <w:tcW w:w="979"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2010306</w:t>
            </w:r>
          </w:p>
        </w:tc>
        <w:tc>
          <w:tcPr>
            <w:tcW w:w="3873"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政务公开审批</w:t>
            </w:r>
          </w:p>
        </w:tc>
        <w:tc>
          <w:tcPr>
            <w:tcW w:w="1800"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4.00</w:t>
            </w:r>
          </w:p>
        </w:tc>
        <w:tc>
          <w:tcPr>
            <w:tcW w:w="166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4.00</w:t>
            </w:r>
          </w:p>
        </w:tc>
        <w:tc>
          <w:tcPr>
            <w:tcW w:w="1674"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2010350</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事业运行</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29.33</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29.33</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2010399</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其他政府办公厅（室）及相关机构事务支出</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43.51</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25.99</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17.52</w:t>
            </w: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208</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社会保障和就业支出</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26.10</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26.10</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20805</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行政事业单位养老支出</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26.10</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26.10</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2080505</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机关事业单位基本养老保险缴费支出</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24.00</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24.00</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2080506</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机关事业单位职业年金缴费支出</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卫生健康支出</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21011</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行政事业单位医疗</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8.36</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2101101</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行政单位医疗</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6.82</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6.82</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2101102</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事业单位医疗</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1.54</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1.54</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221</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住房保障支出</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22102</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住房改革支出</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97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2210201</w:t>
            </w:r>
          </w:p>
        </w:tc>
        <w:tc>
          <w:tcPr>
            <w:tcW w:w="387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18"/>
                <w:szCs w:val="18"/>
              </w:rPr>
            </w:pPr>
            <w:r>
              <w:rPr>
                <w:rFonts w:hint="eastAsia" w:ascii="宋体" w:hAnsi="宋体" w:eastAsia="宋体" w:cs="宋体"/>
                <w:color w:val="000000"/>
                <w:sz w:val="18"/>
                <w:szCs w:val="18"/>
                <w:lang w:val="en-US" w:eastAsia="zh-CN"/>
              </w:rPr>
              <w:t>住房公积金</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16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r>
              <w:rPr>
                <w:rFonts w:hint="eastAsia" w:ascii="宋体" w:hAnsi="宋体" w:eastAsia="宋体" w:cs="宋体"/>
                <w:color w:val="000000"/>
                <w:sz w:val="18"/>
                <w:szCs w:val="18"/>
                <w:lang w:val="en-US" w:eastAsia="zh-CN"/>
              </w:rPr>
              <w:t>11.88</w:t>
            </w:r>
          </w:p>
        </w:tc>
        <w:tc>
          <w:tcPr>
            <w:tcW w:w="167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3728"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r>
              <w:rPr>
                <w:rFonts w:hint="eastAsia" w:ascii="宋体" w:hAnsi="宋体" w:eastAsia="宋体" w:cs="宋体"/>
                <w:color w:val="000000"/>
                <w:kern w:val="0"/>
                <w:sz w:val="16"/>
                <w:szCs w:val="16"/>
                <w:lang w:bidi="ar"/>
              </w:rPr>
              <w:t>部门：</w:t>
            </w:r>
            <w:r>
              <w:rPr>
                <w:rFonts w:hint="eastAsia" w:ascii="宋体" w:hAnsi="宋体" w:eastAsia="宋体" w:cs="宋体"/>
                <w:color w:val="000000"/>
                <w:kern w:val="0"/>
                <w:sz w:val="18"/>
                <w:szCs w:val="18"/>
                <w:lang w:val="en-US" w:eastAsia="zh-CN" w:bidi="ar"/>
              </w:rPr>
              <w:t>保定市满城区行政审批局</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192.08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14.59</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120.30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1.26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14.93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4.63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5.88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24.00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2.10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8.36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9.25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11.88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0.37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211"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0.37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1.34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2.74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192.45</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center"/>
              <w:rPr>
                <w:rFonts w:hint="default" w:ascii="宋体" w:hAnsi="宋体" w:eastAsia="宋体" w:cs="宋体"/>
                <w:color w:val="000000"/>
                <w:sz w:val="16"/>
                <w:szCs w:val="16"/>
                <w:lang w:val="en-US" w:eastAsia="zh-CN"/>
              </w:rPr>
            </w:pPr>
            <w:r>
              <w:rPr>
                <w:rFonts w:hint="eastAsia" w:ascii="宋体" w:hAnsi="宋体" w:eastAsia="宋体" w:cs="宋体"/>
                <w:color w:val="000000"/>
                <w:sz w:val="16"/>
                <w:szCs w:val="16"/>
                <w:lang w:val="en-US" w:eastAsia="zh-CN"/>
              </w:rPr>
              <w:t>14.59</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保定市满城区行政审批局</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2.92</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Cs w:val="22"/>
                <w:lang w:val="en-US" w:eastAsia="zh-CN"/>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2.92</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Cs w:val="22"/>
                <w:lang w:val="en-US" w:eastAsia="zh-CN"/>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2.5</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0.42</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1.34</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Cs w:val="22"/>
                <w:lang w:val="en-US" w:eastAsia="zh-CN"/>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1.34</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Cs w:val="22"/>
                <w:lang w:val="en-US" w:eastAsia="zh-CN"/>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Cs w:val="22"/>
                <w:lang w:val="en-US" w:eastAsia="zh-CN"/>
              </w:rPr>
            </w:pPr>
            <w:r>
              <w:rPr>
                <w:rFonts w:hint="eastAsia" w:ascii="宋体" w:hAnsi="宋体" w:eastAsia="宋体" w:cs="宋体"/>
                <w:color w:val="000000"/>
                <w:szCs w:val="22"/>
                <w:lang w:val="en-US" w:eastAsia="zh-CN"/>
              </w:rPr>
              <w:t>1.34</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color w:val="000000"/>
                <w:szCs w:val="22"/>
                <w:lang w:val="en-US" w:eastAsia="zh-CN"/>
              </w:rPr>
            </w:pP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val="0"/>
          <w:bCs/>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10287" w:type="dxa"/>
        <w:jc w:val="center"/>
        <w:tblLayout w:type="fixed"/>
        <w:tblCellMar>
          <w:top w:w="0" w:type="dxa"/>
          <w:left w:w="0" w:type="dxa"/>
          <w:bottom w:w="0" w:type="dxa"/>
          <w:right w:w="0" w:type="dxa"/>
        </w:tblCellMar>
      </w:tblPr>
      <w:tblGrid>
        <w:gridCol w:w="1101"/>
        <w:gridCol w:w="3654"/>
        <w:gridCol w:w="914"/>
        <w:gridCol w:w="941"/>
        <w:gridCol w:w="914"/>
        <w:gridCol w:w="954"/>
        <w:gridCol w:w="914"/>
        <w:gridCol w:w="895"/>
      </w:tblGrid>
      <w:tr>
        <w:tblPrEx>
          <w:tblCellMar>
            <w:top w:w="0" w:type="dxa"/>
            <w:left w:w="0" w:type="dxa"/>
            <w:bottom w:w="0" w:type="dxa"/>
            <w:right w:w="0" w:type="dxa"/>
          </w:tblCellMar>
        </w:tblPrEx>
        <w:trPr>
          <w:trHeight w:val="780" w:hRule="atLeast"/>
          <w:jc w:val="center"/>
        </w:trPr>
        <w:tc>
          <w:tcPr>
            <w:tcW w:w="10287"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10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365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1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4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1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5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809"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4755" w:type="dxa"/>
            <w:gridSpan w:val="2"/>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宋体" w:hAnsi="宋体" w:eastAsia="宋体" w:cs="宋体"/>
                <w:color w:val="000000"/>
                <w:kern w:val="0"/>
                <w:sz w:val="18"/>
                <w:szCs w:val="18"/>
                <w:lang w:bidi="ar"/>
              </w:rPr>
              <w:t>部门：</w:t>
            </w:r>
            <w:r>
              <w:rPr>
                <w:rFonts w:hint="eastAsia" w:ascii="宋体" w:hAnsi="宋体" w:eastAsia="宋体" w:cs="宋体"/>
                <w:color w:val="000000"/>
                <w:kern w:val="0"/>
                <w:sz w:val="18"/>
                <w:szCs w:val="18"/>
                <w:lang w:val="en-US" w:eastAsia="zh-CN" w:bidi="ar"/>
              </w:rPr>
              <w:t>保定市满城区行政审批局</w:t>
            </w:r>
          </w:p>
        </w:tc>
        <w:tc>
          <w:tcPr>
            <w:tcW w:w="91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4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1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954"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809"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47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91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94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278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89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0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365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9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4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95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91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8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365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9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4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5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8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0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365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91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4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5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91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89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47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9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47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kern w:val="2"/>
                <w:sz w:val="18"/>
                <w:szCs w:val="18"/>
                <w:lang w:val="en-US" w:eastAsia="zh-CN" w:bidi="ar-SA"/>
              </w:rPr>
            </w:pPr>
          </w:p>
        </w:tc>
        <w:tc>
          <w:tcPr>
            <w:tcW w:w="9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18"/>
                <w:szCs w:val="18"/>
                <w:lang w:val="en-US" w:eastAsia="zh-CN"/>
              </w:rPr>
            </w:pPr>
          </w:p>
        </w:tc>
        <w:tc>
          <w:tcPr>
            <w:tcW w:w="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11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p>
        </w:tc>
        <w:tc>
          <w:tcPr>
            <w:tcW w:w="3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1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p>
        </w:tc>
        <w:tc>
          <w:tcPr>
            <w:tcW w:w="3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1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p>
        </w:tc>
        <w:tc>
          <w:tcPr>
            <w:tcW w:w="3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11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p>
        </w:tc>
        <w:tc>
          <w:tcPr>
            <w:tcW w:w="36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kern w:val="2"/>
                <w:sz w:val="18"/>
                <w:szCs w:val="18"/>
                <w:lang w:val="en-US" w:eastAsia="zh-CN" w:bidi="ar-SA"/>
              </w:rPr>
            </w:pPr>
          </w:p>
        </w:tc>
        <w:tc>
          <w:tcPr>
            <w:tcW w:w="9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9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kern w:val="2"/>
                <w:sz w:val="18"/>
                <w:szCs w:val="18"/>
                <w:lang w:val="en-US" w:eastAsia="zh-CN" w:bidi="ar-SA"/>
              </w:rPr>
            </w:pPr>
          </w:p>
        </w:tc>
        <w:tc>
          <w:tcPr>
            <w:tcW w:w="8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jc w:val="both"/>
        <w:rPr>
          <w:rFonts w:hint="eastAsia" w:ascii="宋体" w:hAnsi="宋体" w:eastAsia="宋体" w:cs="宋体"/>
          <w:sz w:val="20"/>
          <w:szCs w:val="22"/>
        </w:rPr>
      </w:pPr>
      <w:r>
        <w:rPr>
          <w:rFonts w:hint="eastAsia" w:ascii="宋体" w:hAnsi="宋体" w:eastAsia="宋体" w:cs="宋体"/>
          <w:sz w:val="20"/>
          <w:szCs w:val="22"/>
        </w:rPr>
        <w:t>注：本表反映部门本年度政府性基金预算财政拨款收入、支出及结转结余情况。</w:t>
      </w:r>
    </w:p>
    <w:p>
      <w:pPr>
        <w:ind w:firstLine="420" w:firstLineChars="200"/>
        <w:jc w:val="both"/>
        <w:rPr>
          <w:b/>
          <w:sz w:val="20"/>
          <w:szCs w:val="22"/>
          <w:highlight w:val="yellow"/>
        </w:rPr>
      </w:pPr>
      <w:r>
        <w:rPr>
          <w:rFonts w:hint="eastAsia" w:ascii="宋体" w:hAnsi="宋体" w:eastAsia="宋体" w:cs="宋体"/>
          <w:lang w:val="en-US" w:eastAsia="zh-CN"/>
        </w:rPr>
        <w:t>本部门本年度无相关支出情况，按要求空表列示。</w:t>
      </w:r>
      <w:r>
        <w:rPr>
          <w:b/>
          <w:sz w:val="20"/>
          <w:szCs w:val="22"/>
          <w:highlight w:val="yellow"/>
        </w:rPr>
        <w:br w:type="page"/>
      </w:r>
    </w:p>
    <w:tbl>
      <w:tblPr>
        <w:tblStyle w:val="5"/>
        <w:tblW w:w="5000" w:type="pct"/>
        <w:tblInd w:w="0" w:type="dxa"/>
        <w:tblLayout w:type="autofit"/>
        <w:tblCellMar>
          <w:top w:w="0" w:type="dxa"/>
          <w:left w:w="0" w:type="dxa"/>
          <w:bottom w:w="0" w:type="dxa"/>
          <w:right w:w="0" w:type="dxa"/>
        </w:tblCellMar>
      </w:tblPr>
      <w:tblGrid>
        <w:gridCol w:w="86"/>
        <w:gridCol w:w="973"/>
        <w:gridCol w:w="3056"/>
        <w:gridCol w:w="802"/>
        <w:gridCol w:w="382"/>
        <w:gridCol w:w="1800"/>
        <w:gridCol w:w="1775"/>
      </w:tblGrid>
      <w:tr>
        <w:trPr>
          <w:trHeight w:val="824"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rPr>
          <w:trHeight w:val="250" w:hRule="atLeast"/>
        </w:trPr>
        <w:tc>
          <w:tcPr>
            <w:tcW w:w="49" w:type="pct"/>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721" w:type="pct"/>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28" w:type="pct"/>
            <w:gridSpan w:val="3"/>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2771" w:type="pct"/>
            <w:gridSpan w:val="4"/>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val="en-US" w:eastAsia="zh-CN" w:bidi="ar"/>
              </w:rPr>
              <w:t>保定市满城区行政审批局</w:t>
            </w:r>
          </w:p>
        </w:tc>
        <w:tc>
          <w:tcPr>
            <w:tcW w:w="2228" w:type="pct"/>
            <w:gridSpan w:val="3"/>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rPr>
          <w:trHeight w:val="302" w:hRule="atLeast"/>
        </w:trPr>
        <w:tc>
          <w:tcPr>
            <w:tcW w:w="2319"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2680" w:type="pct"/>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trHeight w:val="604" w:hRule="atLeast"/>
        </w:trPr>
        <w:tc>
          <w:tcPr>
            <w:tcW w:w="597" w:type="pct"/>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172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66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0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9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rPr>
          <w:trHeight w:val="302" w:hRule="atLeast"/>
        </w:trPr>
        <w:tc>
          <w:tcPr>
            <w:tcW w:w="231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66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2" w:hRule="atLeast"/>
        </w:trPr>
        <w:tc>
          <w:tcPr>
            <w:tcW w:w="2319" w:type="pct"/>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66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9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2" w:hRule="atLeast"/>
        </w:trPr>
        <w:tc>
          <w:tcPr>
            <w:tcW w:w="597"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6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597"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6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597"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6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2" w:hRule="atLeast"/>
        </w:trPr>
        <w:tc>
          <w:tcPr>
            <w:tcW w:w="597"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721" w:type="pc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67"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rPr>
      </w:pPr>
      <w:r>
        <w:rPr>
          <w:rFonts w:hint="eastAsia" w:ascii="宋体" w:hAnsi="宋体" w:eastAsia="宋体" w:cs="宋体"/>
        </w:rPr>
        <w:t>注：本表反映部门本年度国有资本经营预算财政拨款收入、支出及结转结余情况。</w:t>
      </w:r>
    </w:p>
    <w:p>
      <w:pPr>
        <w:ind w:firstLine="420" w:firstLineChars="200"/>
        <w:rPr>
          <w:rFonts w:ascii="黑体" w:hAnsi="黑体" w:eastAsia="黑体" w:cs="黑体"/>
          <w:sz w:val="56"/>
          <w:szCs w:val="72"/>
          <w:highlight w:val="yellow"/>
        </w:rPr>
      </w:pPr>
      <w:r>
        <w:rPr>
          <w:rFonts w:hint="eastAsia" w:ascii="宋体" w:hAnsi="宋体" w:eastAsia="宋体" w:cs="宋体"/>
          <w:lang w:val="en-US" w:eastAsia="zh-CN"/>
        </w:rPr>
        <w:t>本部门本年度无相关支出情况，按要求空表列示。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4384;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pPr>
        <w:ind w:left="-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18668E"/>
    <w:rsid w:val="001B73D2"/>
    <w:rsid w:val="001E62BF"/>
    <w:rsid w:val="00293E7B"/>
    <w:rsid w:val="002D1F4F"/>
    <w:rsid w:val="00366D90"/>
    <w:rsid w:val="003D678E"/>
    <w:rsid w:val="00801F66"/>
    <w:rsid w:val="009334BF"/>
    <w:rsid w:val="02D72661"/>
    <w:rsid w:val="04F40B49"/>
    <w:rsid w:val="0502648F"/>
    <w:rsid w:val="058B71E0"/>
    <w:rsid w:val="05AB60FE"/>
    <w:rsid w:val="065F03C7"/>
    <w:rsid w:val="07C70447"/>
    <w:rsid w:val="08185DE5"/>
    <w:rsid w:val="095A2C3F"/>
    <w:rsid w:val="09E400EE"/>
    <w:rsid w:val="0A003360"/>
    <w:rsid w:val="0B506E52"/>
    <w:rsid w:val="0C047AA1"/>
    <w:rsid w:val="0EA325C9"/>
    <w:rsid w:val="116F36F3"/>
    <w:rsid w:val="15287520"/>
    <w:rsid w:val="156B02CB"/>
    <w:rsid w:val="15D041BA"/>
    <w:rsid w:val="18401D89"/>
    <w:rsid w:val="18934C96"/>
    <w:rsid w:val="1CEC26E6"/>
    <w:rsid w:val="1D474BCB"/>
    <w:rsid w:val="20BF022D"/>
    <w:rsid w:val="22AE3C04"/>
    <w:rsid w:val="257258E6"/>
    <w:rsid w:val="273C72F8"/>
    <w:rsid w:val="28A87E97"/>
    <w:rsid w:val="28FC13E7"/>
    <w:rsid w:val="29F363C8"/>
    <w:rsid w:val="2A08390E"/>
    <w:rsid w:val="2CAB646E"/>
    <w:rsid w:val="2E032163"/>
    <w:rsid w:val="2EF605C6"/>
    <w:rsid w:val="2FB96948"/>
    <w:rsid w:val="305017FB"/>
    <w:rsid w:val="30A474E7"/>
    <w:rsid w:val="31000A8D"/>
    <w:rsid w:val="3327616A"/>
    <w:rsid w:val="33ED7D44"/>
    <w:rsid w:val="34055745"/>
    <w:rsid w:val="34C45458"/>
    <w:rsid w:val="34F5574A"/>
    <w:rsid w:val="35C83C42"/>
    <w:rsid w:val="372A58A1"/>
    <w:rsid w:val="387855A3"/>
    <w:rsid w:val="3CB96590"/>
    <w:rsid w:val="3CD64354"/>
    <w:rsid w:val="3DF72521"/>
    <w:rsid w:val="3F9B007E"/>
    <w:rsid w:val="3FBC6659"/>
    <w:rsid w:val="403863BB"/>
    <w:rsid w:val="438234DC"/>
    <w:rsid w:val="439607B0"/>
    <w:rsid w:val="458F7284"/>
    <w:rsid w:val="460936AD"/>
    <w:rsid w:val="460B6BFA"/>
    <w:rsid w:val="47DB5E44"/>
    <w:rsid w:val="47DD0A82"/>
    <w:rsid w:val="4B4377DC"/>
    <w:rsid w:val="4B447165"/>
    <w:rsid w:val="4BDD4481"/>
    <w:rsid w:val="4C7714BB"/>
    <w:rsid w:val="4F186063"/>
    <w:rsid w:val="5303754F"/>
    <w:rsid w:val="53264487"/>
    <w:rsid w:val="54665272"/>
    <w:rsid w:val="54F86E5C"/>
    <w:rsid w:val="57E3735D"/>
    <w:rsid w:val="5A0A25DA"/>
    <w:rsid w:val="5B731A36"/>
    <w:rsid w:val="5BA41D2F"/>
    <w:rsid w:val="5D0C63C4"/>
    <w:rsid w:val="5E4C694B"/>
    <w:rsid w:val="5F786493"/>
    <w:rsid w:val="5FD42E18"/>
    <w:rsid w:val="60B04708"/>
    <w:rsid w:val="611D41C0"/>
    <w:rsid w:val="61203178"/>
    <w:rsid w:val="623C777A"/>
    <w:rsid w:val="62E03854"/>
    <w:rsid w:val="65015858"/>
    <w:rsid w:val="663B6B17"/>
    <w:rsid w:val="685C3A37"/>
    <w:rsid w:val="6C2D3698"/>
    <w:rsid w:val="6CF37F17"/>
    <w:rsid w:val="6F13432E"/>
    <w:rsid w:val="70767B63"/>
    <w:rsid w:val="70C71E91"/>
    <w:rsid w:val="73D824BD"/>
    <w:rsid w:val="74237432"/>
    <w:rsid w:val="75751CB3"/>
    <w:rsid w:val="76765D8C"/>
    <w:rsid w:val="76E06AB0"/>
    <w:rsid w:val="77C56433"/>
    <w:rsid w:val="786B6709"/>
    <w:rsid w:val="7876579A"/>
    <w:rsid w:val="78A83867"/>
    <w:rsid w:val="7AA279C7"/>
    <w:rsid w:val="7C457A9F"/>
    <w:rsid w:val="7D664A53"/>
    <w:rsid w:val="7F4D0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2.bmp"/><Relationship Id="rId10" Type="http://schemas.openxmlformats.org/officeDocument/2006/relationships/image" Target="media/image1.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1\AppData\Local\Temp\wps.MXUeRo\Workbook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1\AppData\Local\Temp\wps.MXUeRo\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0</c:v>
                </c:pt>
                <c:pt idx="1">
                  <c:v>338.58</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40918056705805"/>
          <c:y val="0.0925725447067855"/>
          <c:w val="0.938888888888889"/>
          <c:h val="0.898148148148148"/>
        </c:manualLayout>
      </c:layout>
      <c:pie3DChart>
        <c:varyColors val="1"/>
        <c:ser>
          <c:idx val="0"/>
          <c:order val="0"/>
          <c:spPr>
            <a:ln w="25400">
              <a:noFill/>
            </a:ln>
            <a:scene3d>
              <a:camera prst="orthographicFront"/>
              <a:lightRig rig="threePt" dir="t"/>
            </a:scene3d>
            <a:sp3d contourW="25400"/>
          </c:spPr>
          <c:explosion val="0"/>
          <c:dPt>
            <c:idx val="0"/>
            <c:bubble3D val="0"/>
            <c:explosion val="0"/>
            <c:spPr>
              <a:solidFill>
                <a:schemeClr val="accent1"/>
              </a:solidFill>
              <a:ln w="25400">
                <a:noFill/>
              </a:ln>
              <a:effectLst>
                <a:outerShdw blurRad="50800" dist="38100" dir="16200000" rotWithShape="0">
                  <a:prstClr val="black">
                    <a:alpha val="40000"/>
                  </a:prstClr>
                </a:outerShdw>
              </a:effectLst>
            </c:spPr>
          </c:dPt>
          <c:dPt>
            <c:idx val="1"/>
            <c:bubble3D val="0"/>
            <c:explosion val="0"/>
            <c:spPr>
              <a:solidFill>
                <a:schemeClr val="accent2"/>
              </a:solidFill>
              <a:ln w="25400">
                <a:noFill/>
              </a:ln>
              <a:effectLst/>
              <a:scene3d>
                <a:camera prst="orthographicFront"/>
                <a:lightRig rig="threePt" dir="t"/>
              </a:scene3d>
              <a:sp3d contourW="25400"/>
            </c:spPr>
          </c:dPt>
          <c:dPt>
            <c:idx val="2"/>
            <c:bubble3D val="0"/>
            <c:spPr>
              <a:solidFill>
                <a:schemeClr val="accent3"/>
              </a:solidFill>
              <a:ln w="25400">
                <a:noFill/>
              </a:ln>
              <a:effectLst/>
              <a:scene3d>
                <a:camera prst="orthographicFront"/>
                <a:lightRig rig="threePt" dir="t"/>
              </a:scene3d>
              <a:sp3d contourW="25400"/>
            </c:spPr>
          </c:dPt>
          <c:dLbls>
            <c:dLbl>
              <c:idx val="0"/>
              <c:layout>
                <c:manualLayout>
                  <c:x val="-0.25607803582364"/>
                  <c:y val="-0.29738119500765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 61.15%</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34896947982832"/>
                  <c:y val="0.043521597905711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 38.85%</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经营支出 0%</a:t>
                    </a:r>
                  </a:p>
                </c:rich>
              </c:tx>
              <c:dLblPos val="in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[Workbook1.xlsx]Sheet2!$A$1:$A$3</c:f>
              <c:strCache>
                <c:ptCount val="3"/>
                <c:pt idx="0">
                  <c:v>基本支出</c:v>
                </c:pt>
                <c:pt idx="1">
                  <c:v>项目支出</c:v>
                </c:pt>
                <c:pt idx="2">
                  <c:v>经营支出</c:v>
                </c:pt>
              </c:strCache>
            </c:strRef>
          </c:cat>
          <c:val>
            <c:numRef>
              <c:f>[Workbook1.xlsx]Sheet2!$B$1:$B$3</c:f>
              <c:numCache>
                <c:formatCode>0.00%</c:formatCode>
                <c:ptCount val="3"/>
                <c:pt idx="0">
                  <c:v>0.6115</c:v>
                </c:pt>
                <c:pt idx="1">
                  <c:v>0.3885</c:v>
                </c:pt>
                <c:pt idx="2" c:formatCode="0%">
                  <c:v>0</c:v>
                </c:pt>
              </c:numCache>
            </c:numRef>
          </c:val>
        </c:ser>
        <c:dLbls>
          <c:showLegendKey val="0"/>
          <c:showVal val="1"/>
          <c:showCatName val="0"/>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15905687404369"/>
          <c:y val="0.0503497059291052"/>
          <c:w val="0.588888888888889"/>
          <c:h val="0.898148148148148"/>
        </c:manualLayout>
      </c:layout>
      <c:pie3DChart>
        <c:varyColors val="1"/>
        <c:ser>
          <c:idx val="0"/>
          <c:order val="0"/>
          <c:spPr>
            <a:ln w="25400">
              <a:noFill/>
            </a:ln>
            <a:scene3d>
              <a:camera prst="orthographicFront"/>
              <a:lightRig rig="threePt" dir="t"/>
            </a:scene3d>
            <a:sp3d contourW="25400"/>
          </c:spPr>
          <c:explosion val="0"/>
          <c:dPt>
            <c:idx val="0"/>
            <c:bubble3D val="0"/>
            <c:explosion val="0"/>
            <c:spPr>
              <a:solidFill>
                <a:schemeClr val="accent1"/>
              </a:solidFill>
              <a:ln w="25400">
                <a:noFill/>
              </a:ln>
              <a:effectLst/>
              <a:scene3d>
                <a:camera prst="orthographicFront"/>
                <a:lightRig rig="threePt" dir="t"/>
              </a:scene3d>
              <a:sp3d contourW="25400"/>
            </c:spPr>
          </c:dPt>
          <c:dPt>
            <c:idx val="1"/>
            <c:bubble3D val="0"/>
            <c:spPr>
              <a:solidFill>
                <a:schemeClr val="accent2"/>
              </a:solidFill>
              <a:ln w="25400">
                <a:noFill/>
              </a:ln>
              <a:effectLst/>
              <a:scene3d>
                <a:camera prst="orthographicFront"/>
                <a:lightRig rig="threePt" dir="t"/>
              </a:scene3d>
              <a:sp3d contourW="25400"/>
            </c:spPr>
          </c:dPt>
          <c:dPt>
            <c:idx val="2"/>
            <c:bubble3D val="0"/>
            <c:spPr>
              <a:solidFill>
                <a:schemeClr val="accent3"/>
              </a:solidFill>
              <a:ln w="25400">
                <a:noFill/>
              </a:ln>
              <a:effectLst/>
              <a:scene3d>
                <a:camera prst="orthographicFront"/>
                <a:lightRig rig="threePt" dir="t"/>
              </a:scene3d>
              <a:sp3d contourW="25400"/>
            </c:spPr>
          </c:dPt>
          <c:dPt>
            <c:idx val="3"/>
            <c:bubble3D val="0"/>
            <c:spPr>
              <a:solidFill>
                <a:schemeClr val="accent4"/>
              </a:solidFill>
              <a:ln w="25400">
                <a:noFill/>
              </a:ln>
              <a:effectLst/>
              <a:scene3d>
                <a:camera prst="orthographicFront"/>
                <a:lightRig rig="threePt" dir="t"/>
              </a:scene3d>
              <a:sp3d contourW="25400"/>
            </c:spPr>
          </c:dPt>
          <c:dLbls>
            <c:dLbl>
              <c:idx val="0"/>
              <c:layout>
                <c:manualLayout>
                  <c:x val="-0.0641837431063673"/>
                  <c:y val="-0.41747552742274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86</a:t>
                    </a:r>
                    <a:r>
                      <a:rPr lang="en-US" altLang="zh-CN"/>
                      <a:t>.31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714006793807472"/>
                  <c:y val="0.096322888302867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7.71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12237480547387"/>
                  <c:y val="-0.02961133715501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a:t>
                    </a:r>
                    <a:r>
                      <a:rPr lang="en-US" altLang="zh-CN"/>
                      <a:t>.47</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36519200251834"/>
                  <c:y val="0.09755325704311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3.51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[Workbook1.xlsx]Sheet2!$A$1:$A$4</c:f>
              <c:strCache>
                <c:ptCount val="4"/>
                <c:pt idx="0">
                  <c:v>一般公共服务（类）支出</c:v>
                </c:pt>
                <c:pt idx="1">
                  <c:v>社会保障和就业（类）支出</c:v>
                </c:pt>
                <c:pt idx="2">
                  <c:v>卫生健康（类）支出</c:v>
                </c:pt>
                <c:pt idx="3">
                  <c:v>住房保障（类）支出</c:v>
                </c:pt>
              </c:strCache>
            </c:strRef>
          </c:cat>
          <c:val>
            <c:numRef>
              <c:f>[Workbook1.xlsx]Sheet2!$B$1:$B$4</c:f>
              <c:numCache>
                <c:formatCode>0.00%</c:formatCode>
                <c:ptCount val="4"/>
                <c:pt idx="0">
                  <c:v>0.8631</c:v>
                </c:pt>
                <c:pt idx="1">
                  <c:v>0.0771</c:v>
                </c:pt>
                <c:pt idx="2">
                  <c:v>0.0247</c:v>
                </c:pt>
                <c:pt idx="3">
                  <c:v>0.0351</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Words>
  <Characters>9876</Characters>
  <Lines>82</Lines>
  <Paragraphs>23</Paragraphs>
  <TotalTime>1</TotalTime>
  <ScaleCrop>false</ScaleCrop>
  <LinksUpToDate>false</LinksUpToDate>
  <CharactersWithSpaces>11585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2022-09-16T02:32:41Z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65FA352BAB5146309CB066C800874C19</vt:lpwstr>
  </property>
</Properties>
</file>