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申请纳入定点零售药店应当具备的条件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1.符合统筹区定点零售药店布局计划；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需取得《药品经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营许可证》和《营业执照》；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3.正常运营3个月以上，所有零售药品、器械明码标价，实行收费清单制；药品销售价格不高于区域内定点零售药店均值；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4.至少有1名取得《执业药师资格证》的药师，且注册在本零售药店，在营业时间内能为参保人提供处方审核、指导合理用药等服务，签订1年以上劳动合同，且劳动合同在有效期内；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5.至少有2名熟悉医保法律法规和相关制度规定的专（兼）职医保管理人员，并签订1年以上劳动合同，劳动合同在有效期内；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6. 应当具备完善的信息系统技术和接口标准，实现与医保信息系统安全有效对接，为参保人提供直接联网结算；设立医保药品、耗材等基础数据库，按规定使用国家统一的医保编码；有药品、耗材进销存管理系统，并建立“进、销、存”台账；有健全的财务管理系统，能打印会计账簿、财务报表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7.具有符合医保要求的医保管理制度、财务制度、统计信息管理制度、药品质量安全制度、现金管理制度及收费票据管理制度等；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8.设置专柜陈设基本医疗保险目录内药品，处方、非处方药品分别陈列，有明确标识；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9.提供24小时售药服务，公开药店电话；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10.营业场所、设施设备、人员配备等应当持续符合行业主管部门的规定；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11.能够积极主动配合医保工作等。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928" w:right="1474" w:bottom="1587" w:left="1531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4"/>
                    <w:szCs w:val="24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4A407E7"/>
    <w:rsid w:val="29F429A8"/>
    <w:rsid w:val="48D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adjustRightInd w:val="0"/>
      <w:spacing w:line="318" w:lineRule="atLeast"/>
      <w:ind w:left="369" w:firstLine="369"/>
      <w:textAlignment w:val="baseline"/>
    </w:pPr>
    <w:rPr>
      <w:rFonts w:ascii="宋体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2022-03-11T02:10:25Z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ADCB67EDA1284ACAA3AA1D7145603B4C</vt:lpwstr>
  </property>
</Properties>
</file>