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申请纳入普通住院定点医疗机构应当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具备的条件</w:t>
      </w:r>
    </w:p>
    <w:p>
      <w:pPr>
        <w:ind w:firstLine="643" w:firstLineChars="200"/>
        <w:rPr>
          <w:rFonts w:hint="eastAsia" w:ascii="宋体" w:hAnsi="宋体" w:eastAsia="宋体" w:cs="宋体"/>
          <w:b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1.符合统筹区定点医疗机构布局计划；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 需取得《医疗机构执业许可证》《营业执照》或《事业单位法人证书》；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3.正常运营3个月以上，一级医疗机构每月住院人次应达到20人次，二级及以上医疗机构每月住院人次应达到100人次；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 药品、耗材、诊疗项目价格不得高于同级同类公立医疗机构均值；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5.次均费用不得超过同病种同级同类公立医疗机构均值；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6.医保目录内药品、诊疗项目使用率达到相关规定要求；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 配备专（兼）职医保管理人员，并由医疗机构主要负责同志分管医保工作；100张床位以上的医疗机构应设医保办公室，安排专职工作人员；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 与主要从业人员依法签订1年以上劳动合同，且劳动合同在有效期内；按时足额缴纳职工医疗保险、养老保险等社会保险费；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.应当具备完善的信息系统技术和接口标准，实现与医保信息系统安全有效对接，为参保人提供直接联网结算；设立医保药品、诊疗项目、医疗服务设施、医用耗材、疾病病种、医保医师等基础数据库，按规定使用国家统一的医保编码；有药品、耗材进销存管理系统，并建立“进、销、存”台账；有健全的财务管理系统，能打印会计账簿、财务报表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.具有符合医保要求的医保管理制度、财务制度、统计信息管理制度、医疗质量安全制度、现金管理制度及收费票据管理制度等；费用监控、处方点评、处方审核、医疗质量、医疗安全等管理制度记录完整且规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11.营业场所、设施设备、人员配备等应当持续符合行业主管部门的规定；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12.能够积极主动配合医保工作等。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928" w:right="1474" w:bottom="1587" w:left="1531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4"/>
                    <w:szCs w:val="24"/>
                  </w:rPr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6476B"/>
    <w:rsid w:val="008B7726"/>
    <w:rsid w:val="00D31D50"/>
    <w:rsid w:val="07AD5D87"/>
    <w:rsid w:val="15CB3B49"/>
    <w:rsid w:val="2D4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adjustRightInd w:val="0"/>
      <w:spacing w:line="318" w:lineRule="atLeast"/>
      <w:ind w:left="369" w:firstLine="369"/>
      <w:textAlignment w:val="baseline"/>
    </w:pPr>
    <w:rPr>
      <w:rFonts w:ascii="宋体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2022-03-11T02:11:53Z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EECED2A29C7C49FF8560D9F8639B880B</vt:lpwstr>
  </property>
</Properties>
</file>