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6"/>
        </w:rPr>
      </w:pPr>
      <w:r>
        <w:drawing>
          <wp:anchor distT="0" distB="0" distL="114300" distR="114300" simplePos="0" relativeHeight="251668480" behindDoc="0" locked="0" layoutInCell="1" allowOverlap="1">
            <wp:simplePos x="0" y="0"/>
            <wp:positionH relativeFrom="column">
              <wp:posOffset>-1022985</wp:posOffset>
            </wp:positionH>
            <wp:positionV relativeFrom="paragraph">
              <wp:posOffset>-1367790</wp:posOffset>
            </wp:positionV>
            <wp:extent cx="8910320" cy="10778490"/>
            <wp:effectExtent l="0" t="0" r="5080" b="11430"/>
            <wp:wrapNone/>
            <wp:docPr id="8" name="图片 8" descr="0fb571eb14c03ef323b349293c77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fb571eb14c03ef323b349293c77d9a"/>
                    <pic:cNvPicPr>
                      <a:picLocks noChangeAspect="1"/>
                    </pic:cNvPicPr>
                  </pic:nvPicPr>
                  <pic:blipFill>
                    <a:blip r:embed="rId14"/>
                    <a:stretch>
                      <a:fillRect/>
                    </a:stretch>
                  </pic:blipFill>
                  <pic:spPr>
                    <a:xfrm>
                      <a:off x="0" y="0"/>
                      <a:ext cx="8910320" cy="10778490"/>
                    </a:xfrm>
                    <a:prstGeom prst="rect">
                      <a:avLst/>
                    </a:prstGeom>
                  </pic:spPr>
                </pic:pic>
              </a:graphicData>
            </a:graphic>
          </wp:anchor>
        </w:drawing>
      </w:r>
      <w:r>
        <w:br w:type="page"/>
      </w:r>
    </w:p>
    <w:p>
      <w:pPr>
        <w:jc w:val="center"/>
        <w:rPr>
          <w:rFonts w:ascii="黑体" w:hAnsi="黑体" w:eastAsia="黑体" w:cs="黑体"/>
          <w:sz w:val="72"/>
          <w:szCs w:val="96"/>
        </w:rPr>
      </w:pPr>
      <w:r>
        <w:rPr>
          <w:rFonts w:hint="eastAsia" w:ascii="黑体" w:hAnsi="黑体" w:eastAsia="黑体" w:cs="黑体"/>
          <w:sz w:val="72"/>
          <w:szCs w:val="96"/>
        </w:rPr>
        <w:t>保定市满城区医疗保障局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jc w:val="center"/>
        <w:rPr>
          <w:rFonts w:ascii="黑体" w:hAnsi="黑体" w:eastAsia="黑体" w:cs="黑体"/>
          <w:sz w:val="56"/>
          <w:szCs w:val="72"/>
          <w:highlight w:val="yellow"/>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1312;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8"/>
        <w:widowControl/>
        <w:spacing w:line="52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根据保定市满城区人民政府办公室《关于印发保定市满城区医疗保障局职能配置、内设机构和人员编制规定的通知》（满办字[2019] 5号），现将我局部门概况说明如下：</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(一)拟定全区城镇职工和城乡居民医疗保险、生育保险、医疗救助等医疗保障制度、规划和标准，并组织实施。会同有关部门拟定区直离休人员医疗保障政策、国家公务员医疗补助办法。</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（二）拟定完善全区医疗保障基金监督管理工作，建立健全医疗保障基金安全防控机制，组织建设智能监控平台，推进医疗保障基金支付改革，并组织实施。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（三）组织制定全区城镇职工、城乡居民参保筹资和保障待遇政策，统筹城乡医疗保障政策标准，建立健全与筹资水平相适应的待遇调整机制。拟定长期护理保险制度方案及政策标准并组织实施。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（四）贯彻落实并组织实施全省统一的药品、医用耗材、医疗服务项目、医疗服务设施等医保目录和支付标准，建立动态调整机制，贯彻落实医保目录准入谈判规则并组织实施。</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贯彻落实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napToGrid w:val="0"/>
        <w:spacing w:line="400" w:lineRule="exact"/>
        <w:ind w:firstLine="480" w:firstLineChars="15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（六）制度全区药品、医用耗材的招标采购政策并监督实施，指导药品、医用耗材招标采购平台建设。</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制定全区定点医药机构协议和支付管理办法并组织实施。建立健全医疗保障信用评价体系和信息披露制度，监督管理定点医药机构的医疗服务行为、医疗费用和医药价格，依法查处医疗保障领域违法违规行为。</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（八）负责医疗保障经办管理、公共服务体系和信息化建设。贯彻落实异地就医管理和费用结算政策。建立健全医疗保障关系转移接续制度并实施。</w:t>
      </w:r>
    </w:p>
    <w:p>
      <w:pPr>
        <w:snapToGrid w:val="0"/>
        <w:spacing w:line="4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（九）完成区委、区政府交办的其他任务。</w:t>
      </w:r>
    </w:p>
    <w:p>
      <w:pPr>
        <w:snapToGrid w:val="0"/>
        <w:spacing w:line="400" w:lineRule="exact"/>
        <w:ind w:firstLine="640" w:firstLineChars="200"/>
        <w:rPr>
          <w:rFonts w:ascii="仿宋_GB2312" w:hAnsi="仿宋" w:eastAsia="仿宋_GB2312" w:cs="仿宋_GB2312"/>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2</w:t>
      </w:r>
      <w:r>
        <w:rPr>
          <w:rFonts w:hint="eastAsia" w:ascii="仿宋_GB2312" w:hAnsi="Calibri" w:eastAsia="仿宋_GB2312" w:cs="ArialUnicodeMS"/>
          <w:kern w:val="0"/>
          <w:sz w:val="32"/>
          <w:szCs w:val="32"/>
          <w:lang w:val="en-US" w:eastAsia="zh-CN"/>
        </w:rPr>
        <w:t>020</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个，具体情况如下：</w:t>
      </w:r>
    </w:p>
    <w:p>
      <w:pPr>
        <w:spacing w:line="580" w:lineRule="exact"/>
        <w:ind w:firstLine="640" w:firstLineChars="200"/>
        <w:rPr>
          <w:rFonts w:ascii="仿宋_GB2312" w:hAnsi="Calibri" w:eastAsia="仿宋_GB2312" w:cs="ArialUnicodeMS"/>
          <w:kern w:val="0"/>
          <w:sz w:val="32"/>
          <w:szCs w:val="32"/>
        </w:rPr>
      </w:pPr>
    </w:p>
    <w:tbl>
      <w:tblPr>
        <w:tblStyle w:val="5"/>
        <w:tblpPr w:leftFromText="180" w:rightFromText="180" w:vertAnchor="text" w:horzAnchor="page" w:tblpXSpec="center" w:tblpY="10"/>
        <w:tblOverlap w:val="never"/>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833"/>
        <w:gridCol w:w="2505"/>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85"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833"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505"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4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85"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833"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保定市满城区医疗保障局</w:t>
            </w:r>
          </w:p>
        </w:tc>
        <w:tc>
          <w:tcPr>
            <w:tcW w:w="2505"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46"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85"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833"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保定市满城区医疗保险服务中心</w:t>
            </w:r>
          </w:p>
        </w:tc>
        <w:tc>
          <w:tcPr>
            <w:tcW w:w="2505"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财政补助事业单位</w:t>
            </w:r>
          </w:p>
        </w:tc>
        <w:tc>
          <w:tcPr>
            <w:tcW w:w="2646" w:type="dxa"/>
            <w:vAlign w:val="center"/>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财政性资金基本保证</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438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5408"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3" name="文本框 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7" o:spid="_x0000_s1026" o:spt="202" type="#_x0000_t202" style="position:absolute;left:0pt;margin-left:-80.95pt;margin-top:-207.65pt;height:263.1pt;width:613.65pt;z-index:251665408;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P8itCQ+AgAAnAQAAA4AAAAAAAAAAQAg&#10;AAAALAEAAGRycy9lMm9Eb2MueG1sUEsFBgAAAAAGAAYAWQEAANwFA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020年度收入总计19004.31万元。与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9年度决算相比，收入增加18405.08万元，增长3071.46%，主要原因是本单位为机构改革新增单位，2019年未做预算，没有基本收入只有部分项目收入。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支出总计19004.31万元。与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9年度决算相比，支出增加18405.08万元，增长3071.46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，主要原因是本单位为机构改革新增单位，2019年未做预算，没有基本支出只有部分项目支出。</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DengXian-Regular"/>
          <w:sz w:val="32"/>
          <w:szCs w:val="32"/>
        </w:rPr>
        <w:t>19004.31</w:t>
      </w:r>
      <w:r>
        <w:rPr>
          <w:rFonts w:hint="eastAsia" w:ascii="仿宋_GB2312" w:hAnsi="Times New Roman" w:eastAsia="仿宋_GB2312" w:cs="Wingdings"/>
          <w:sz w:val="32"/>
          <w:szCs w:val="32"/>
        </w:rPr>
        <w:t>万元，其中：财政拨款收入</w:t>
      </w:r>
      <w:r>
        <w:rPr>
          <w:rFonts w:hint="eastAsia" w:ascii="仿宋_GB2312" w:hAnsi="Times New Roman" w:eastAsia="仿宋_GB2312" w:cs="DengXian-Regular"/>
          <w:sz w:val="32"/>
          <w:szCs w:val="32"/>
        </w:rPr>
        <w:t>19004.31</w:t>
      </w:r>
      <w:r>
        <w:rPr>
          <w:rFonts w:hint="eastAsia" w:ascii="仿宋_GB2312" w:hAnsi="Times New Roman" w:eastAsia="仿宋_GB2312" w:cs="Wingdings"/>
          <w:sz w:val="32"/>
          <w:szCs w:val="32"/>
        </w:rPr>
        <w:t>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DengXian-Regular"/>
          <w:sz w:val="32"/>
          <w:szCs w:val="32"/>
        </w:rPr>
        <w:t>19004.31</w:t>
      </w:r>
      <w:r>
        <w:rPr>
          <w:rFonts w:hint="eastAsia" w:ascii="仿宋_GB2312" w:hAnsi="Times New Roman" w:eastAsia="仿宋_GB2312" w:cs="Wingdings"/>
          <w:sz w:val="32"/>
          <w:szCs w:val="32"/>
        </w:rPr>
        <w:t>万元，其中：基本支出428.79万元，占2.26%；项目支出18575.51万元，占97.74%；经营支出0万元，占0%。</w:t>
      </w:r>
      <w:r>
        <w:rPr>
          <w:sz w:val="32"/>
        </w:rPr>
        <mc:AlternateContent>
          <mc:Choice Requires="wps">
            <w:drawing>
              <wp:anchor distT="0" distB="0" distL="114300" distR="114300" simplePos="0" relativeHeight="251662336" behindDoc="1" locked="0" layoutInCell="1" allowOverlap="1">
                <wp:simplePos x="0" y="0"/>
                <wp:positionH relativeFrom="column">
                  <wp:posOffset>1319530</wp:posOffset>
                </wp:positionH>
                <wp:positionV relativeFrom="paragraph">
                  <wp:posOffset>227965</wp:posOffset>
                </wp:positionV>
                <wp:extent cx="3314065" cy="455295"/>
                <wp:effectExtent l="0" t="0" r="8255" b="1905"/>
                <wp:wrapNone/>
                <wp:docPr id="30" name="文本框 30"/>
                <wp:cNvGraphicFramePr/>
                <a:graphic xmlns:a="http://schemas.openxmlformats.org/drawingml/2006/main">
                  <a:graphicData uri="http://schemas.microsoft.com/office/word/2010/wordprocessingShape">
                    <wps:wsp>
                      <wps:cNvSpPr txBox="1"/>
                      <wps:spPr>
                        <a:xfrm>
                          <a:off x="2291715" y="4456430"/>
                          <a:ext cx="3314065" cy="455295"/>
                        </a:xfrm>
                        <a:prstGeom prst="rect">
                          <a:avLst/>
                        </a:prstGeom>
                        <a:solidFill>
                          <a:srgbClr val="FFFFFF"/>
                        </a:solidFill>
                        <a:ln w="6350">
                          <a:noFill/>
                        </a:ln>
                        <a:effectLst/>
                      </wps:spPr>
                      <wps:txbx>
                        <w:txbxContent>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9pt;margin-top:17.95pt;height:35.85pt;width:260.95pt;z-index:-251654144;mso-width-relative:page;mso-height-relative:page;" fillcolor="#FFFFFF" filled="t" stroked="f" coordsize="21600,21600" o:gfxdata="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EHQjbVAAAACgEAAA8AAAAAAAAAAQAgAAAAIgAAAGRycy9kb3ducmV2LnhtbFBLAQIUABQAAAAI&#10;AIdO4kDoSupRYgIAAKsEAAAOAAAAAAAAAAEAIAAAACQBAABkcnMvZTJvRG9jLnhtbFBLBQYAAAAA&#10;BgAGAFkBAAD4BQAAAAA=&#10;">
                <v:fill on="t" focussize="0,0"/>
                <v:stroke on="f" weight="0.5pt"/>
                <v:imagedata o:title=""/>
                <o:lock v:ext="edit" aspectratio="f"/>
                <v:textbox>
                  <w:txbxContent>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Wingdings"/>
          <w:sz w:val="32"/>
          <w:szCs w:val="32"/>
        </w:rPr>
        <w:t>本部门2020年度财政拨款收支均为一般公共预算财政拨款，其中本年收入19004.31万元,比2019年度增加</w:t>
      </w:r>
      <w:r>
        <w:rPr>
          <w:rFonts w:hint="eastAsia" w:ascii="仿宋_GB2312" w:hAnsi="Times New Roman" w:eastAsia="仿宋_GB2312" w:cs="DengXian-Regular"/>
          <w:sz w:val="32"/>
          <w:szCs w:val="32"/>
        </w:rPr>
        <w:t>18405.08</w:t>
      </w:r>
      <w:r>
        <w:rPr>
          <w:rFonts w:hint="eastAsia" w:ascii="仿宋_GB2312" w:hAnsi="Times New Roman" w:eastAsia="仿宋_GB2312" w:cs="Wingdings"/>
          <w:sz w:val="32"/>
          <w:szCs w:val="32"/>
        </w:rPr>
        <w:t>万元，增长</w:t>
      </w:r>
      <w:r>
        <w:rPr>
          <w:rFonts w:hint="eastAsia" w:ascii="仿宋_GB2312" w:hAnsi="Times New Roman" w:eastAsia="仿宋_GB2312" w:cs="DengXian-Regular"/>
          <w:sz w:val="32"/>
          <w:szCs w:val="32"/>
        </w:rPr>
        <w:t>3071.46%</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主要原因是本单位为机构改革新增单位，2019年未做预算，没有基本收入只有部分项目收入。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Wingdings"/>
          <w:sz w:val="32"/>
          <w:szCs w:val="32"/>
        </w:rPr>
        <w:t>本年支出19004.31万元，增加</w:t>
      </w:r>
      <w:r>
        <w:rPr>
          <w:rFonts w:hint="eastAsia" w:ascii="仿宋_GB2312" w:hAnsi="Times New Roman" w:eastAsia="仿宋_GB2312" w:cs="DengXian-Regular"/>
          <w:sz w:val="32"/>
          <w:szCs w:val="32"/>
        </w:rPr>
        <w:t>18405.08</w:t>
      </w:r>
      <w:r>
        <w:rPr>
          <w:rFonts w:hint="eastAsia" w:ascii="仿宋_GB2312" w:hAnsi="Times New Roman" w:eastAsia="仿宋_GB2312" w:cs="Wingdings"/>
          <w:sz w:val="32"/>
          <w:szCs w:val="32"/>
        </w:rPr>
        <w:t>万元，增长</w:t>
      </w:r>
      <w:r>
        <w:rPr>
          <w:rFonts w:hint="eastAsia" w:ascii="仿宋_GB2312" w:hAnsi="Times New Roman" w:eastAsia="仿宋_GB2312" w:cs="DengXian-Regular"/>
          <w:sz w:val="32"/>
          <w:szCs w:val="32"/>
        </w:rPr>
        <w:t>3071.46</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主要原因是本单位为机构改革新增单位，2019年未做预算，没有基本支出只有部分项目支出。</w:t>
      </w:r>
    </w:p>
    <w:p>
      <w:pPr>
        <w:adjustRightInd w:val="0"/>
        <w:snapToGrid w:val="0"/>
        <w:spacing w:line="580" w:lineRule="exact"/>
        <w:ind w:firstLine="640" w:firstLineChars="200"/>
        <w:rPr>
          <w:rFonts w:ascii="仿宋_GB2312" w:hAnsi="Times New Roman" w:eastAsia="仿宋_GB2312" w:cs="DengXian-Regular"/>
          <w:color w:val="FF0000"/>
          <w:sz w:val="32"/>
          <w:szCs w:val="32"/>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142240</wp:posOffset>
            </wp:positionH>
            <wp:positionV relativeFrom="paragraph">
              <wp:posOffset>17145</wp:posOffset>
            </wp:positionV>
            <wp:extent cx="4215130" cy="2501900"/>
            <wp:effectExtent l="0" t="0" r="13970" b="1270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ascii="仿宋_GB2312" w:hAnsi="Times New Roman" w:eastAsia="仿宋_GB2312" w:cs="DengXian-Regular"/>
          <w:color w:val="FF0000"/>
          <w:sz w:val="32"/>
          <w:szCs w:val="32"/>
        </w:rPr>
      </w:pPr>
    </w:p>
    <w:p>
      <w:pPr>
        <w:adjustRightInd w:val="0"/>
        <w:snapToGrid w:val="0"/>
        <w:spacing w:line="580" w:lineRule="exact"/>
        <w:ind w:firstLine="640" w:firstLineChars="200"/>
        <w:rPr>
          <w:rFonts w:ascii="仿宋_GB2312" w:hAnsi="Times New Roman" w:eastAsia="仿宋_GB2312" w:cs="DengXian-Regular"/>
          <w:color w:val="FF0000"/>
          <w:sz w:val="32"/>
          <w:szCs w:val="32"/>
        </w:rPr>
      </w:pPr>
    </w:p>
    <w:p>
      <w:pPr>
        <w:adjustRightInd w:val="0"/>
        <w:snapToGrid w:val="0"/>
        <w:spacing w:line="580" w:lineRule="exact"/>
        <w:ind w:firstLine="640" w:firstLineChars="200"/>
        <w:rPr>
          <w:rFonts w:ascii="仿宋_GB2312" w:hAnsi="Times New Roman" w:eastAsia="仿宋_GB2312" w:cs="DengXian-Regular"/>
          <w:color w:val="FF0000"/>
          <w:sz w:val="32"/>
          <w:szCs w:val="32"/>
        </w:rPr>
      </w:pPr>
    </w:p>
    <w:p>
      <w:pPr>
        <w:adjustRightInd w:val="0"/>
        <w:snapToGrid w:val="0"/>
        <w:spacing w:line="580" w:lineRule="exact"/>
        <w:ind w:firstLine="640" w:firstLineChars="200"/>
        <w:rPr>
          <w:rFonts w:ascii="仿宋_GB2312" w:hAnsi="Times New Roman" w:eastAsia="仿宋_GB2312" w:cs="DengXian-Regular"/>
          <w:color w:val="FF0000"/>
          <w:sz w:val="32"/>
          <w:szCs w:val="32"/>
        </w:rPr>
      </w:pPr>
    </w:p>
    <w:p>
      <w:pPr>
        <w:adjustRightInd w:val="0"/>
        <w:snapToGrid w:val="0"/>
        <w:spacing w:line="580" w:lineRule="exact"/>
        <w:ind w:firstLine="640" w:firstLineChars="200"/>
        <w:rPr>
          <w:rFonts w:ascii="仿宋_GB2312" w:hAnsi="Times New Roman" w:eastAsia="仿宋_GB2312" w:cs="DengXian-Regular"/>
          <w:color w:val="FF0000"/>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19004.31万元，完成年初预算的94.79%,比年初预算减少1044.13万元，决算数小于预算数主要原因是城乡居民医疗保险配套资金存在提前下达或者延后现象；本年支出19004.31万元，完成年初预算的94.79%,比年初预算减少1044.13万元，决算数小于预算数主要原因是主要是城乡居民医疗保险配套资金存在提前下达或者延后现象。</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2020年度财政拨款支出19004.31万元，主要用于以下方面：卫生健康（类）支出18915.21万元，占99.53%；住房保障（类）支出25.90万元，占 0.14%；社会保障和就业（类）支出 63.19万元，占0.33%。</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年度财政拨款基本支出428.79万元，其中：人员经费 412.63万元，主要包括基本工资、津贴补贴、奖金、绩效工资、机关事业单位基本养老保险缴费、职业年金缴费、职工基本医疗保险缴费、住房公积金、其他工资福利支出、退休费</w:t>
      </w:r>
      <w:r>
        <w:rPr>
          <w:rFonts w:hint="eastAsia" w:ascii="仿宋_GB2312" w:hAnsi="Times New Roman" w:eastAsia="仿宋_GB2312" w:cs="Wingdings"/>
          <w:sz w:val="32"/>
          <w:szCs w:val="32"/>
          <w:lang w:val="en-US" w:eastAsia="zh-CN"/>
        </w:rPr>
        <w:t>等</w:t>
      </w:r>
      <w:r>
        <w:rPr>
          <w:rFonts w:hint="eastAsia" w:ascii="仿宋_GB2312" w:hAnsi="Times New Roman" w:eastAsia="仿宋_GB2312" w:cs="Wingdings"/>
          <w:sz w:val="32"/>
          <w:szCs w:val="32"/>
        </w:rPr>
        <w:t>；公用经费 16.16万元，主要包括办公费、邮电费、取暖费、公务用车运行维护费、其他交通费用</w:t>
      </w:r>
      <w:r>
        <w:rPr>
          <w:rFonts w:hint="eastAsia" w:ascii="仿宋_GB2312" w:hAnsi="Times New Roman" w:eastAsia="仿宋_GB2312" w:cs="Wingdings"/>
          <w:sz w:val="32"/>
          <w:szCs w:val="32"/>
          <w:lang w:val="en-US" w:eastAsia="zh-CN"/>
        </w:rPr>
        <w:t>等</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本部门2020年度“三公”经费财政拨款支出预算为7.5</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万元，支出决算为1.59元，完成预算的21.20%,较预算减少5.91万元，降低78.80%，</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新购入车辆耗损小</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维修次数少</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较2019年度减少13.39万元，降低89.39%，主要是2019年有新车购入。</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公务用车购置及运行维护费。</w:t>
      </w:r>
      <w:r>
        <w:rPr>
          <w:rFonts w:hint="eastAsia" w:ascii="仿宋_GB2312" w:hAnsi="仿宋_GB2312" w:eastAsia="仿宋_GB2312" w:cs="仿宋_GB2312"/>
          <w:sz w:val="32"/>
          <w:szCs w:val="32"/>
        </w:rPr>
        <w:t>本部门2020年公务用车购置及运行维护费支出1.59万元，完成预算的21.20%，</w:t>
      </w:r>
      <w:r>
        <w:rPr>
          <w:rFonts w:hint="eastAsia" w:ascii="仿宋_GB2312" w:hAnsi="Times New Roman" w:eastAsia="仿宋_GB2312" w:cs="Wingdings"/>
          <w:sz w:val="32"/>
          <w:szCs w:val="32"/>
        </w:rPr>
        <w:t>较预算减少5.91万元，降低78.80%,</w:t>
      </w:r>
      <w:r>
        <w:rPr>
          <w:rFonts w:hint="eastAsia" w:ascii="仿宋_GB2312" w:hAnsi="Times New Roman" w:eastAsia="仿宋_GB2312" w:cs="DengXian-Regular"/>
          <w:sz w:val="32"/>
          <w:szCs w:val="32"/>
        </w:rPr>
        <w:t>主要是</w:t>
      </w:r>
      <w:r>
        <w:rPr>
          <w:rFonts w:ascii="仿宋_GB2312" w:hAnsi="Times New Roman" w:eastAsia="仿宋_GB2312" w:cs="DengXian-Regular"/>
          <w:sz w:val="32"/>
          <w:szCs w:val="32"/>
        </w:rPr>
        <w:t>新购入车辆耗损小</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维修次数</w:t>
      </w:r>
      <w:r>
        <w:rPr>
          <w:rFonts w:hint="eastAsia" w:ascii="仿宋_GB2312" w:hAnsi="Times New Roman" w:eastAsia="仿宋_GB2312" w:cs="DengXian-Regular"/>
          <w:sz w:val="32"/>
          <w:szCs w:val="32"/>
        </w:rPr>
        <w:t>少。</w:t>
      </w:r>
      <w:r>
        <w:rPr>
          <w:rFonts w:hint="eastAsia" w:ascii="仿宋_GB2312" w:hAnsi="Times New Roman" w:eastAsia="仿宋_GB2312" w:cs="Wingdings"/>
          <w:sz w:val="32"/>
          <w:szCs w:val="32"/>
        </w:rPr>
        <w:t>较2019年度减少13.39万元，降低89.39%，主要是2019年有新车购入。</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本部门2020年度公务用车购置量0辆，发生“公务用车购置”经费支出0万元。公务用车购置费支出较预算无变化；较上年</w:t>
      </w:r>
      <w:r>
        <w:rPr>
          <w:rFonts w:hint="eastAsia" w:ascii="仿宋_GB2312" w:hAnsi="Times New Roman" w:eastAsia="仿宋_GB2312" w:cs="Wingdings"/>
          <w:sz w:val="32"/>
          <w:szCs w:val="32"/>
          <w:lang w:val="en-US" w:eastAsia="zh-CN"/>
        </w:rPr>
        <w:t>减少12.7万元，减少100%，主要是本年度没有公车购置</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本部门2020年度单位公务用车保有量3辆,发生运行维护费支出1.59万元。公车运行维护费支出较预算减少7.5万元，降低78.80%,主要是</w:t>
      </w:r>
      <w:r>
        <w:rPr>
          <w:rFonts w:ascii="仿宋_GB2312" w:hAnsi="Times New Roman" w:eastAsia="仿宋_GB2312" w:cs="DengXian-Regular"/>
          <w:sz w:val="32"/>
          <w:szCs w:val="32"/>
        </w:rPr>
        <w:t>新购入车辆耗损小</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维修次数</w:t>
      </w:r>
      <w:r>
        <w:rPr>
          <w:rFonts w:hint="eastAsia" w:ascii="仿宋_GB2312" w:hAnsi="Times New Roman" w:eastAsia="仿宋_GB2312" w:cs="DengXian-Regular"/>
          <w:sz w:val="32"/>
          <w:szCs w:val="32"/>
        </w:rPr>
        <w:t>少</w:t>
      </w:r>
      <w:r>
        <w:rPr>
          <w:rFonts w:hint="eastAsia" w:ascii="仿宋_GB2312" w:hAnsi="Times New Roman" w:eastAsia="仿宋_GB2312" w:cs="Wingdings"/>
          <w:sz w:val="32"/>
          <w:szCs w:val="32"/>
        </w:rPr>
        <w:t>；较上年减少13.39万元，降低89.39%，主要是2019年有新车购入。</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lang w:eastAsia="zh-CN"/>
        </w:rPr>
        <w:t>（</w:t>
      </w:r>
      <w:r>
        <w:rPr>
          <w:rFonts w:hint="eastAsia" w:ascii="楷体_GB2312" w:hAnsi="Times New Roman" w:eastAsia="楷体_GB2312" w:cs="Mongolian Baiti"/>
          <w:b/>
          <w:bCs/>
          <w:sz w:val="32"/>
          <w:szCs w:val="32"/>
          <w:lang w:val="en-US" w:eastAsia="zh-CN"/>
        </w:rPr>
        <w:t>三</w:t>
      </w:r>
      <w:r>
        <w:rPr>
          <w:rFonts w:hint="eastAsia" w:ascii="楷体_GB2312" w:hAnsi="Times New Roman" w:eastAsia="楷体_GB2312" w:cs="Mongolian Baiti"/>
          <w:b/>
          <w:bCs/>
          <w:sz w:val="32"/>
          <w:szCs w:val="32"/>
          <w:lang w:eastAsia="zh-CN"/>
        </w:rPr>
        <w:t>）</w:t>
      </w:r>
      <w:r>
        <w:rPr>
          <w:rFonts w:hint="eastAsia" w:ascii="楷体_GB2312" w:hAnsi="Times New Roman" w:eastAsia="楷体_GB2312" w:cs="Mongolian Baiti"/>
          <w:b/>
          <w:bCs/>
          <w:sz w:val="32"/>
          <w:szCs w:val="32"/>
        </w:rPr>
        <w:t>公务接待费。</w:t>
      </w:r>
      <w:r>
        <w:rPr>
          <w:rFonts w:hint="eastAsia" w:ascii="仿宋_GB2312" w:hAnsi="仿宋_GB2312" w:eastAsia="仿宋_GB2312" w:cs="仿宋_GB2312"/>
          <w:sz w:val="32"/>
          <w:szCs w:val="32"/>
        </w:rPr>
        <w:t>本部门2020年公务</w:t>
      </w:r>
      <w:r>
        <w:rPr>
          <w:rFonts w:hint="eastAsia" w:ascii="仿宋_GB2312" w:hAnsi="仿宋_GB2312" w:eastAsia="仿宋_GB2312" w:cs="仿宋_GB2312"/>
          <w:sz w:val="32"/>
          <w:szCs w:val="32"/>
          <w:lang w:val="en-US" w:eastAsia="zh-CN"/>
        </w:rPr>
        <w:t>接待</w:t>
      </w:r>
      <w:r>
        <w:rPr>
          <w:rFonts w:hint="eastAsia" w:ascii="仿宋_GB2312" w:hAnsi="仿宋_GB2312" w:eastAsia="仿宋_GB2312" w:cs="仿宋_GB2312"/>
          <w:sz w:val="32"/>
          <w:szCs w:val="32"/>
        </w:rPr>
        <w:t>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万元。发生</w:t>
      </w:r>
      <w:r>
        <w:rPr>
          <w:rFonts w:hint="eastAsia" w:ascii="仿宋_GB2312" w:hAnsi="Times New Roman" w:eastAsia="仿宋_GB2312" w:cs="Wingdings"/>
          <w:sz w:val="32"/>
          <w:szCs w:val="32"/>
        </w:rPr>
        <w:t>公务接待共0批次、0人次。公务接待费支出较预算减少0.94万元，降低100%,主要是没有发生公务接待；较上年度减少0万元，降低0%,主要是2019年、2020年均未发生公务接待。</w:t>
      </w: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根据预算绩效管理要求，本部门组织对2020年度项目支出全面开展绩效自评，其中，一般公共预算项目14个，共涉及资金18575.51万元，占一般公共预算项目支出总额的97.74%。</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本部门在今年部门决算公开中按时完成绩效目标，及时拨付，基金配套及时，经费及时到位，保证了机关正常运行。</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b/>
          <w:bCs/>
          <w:sz w:val="32"/>
          <w:szCs w:val="32"/>
        </w:rPr>
        <w:t>。</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adjustRightInd w:val="0"/>
        <w:snapToGrid w:val="0"/>
        <w:spacing w:line="580" w:lineRule="exact"/>
        <w:ind w:firstLine="640" w:firstLineChars="200"/>
        <w:rPr>
          <w:rFonts w:hint="eastAsia" w:ascii="仿宋_GB2312" w:hAnsi="仿宋_GB2312" w:eastAsia="仿宋_GB2312" w:cs="仿宋_GB2312"/>
          <w:sz w:val="32"/>
          <w:szCs w:val="32"/>
        </w:rPr>
      </w:pP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580" w:lineRule="exact"/>
        <w:ind w:firstLine="640" w:firstLineChars="200"/>
        <w:rPr>
          <w:rFonts w:ascii="仿宋_GB2312" w:hAnsi="Times New Roman" w:eastAsia="仿宋_GB2312" w:cs="Wingdings"/>
          <w:sz w:val="32"/>
          <w:szCs w:val="32"/>
        </w:rPr>
      </w:pPr>
      <w:r>
        <w:rPr>
          <w:rFonts w:hint="eastAsia" w:ascii="仿宋_GB2312" w:hAnsi="仿宋_GB2312" w:eastAsia="仿宋_GB2312" w:cs="仿宋_GB2312"/>
          <w:sz w:val="32"/>
          <w:szCs w:val="32"/>
        </w:rPr>
        <w:t>本部门2020年度机关运行经费支出1.59万元，比2019年度减少13.39万元，降低89.39%。主要原因是</w:t>
      </w:r>
      <w:r>
        <w:rPr>
          <w:rFonts w:hint="eastAsia" w:ascii="仿宋_GB2312" w:hAnsi="Times New Roman" w:eastAsia="仿宋_GB2312" w:cs="Wingdings"/>
          <w:sz w:val="32"/>
          <w:szCs w:val="32"/>
        </w:rPr>
        <w:t>主要是2019年有新车购入。</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0万元。授予中小企业合同金0万元，其中授予小微企业合同金额0万元。</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仿宋_GB2312" w:eastAsia="仿宋_GB2312" w:cs="仿宋_GB2312"/>
          <w:sz w:val="32"/>
          <w:szCs w:val="32"/>
        </w:rPr>
        <w:t>截至2020年12月31日，本部门共有车辆2辆，比上年减少1辆，主要是2020年报废车辆1部。</w:t>
      </w:r>
      <w:r>
        <w:rPr>
          <w:rFonts w:hint="eastAsia" w:ascii="仿宋_GB2312" w:hAnsi="Times New Roman" w:eastAsia="仿宋_GB2312" w:cs="DengXian-Regular"/>
          <w:sz w:val="32"/>
          <w:szCs w:val="32"/>
        </w:rPr>
        <w:t>其中，其他用车3辆，其他用车主要是</w:t>
      </w:r>
      <w:r>
        <w:rPr>
          <w:rFonts w:ascii="仿宋_GB2312" w:hAnsi="Times New Roman" w:eastAsia="仿宋_GB2312" w:cs="DengXian-Regular"/>
          <w:sz w:val="32"/>
          <w:szCs w:val="32"/>
        </w:rPr>
        <w:t>行政事业单位用车</w:t>
      </w:r>
      <w:r>
        <w:rPr>
          <w:rFonts w:hint="eastAsia" w:ascii="仿宋_GB2312" w:hAnsi="Times New Roman" w:eastAsia="仿宋_GB2312" w:cs="DengXian-Regular"/>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单位价值50万元以上通用设备0台（套），与上年相比无变化，单位价值100万元以上专用设备0台（套），与上年相比无变化。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本部门2020年度未发生政府性基金预算、国有资金经营预算收支及结转结余情况，故政府性基金预算、国有资金经营预算等表以空表列示。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3360" behindDoc="0" locked="0" layoutInCell="1" allowOverlap="1">
                <wp:simplePos x="0" y="0"/>
                <wp:positionH relativeFrom="column">
                  <wp:posOffset>-1041400</wp:posOffset>
                </wp:positionH>
                <wp:positionV relativeFrom="paragraph">
                  <wp:posOffset>19050</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2pt;margin-top:1.5pt;height:263.1pt;width:613.65pt;z-index:251663360;v-text-anchor:middle;mso-width-relative:page;mso-height-relative:page;" fillcolor="#7F7F7F" filled="t" stroked="t" coordsize="21600,21600" o:gfxdata="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sp4rNoAAAALAQAADwAAAAAAAAABACAAAAAiAAAAZHJzL2Rv&#10;d25yZXYueG1sUEsBAhQAFAAAAAgAh07iQINGMGU4AgAAmwQAAA4AAAAAAAAAAQAgAAAAKQEAAGRy&#10;cy9lMm9Eb2MueG1sUEsFBgAAAAAGAAYAWQEAANMFAAAAAA==&#10;">
                <v:fill type="pattern" on="t" color2="#FFFFFF" o:title="5%" focussize="0,0" r:id="rId15"/>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-1027430</wp:posOffset>
                </wp:positionH>
                <wp:positionV relativeFrom="paragraph">
                  <wp:posOffset>1151255</wp:posOffset>
                </wp:positionV>
                <wp:extent cx="7793355" cy="3284220"/>
                <wp:effectExtent l="6350" t="6350" r="10795" b="24130"/>
                <wp:wrapNone/>
                <wp:docPr id="7" name="文本框 4"/>
                <wp:cNvGraphicFramePr/>
                <a:graphic xmlns:a="http://schemas.openxmlformats.org/drawingml/2006/main">
                  <a:graphicData uri="http://schemas.microsoft.com/office/word/2010/wordprocessingShape">
                    <wps:wsp>
                      <wps:cNvSpPr txBox="1"/>
                      <wps:spPr>
                        <a:xfrm>
                          <a:off x="0" y="0"/>
                          <a:ext cx="7793355" cy="328422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58.6pt;width:613.65pt;z-index:251667456;v-text-anchor:middle;mso-width-relative:page;mso-height-relative:page;" fillcolor="#7F7F7F" filled="t" stroked="t" coordsize="21600,21600" o:gfxdata="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r/mTLbAAAADQEAAA8AAAAAAAAAAQAgAAAAIgAA&#10;AGRycy9kb3ducmV2LnhtbFBLAQIUABQAAAAIAIdO4kBYF8yAPgIAAJwEAAAOAAAAAAAAAAEAIAAA&#10;ACoBAABkcnMvZTJvRG9jLnhtbFBLBQYAAAAABgAGAFkBAADaBQ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5"/>
        <w:tblW w:w="9990" w:type="dxa"/>
        <w:jc w:val="center"/>
        <w:tblLayout w:type="fixed"/>
        <w:tblCellMar>
          <w:top w:w="0" w:type="dxa"/>
          <w:left w:w="0" w:type="dxa"/>
          <w:bottom w:w="0" w:type="dxa"/>
          <w:right w:w="0" w:type="dxa"/>
        </w:tblCellMar>
      </w:tblPr>
      <w:tblGrid>
        <w:gridCol w:w="844"/>
        <w:gridCol w:w="13"/>
        <w:gridCol w:w="69"/>
        <w:gridCol w:w="15"/>
        <w:gridCol w:w="35"/>
        <w:gridCol w:w="15"/>
        <w:gridCol w:w="38"/>
        <w:gridCol w:w="12"/>
        <w:gridCol w:w="133"/>
        <w:gridCol w:w="67"/>
        <w:gridCol w:w="67"/>
        <w:gridCol w:w="2242"/>
        <w:gridCol w:w="851"/>
        <w:gridCol w:w="931"/>
        <w:gridCol w:w="61"/>
        <w:gridCol w:w="1134"/>
        <w:gridCol w:w="695"/>
        <w:gridCol w:w="439"/>
        <w:gridCol w:w="270"/>
        <w:gridCol w:w="284"/>
        <w:gridCol w:w="425"/>
        <w:gridCol w:w="425"/>
        <w:gridCol w:w="455"/>
        <w:gridCol w:w="60"/>
        <w:gridCol w:w="100"/>
        <w:gridCol w:w="310"/>
      </w:tblGrid>
      <w:tr>
        <w:tblPrEx>
          <w:tblCellMar>
            <w:top w:w="0" w:type="dxa"/>
            <w:left w:w="0" w:type="dxa"/>
            <w:bottom w:w="0" w:type="dxa"/>
            <w:right w:w="0" w:type="dxa"/>
          </w:tblCellMar>
        </w:tblPrEx>
        <w:trPr>
          <w:gridAfter w:val="2"/>
          <w:wAfter w:w="410" w:type="dxa"/>
          <w:trHeight w:val="670" w:hRule="atLeast"/>
          <w:jc w:val="center"/>
        </w:trPr>
        <w:tc>
          <w:tcPr>
            <w:tcW w:w="9580" w:type="dxa"/>
            <w:gridSpan w:val="24"/>
            <w:tcBorders>
              <w:top w:val="nil"/>
              <w:left w:val="nil"/>
              <w:bottom w:val="nil"/>
              <w:right w:val="nil"/>
            </w:tcBorders>
            <w:shd w:val="clear" w:color="auto" w:fill="auto"/>
            <w:noWrap/>
            <w:tcMar>
              <w:top w:w="15" w:type="dxa"/>
              <w:left w:w="15" w:type="dxa"/>
              <w:right w:w="15" w:type="dxa"/>
            </w:tcMar>
            <w:vAlign w:val="bottom"/>
          </w:tcPr>
          <w:tbl>
            <w:tblPr>
              <w:tblStyle w:val="5"/>
              <w:tblW w:w="9034"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76"/>
              <w:gridCol w:w="536"/>
              <w:gridCol w:w="922"/>
              <w:gridCol w:w="2595"/>
              <w:gridCol w:w="87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9034"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2776"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53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92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80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27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部门：保定市满城区医疗保障局</w:t>
                  </w:r>
                </w:p>
              </w:tc>
              <w:tc>
                <w:tcPr>
                  <w:tcW w:w="53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92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80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收入</w:t>
                  </w:r>
                </w:p>
              </w:tc>
              <w:tc>
                <w:tcPr>
                  <w:tcW w:w="480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9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53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87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19004.31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三、国有资本经营预算财政拨款收入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四、上级补助收入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五、事业收入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六、经营收入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七、附属单位上缴收入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八、其他收入</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63.19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18915.21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9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19004.31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19004.31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使用非财政拨款结余</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结余分配</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年初结转和结余</w:t>
                  </w: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年末结转和结余</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92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5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33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53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9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19004.31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19004.31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34"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注：本表反映部门本年度的总收支和年末结转结余情况。</w:t>
                  </w:r>
                </w:p>
              </w:tc>
            </w:tr>
          </w:tbl>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gridAfter w:val="2"/>
          <w:wAfter w:w="410" w:type="dxa"/>
          <w:trHeight w:val="357" w:hRule="atLeast"/>
          <w:jc w:val="center"/>
        </w:trPr>
        <w:tc>
          <w:tcPr>
            <w:tcW w:w="92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72"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5"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gridAfter w:val="2"/>
          <w:wAfter w:w="410" w:type="dxa"/>
          <w:trHeight w:val="357" w:hRule="atLeast"/>
          <w:jc w:val="center"/>
        </w:trPr>
        <w:tc>
          <w:tcPr>
            <w:tcW w:w="4401"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保定市满城区医疗保障局</w:t>
            </w:r>
            <w:r>
              <w:rPr>
                <w:rFonts w:hint="eastAsia" w:ascii="宋体" w:hAnsi="宋体" w:eastAsia="宋体" w:cs="宋体"/>
                <w:color w:val="000000"/>
                <w:kern w:val="0"/>
                <w:sz w:val="20"/>
                <w:szCs w:val="20"/>
              </w:rPr>
              <w:t xml:space="preserve">        </w:t>
            </w: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49"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2"/>
          <w:wAfter w:w="410" w:type="dxa"/>
          <w:trHeight w:val="249" w:hRule="atLeast"/>
          <w:jc w:val="center"/>
        </w:trPr>
        <w:tc>
          <w:tcPr>
            <w:tcW w:w="440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项目</w:t>
            </w:r>
          </w:p>
        </w:tc>
        <w:tc>
          <w:tcPr>
            <w:tcW w:w="99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本年收入合计</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财政拨款收入</w:t>
            </w:r>
          </w:p>
        </w:tc>
        <w:tc>
          <w:tcPr>
            <w:tcW w:w="6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上级补助收入</w:t>
            </w:r>
          </w:p>
        </w:tc>
        <w:tc>
          <w:tcPr>
            <w:tcW w:w="70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事业收入</w:t>
            </w:r>
          </w:p>
        </w:tc>
        <w:tc>
          <w:tcPr>
            <w:tcW w:w="2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经营收入</w:t>
            </w:r>
          </w:p>
        </w:tc>
        <w:tc>
          <w:tcPr>
            <w:tcW w:w="85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附属单位上缴收入</w:t>
            </w:r>
          </w:p>
        </w:tc>
        <w:tc>
          <w:tcPr>
            <w:tcW w:w="515"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gridAfter w:val="2"/>
          <w:wAfter w:w="410" w:type="dxa"/>
          <w:trHeight w:val="380" w:hRule="atLeast"/>
          <w:jc w:val="center"/>
        </w:trPr>
        <w:tc>
          <w:tcPr>
            <w:tcW w:w="84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3557" w:type="dxa"/>
            <w:gridSpan w:val="1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科目名称</w:t>
            </w: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2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85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c>
          <w:tcPr>
            <w:tcW w:w="515"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2"/>
          <w:wAfter w:w="410" w:type="dxa"/>
          <w:trHeight w:val="380"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57" w:type="dxa"/>
            <w:gridSpan w:val="1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2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85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515"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2"/>
          <w:wAfter w:w="410" w:type="dxa"/>
          <w:trHeight w:val="312"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57" w:type="dxa"/>
            <w:gridSpan w:val="1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2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85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c>
          <w:tcPr>
            <w:tcW w:w="515"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2"/>
          <w:wAfter w:w="410" w:type="dxa"/>
          <w:trHeight w:val="337" w:hRule="atLeast"/>
          <w:jc w:val="center"/>
        </w:trPr>
        <w:tc>
          <w:tcPr>
            <w:tcW w:w="4401"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栏次</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1</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2</w:t>
            </w:r>
          </w:p>
        </w:tc>
        <w:tc>
          <w:tcPr>
            <w:tcW w:w="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3</w:t>
            </w:r>
          </w:p>
        </w:tc>
        <w:tc>
          <w:tcPr>
            <w:tcW w:w="7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4</w:t>
            </w:r>
          </w:p>
        </w:tc>
        <w:tc>
          <w:tcPr>
            <w:tcW w:w="2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5</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6</w:t>
            </w:r>
          </w:p>
        </w:tc>
        <w:tc>
          <w:tcPr>
            <w:tcW w:w="5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7</w:t>
            </w:r>
          </w:p>
        </w:tc>
      </w:tr>
      <w:tr>
        <w:tblPrEx>
          <w:tblCellMar>
            <w:top w:w="0" w:type="dxa"/>
            <w:left w:w="0" w:type="dxa"/>
            <w:bottom w:w="0" w:type="dxa"/>
            <w:right w:w="0" w:type="dxa"/>
          </w:tblCellMar>
        </w:tblPrEx>
        <w:trPr>
          <w:gridAfter w:val="2"/>
          <w:wAfter w:w="410" w:type="dxa"/>
          <w:trHeight w:val="257" w:hRule="atLeast"/>
          <w:jc w:val="center"/>
        </w:trPr>
        <w:tc>
          <w:tcPr>
            <w:tcW w:w="4401"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hint="eastAsia" w:ascii="黑体" w:hAnsi="黑体" w:eastAsia="黑体" w:cs="宋体"/>
                <w:color w:val="000000"/>
                <w:kern w:val="0"/>
                <w:sz w:val="20"/>
                <w:szCs w:val="21"/>
              </w:rPr>
              <w:t>合计</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ascii="黑体" w:hAnsi="黑体" w:eastAsia="黑体" w:cs="宋体"/>
                <w:color w:val="000000"/>
                <w:kern w:val="0"/>
                <w:sz w:val="20"/>
                <w:szCs w:val="21"/>
              </w:rPr>
              <w:t>19004.31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r>
              <w:rPr>
                <w:rFonts w:ascii="黑体" w:hAnsi="黑体" w:eastAsia="黑体" w:cs="宋体"/>
                <w:color w:val="000000"/>
                <w:kern w:val="0"/>
                <w:sz w:val="20"/>
                <w:szCs w:val="21"/>
              </w:rPr>
              <w:t>19004.31</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2"/>
          <w:wAfter w:w="410" w:type="dxa"/>
          <w:trHeight w:val="219"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社会保障和就业支出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63.19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63.19</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p>
        </w:tc>
      </w:tr>
      <w:tr>
        <w:tblPrEx>
          <w:tblCellMar>
            <w:top w:w="0" w:type="dxa"/>
            <w:left w:w="0" w:type="dxa"/>
            <w:bottom w:w="0" w:type="dxa"/>
            <w:right w:w="0" w:type="dxa"/>
          </w:tblCellMar>
        </w:tblPrEx>
        <w:trPr>
          <w:gridAfter w:val="2"/>
          <w:wAfter w:w="4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20805</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行政事业单位养老支出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58.19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58.19</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56"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2080502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事业单位离退休</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0.34</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75"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2080505</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机关事业单位基本养老保险缴费支出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50.73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50.73</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85"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2080506</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机关事业单位职业年金缴费支出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7.13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7.13</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47"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20899</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其他社会保障和就业支出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37"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2089901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其他社会保障和就业支出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85"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卫生健康支出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18,915.21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18,915.21</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32"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行政事业单位医疗</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18.18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18.18</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2101101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行政单位医疗</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3.36</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85"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2101102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事业单位医疗</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14.82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14.82</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3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财政对基本医疗保险基金的补助</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85"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2101202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财政对城乡居民基本医疗保险基金的补助</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119"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21013</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医疗救助</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2101301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城乡医疗救助</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171"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21015</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医疗保障管理事务</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337.82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337.82</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88"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2101501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行政运行</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109.34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109.34</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09"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2101502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一般行政管理事务</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2.70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2.70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01"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2101550</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事业运行</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217.17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217.17</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217"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2101599</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其他医疗保障管理事务支出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8.60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8.60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11"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221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住房保障支出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129"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22102</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住房改革支出</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101"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2210201</w:t>
            </w:r>
          </w:p>
        </w:tc>
        <w:tc>
          <w:tcPr>
            <w:tcW w:w="3557"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1"/>
              </w:rPr>
            </w:pPr>
            <w:r>
              <w:rPr>
                <w:rFonts w:hint="eastAsia" w:ascii="黑体" w:hAnsi="黑体" w:eastAsia="黑体" w:cs="宋体"/>
                <w:color w:val="000000"/>
                <w:kern w:val="0"/>
                <w:sz w:val="20"/>
                <w:szCs w:val="21"/>
              </w:rPr>
              <w:t>住房公积金</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25.90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1"/>
              </w:rPr>
            </w:pPr>
            <w:r>
              <w:rPr>
                <w:rFonts w:hint="eastAsia" w:ascii="黑体" w:hAnsi="黑体" w:eastAsia="黑体" w:cs="宋体"/>
                <w:color w:val="000000"/>
                <w:kern w:val="0"/>
                <w:sz w:val="20"/>
                <w:szCs w:val="21"/>
              </w:rPr>
              <w:t>25.90</w:t>
            </w:r>
          </w:p>
        </w:tc>
        <w:tc>
          <w:tcPr>
            <w:tcW w:w="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410" w:type="dxa"/>
          <w:trHeight w:val="385" w:hRule="atLeast"/>
          <w:jc w:val="center"/>
        </w:trPr>
        <w:tc>
          <w:tcPr>
            <w:tcW w:w="9580" w:type="dxa"/>
            <w:gridSpan w:val="2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注：本表反映部门本年度取得的各项收入情况。</w:t>
            </w:r>
          </w:p>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gridAfter w:val="1"/>
          <w:wAfter w:w="310" w:type="dxa"/>
          <w:trHeight w:val="612" w:hRule="atLeast"/>
          <w:jc w:val="center"/>
        </w:trPr>
        <w:tc>
          <w:tcPr>
            <w:tcW w:w="9680" w:type="dxa"/>
            <w:gridSpan w:val="2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gridAfter w:val="1"/>
          <w:wAfter w:w="310" w:type="dxa"/>
          <w:trHeight w:val="313" w:hRule="atLeast"/>
          <w:jc w:val="center"/>
        </w:trPr>
        <w:tc>
          <w:tcPr>
            <w:tcW w:w="941"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0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2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40"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gridAfter w:val="1"/>
          <w:wAfter w:w="310" w:type="dxa"/>
          <w:trHeight w:val="313" w:hRule="atLeast"/>
          <w:jc w:val="center"/>
        </w:trPr>
        <w:tc>
          <w:tcPr>
            <w:tcW w:w="3550" w:type="dxa"/>
            <w:gridSpan w:val="1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部门：保定市满城区医疗保障局</w:t>
            </w: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2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0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49" w:type="dxa"/>
            <w:gridSpan w:val="6"/>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gridAfter w:val="1"/>
          <w:wAfter w:w="310" w:type="dxa"/>
          <w:trHeight w:val="323" w:hRule="atLeast"/>
          <w:jc w:val="center"/>
        </w:trPr>
        <w:tc>
          <w:tcPr>
            <w:tcW w:w="355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8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99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82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70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70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040" w:type="dxa"/>
            <w:gridSpan w:val="4"/>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gridAfter w:val="1"/>
          <w:wAfter w:w="310" w:type="dxa"/>
          <w:trHeight w:val="319" w:hRule="atLeast"/>
          <w:jc w:val="center"/>
        </w:trPr>
        <w:tc>
          <w:tcPr>
            <w:tcW w:w="84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706" w:type="dxa"/>
            <w:gridSpan w:val="11"/>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82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40"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gridAfter w:val="1"/>
          <w:wAfter w:w="310" w:type="dxa"/>
          <w:trHeight w:val="319"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06" w:type="dxa"/>
            <w:gridSpan w:val="11"/>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2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40"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310" w:type="dxa"/>
          <w:trHeight w:val="312"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06" w:type="dxa"/>
            <w:gridSpan w:val="11"/>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2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40"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310" w:type="dxa"/>
          <w:trHeight w:val="323" w:hRule="atLeast"/>
          <w:jc w:val="center"/>
        </w:trPr>
        <w:tc>
          <w:tcPr>
            <w:tcW w:w="3550"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8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8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7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04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gridAfter w:val="1"/>
          <w:wAfter w:w="310" w:type="dxa"/>
          <w:trHeight w:val="323" w:hRule="atLeast"/>
          <w:jc w:val="center"/>
        </w:trPr>
        <w:tc>
          <w:tcPr>
            <w:tcW w:w="3550"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19004.31</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428.79</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18575.51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社会保障和就业支出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63.19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58.19</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20805</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行政事业单位养老支出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58.19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58.19</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事业单位离退休</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0.34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0.34</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456"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2080505</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机关事业单位基本养老保险缴费支出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50.73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50.73</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2080506</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机关事业单位职业年金缴费支出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7.13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7.13</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20899</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其他社会保障和就业支出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2089901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其他社会保障和就业支出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5.00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卫生健康支出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18915.21</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344.70</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18570.51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行政事业单位医疗</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18.18</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2101101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行政单位医疗</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3.36</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3.36</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2101102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事业单位医疗</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14.82</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14.82</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财政对基本医疗保险基金的补助</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18040.41</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18040.41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2101202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财政对城乡居民基本医疗保险基金的补助</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18040.41</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18040.41</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21013</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医疗救助</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518.80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518.80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2101301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城乡医疗救助</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518.80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518.80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21015</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医疗保障管理事务</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337.82</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326.51</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11.30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2101501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行政运行</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109.34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109.34</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2101502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一般行政管理事务</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2.70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2.70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2101550</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事业运行</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217.17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217.17</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2101599</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其他医疗保障管理事务支出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8.60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8.60</w:t>
            </w: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221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住房保障支出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22102</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住房改革支出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2210201</w:t>
            </w:r>
          </w:p>
        </w:tc>
        <w:tc>
          <w:tcPr>
            <w:tcW w:w="2706"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住房公积金</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r>
              <w:rPr>
                <w:rFonts w:hint="eastAsia" w:ascii="黑体" w:hAnsi="黑体" w:eastAsia="黑体" w:cs="宋体"/>
                <w:color w:val="000000"/>
                <w:kern w:val="0"/>
                <w:sz w:val="20"/>
                <w:szCs w:val="20"/>
              </w:rPr>
              <w:t>25.90</w:t>
            </w:r>
          </w:p>
        </w:tc>
        <w:tc>
          <w:tcPr>
            <w:tcW w:w="18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70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c>
          <w:tcPr>
            <w:tcW w:w="104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黑体" w:hAnsi="黑体" w:eastAsia="黑体" w:cs="宋体"/>
                <w:color w:val="000000"/>
                <w:kern w:val="0"/>
                <w:sz w:val="20"/>
                <w:szCs w:val="20"/>
              </w:rPr>
            </w:pPr>
          </w:p>
        </w:tc>
      </w:tr>
      <w:tr>
        <w:tblPrEx>
          <w:tblCellMar>
            <w:top w:w="0" w:type="dxa"/>
            <w:left w:w="0" w:type="dxa"/>
            <w:bottom w:w="0" w:type="dxa"/>
            <w:right w:w="0" w:type="dxa"/>
          </w:tblCellMar>
        </w:tblPrEx>
        <w:trPr>
          <w:gridAfter w:val="1"/>
          <w:wAfter w:w="310" w:type="dxa"/>
          <w:trHeight w:val="323" w:hRule="atLeast"/>
          <w:jc w:val="center"/>
        </w:trPr>
        <w:tc>
          <w:tcPr>
            <w:tcW w:w="9680" w:type="dxa"/>
            <w:gridSpan w:val="25"/>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注：本表反映部门本年度各项支出情况。</w:t>
            </w:r>
          </w:p>
        </w:tc>
      </w:tr>
      <w:tr>
        <w:tblPrEx>
          <w:tblCellMar>
            <w:top w:w="0" w:type="dxa"/>
            <w:left w:w="0" w:type="dxa"/>
            <w:bottom w:w="0" w:type="dxa"/>
            <w:right w:w="0" w:type="dxa"/>
          </w:tblCellMar>
        </w:tblPrEx>
        <w:trPr>
          <w:gridAfter w:val="3"/>
          <w:wAfter w:w="470" w:type="dxa"/>
          <w:trHeight w:val="406" w:hRule="atLeast"/>
          <w:jc w:val="center"/>
        </w:trPr>
        <w:tc>
          <w:tcPr>
            <w:tcW w:w="9520" w:type="dxa"/>
            <w:gridSpan w:val="23"/>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26"/>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368"/>
              <w:gridCol w:w="97"/>
              <w:gridCol w:w="748"/>
              <w:gridCol w:w="2273"/>
              <w:gridCol w:w="183"/>
              <w:gridCol w:w="242"/>
              <w:gridCol w:w="204"/>
              <w:gridCol w:w="498"/>
              <w:gridCol w:w="149"/>
              <w:gridCol w:w="702"/>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782" w:type="dxa"/>
                  <w:gridSpan w:val="3"/>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宋体"/>
                      <w:color w:val="000000"/>
                      <w:kern w:val="0"/>
                      <w:sz w:val="18"/>
                      <w:szCs w:val="18"/>
                    </w:rPr>
                    <w:t>部门：保定市满城区医疗保障局</w:t>
                  </w: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36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45"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27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25"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51" w:type="dxa"/>
                  <w:gridSpan w:val="3"/>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36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45"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27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25"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gridSpan w:val="3"/>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19004.31</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63.19</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18915.21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25.90</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19004.31</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19004.31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19004.31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36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368"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84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19004.31</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51"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19004.31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19004.31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4"/>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4"/>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gridSpan w:val="9"/>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2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8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1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gridSpan w:val="9"/>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2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保定市满城区医疗保障局</w:t>
            </w:r>
          </w:p>
        </w:tc>
        <w:tc>
          <w:tcPr>
            <w:tcW w:w="178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1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55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440" w:type="dxa"/>
            <w:gridSpan w:val="1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11"/>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2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78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8"/>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11"/>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78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11"/>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78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550"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550"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cs="Arial"/>
                <w:b/>
                <w:bCs/>
                <w:color w:val="000000"/>
                <w:sz w:val="22"/>
                <w:szCs w:val="22"/>
              </w:rPr>
              <w:t>19,004.31</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428.79</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18575.51</w:t>
            </w:r>
          </w:p>
        </w:tc>
      </w:tr>
      <w:tr>
        <w:tblPrEx>
          <w:tblCellMar>
            <w:top w:w="0" w:type="dxa"/>
            <w:left w:w="0" w:type="dxa"/>
            <w:bottom w:w="0" w:type="dxa"/>
            <w:right w:w="0" w:type="dxa"/>
          </w:tblCellMar>
        </w:tblPrEx>
        <w:trPr>
          <w:trHeight w:val="308" w:hRule="atLeast"/>
          <w:jc w:val="center"/>
        </w:trPr>
        <w:tc>
          <w:tcPr>
            <w:tcW w:w="8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2693"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63.19</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58.19</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r>
      <w:tr>
        <w:tblPrEx>
          <w:tblCellMar>
            <w:top w:w="0" w:type="dxa"/>
            <w:left w:w="0" w:type="dxa"/>
            <w:bottom w:w="0" w:type="dxa"/>
            <w:right w:w="0" w:type="dxa"/>
          </w:tblCellMar>
        </w:tblPrEx>
        <w:trPr>
          <w:trHeight w:val="308" w:hRule="atLeast"/>
          <w:jc w:val="center"/>
        </w:trPr>
        <w:tc>
          <w:tcPr>
            <w:tcW w:w="8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2693"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行政事业单位养老支出</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58.19</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58.19</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2080502</w:t>
            </w:r>
          </w:p>
        </w:tc>
        <w:tc>
          <w:tcPr>
            <w:tcW w:w="2693"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事业单位离退休</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0.34</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0.34</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2693"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机关事业单位基本养老保险缴费支出</w:t>
            </w:r>
          </w:p>
        </w:tc>
        <w:tc>
          <w:tcPr>
            <w:tcW w:w="17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50.73</w:t>
            </w:r>
          </w:p>
        </w:tc>
        <w:tc>
          <w:tcPr>
            <w:tcW w:w="232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50.73</w:t>
            </w:r>
          </w:p>
        </w:tc>
        <w:tc>
          <w:tcPr>
            <w:tcW w:w="232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2693" w:type="dxa"/>
            <w:gridSpan w:val="10"/>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机关事业单位职业年金缴费支出</w:t>
            </w:r>
          </w:p>
        </w:tc>
        <w:tc>
          <w:tcPr>
            <w:tcW w:w="178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7.13</w:t>
            </w:r>
          </w:p>
        </w:tc>
        <w:tc>
          <w:tcPr>
            <w:tcW w:w="2329"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7.13</w:t>
            </w:r>
          </w:p>
        </w:tc>
        <w:tc>
          <w:tcPr>
            <w:tcW w:w="2329" w:type="dxa"/>
            <w:gridSpan w:val="8"/>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20899</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其他社会保障和就业支出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2089901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其他社会保障和就业支出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卫生健康支出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18,915.21</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344.70</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18570.51</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18.18</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18.18</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2101101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行政单位医疗</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3.36</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3.36</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2101102</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事业单位医疗</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14.82</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14.82</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21012</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财政对基本医疗保险基金的补助</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18040.41</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2101202</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财政对城乡居民基本医疗保险基金的补助</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18,040.41</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18040.41</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21013</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医疗救助</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518.80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2101301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城乡医疗救助</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518.80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518.80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21015</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医疗保障管理事务</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337.82</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326.51</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11.30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2101501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行政运行</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109.34</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109.34</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2101502</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一般行政管理事务</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2.70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ind w:right="110"/>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2101550</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事业运行</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217.17</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217.17</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2101599</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其他医疗保障管理事务支出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8.60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8.60</w:t>
            </w: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08" w:hRule="atLeast"/>
          <w:jc w:val="center"/>
        </w:trPr>
        <w:tc>
          <w:tcPr>
            <w:tcW w:w="85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2693"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7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25.90</w:t>
            </w:r>
          </w:p>
        </w:tc>
        <w:tc>
          <w:tcPr>
            <w:tcW w:w="232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0"/>
                <w:sz w:val="18"/>
                <w:szCs w:val="18"/>
              </w:rPr>
            </w:pPr>
          </w:p>
        </w:tc>
      </w:tr>
    </w:tbl>
    <w:p>
      <w:pPr>
        <w:jc w:val="left"/>
      </w:pPr>
      <w:r>
        <w:rPr>
          <w:rFonts w:hint="eastAsia"/>
        </w:rPr>
        <w:t>注：本表反映部门本年度一般公共预算财政拨款支出情况。</w:t>
      </w:r>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hint="default" w:ascii="Arial" w:hAnsi="Arial" w:cs="Arial" w:eastAsiaTheme="minorEastAsia"/>
                <w:color w:val="000000"/>
                <w:sz w:val="16"/>
                <w:szCs w:val="16"/>
                <w:lang w:val="en-US" w:eastAsia="zh-CN"/>
              </w:rPr>
            </w:pPr>
            <w:r>
              <w:rPr>
                <w:rFonts w:hint="eastAsia" w:ascii="Arial" w:hAnsi="Arial" w:cs="Arial"/>
                <w:color w:val="000000"/>
                <w:sz w:val="16"/>
                <w:szCs w:val="16"/>
                <w:lang w:val="en-US" w:eastAsia="zh-CN"/>
              </w:rPr>
              <w:t>保定市满城区医疗保障局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412.29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16.16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188.67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38.80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11.45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68.73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50.73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7.13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3.45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18.18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1.88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4.86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412.63</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16.16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063"/>
        <w:gridCol w:w="1890"/>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06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89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063"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部门：</w:t>
            </w:r>
          </w:p>
        </w:tc>
        <w:tc>
          <w:tcPr>
            <w:tcW w:w="3455"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lang w:val="en-US" w:eastAsia="zh-CN"/>
              </w:rPr>
              <w:t>保定市满城区医疗保障局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063"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89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063"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8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063"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8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063"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063"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89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063"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8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063"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8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063"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1.59</w:t>
            </w:r>
          </w:p>
        </w:tc>
        <w:tc>
          <w:tcPr>
            <w:tcW w:w="189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1.59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1.59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default" w:ascii="宋体" w:hAnsi="宋体" w:eastAsia="宋体" w:cs="宋体"/>
          <w:b/>
          <w:sz w:val="20"/>
          <w:szCs w:val="22"/>
          <w:highlight w:val="yellow"/>
          <w:lang w:val="en-US" w:eastAsia="zh-CN"/>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sz w:val="20"/>
          <w:szCs w:val="22"/>
          <w:lang w:val="en-US" w:eastAsia="zh-CN"/>
        </w:rPr>
        <w:t>本部门本年度无相关收支，按要求空表列示。</w:t>
      </w: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rFonts w:ascii="宋体" w:hAnsi="宋体" w:eastAsia="宋体" w:cs="宋体"/>
          <w:b/>
          <w:sz w:val="20"/>
          <w:szCs w:val="22"/>
          <w:highlight w:val="yellow"/>
        </w:rPr>
      </w:pPr>
    </w:p>
    <w:p>
      <w:pPr>
        <w:rPr>
          <w:b/>
          <w:sz w:val="20"/>
          <w:szCs w:val="22"/>
          <w:highlight w:val="yellow"/>
        </w:rPr>
      </w:pP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p>
    <w:p>
      <w:pPr>
        <w:rPr>
          <w:rFonts w:hint="default" w:ascii="宋体" w:hAnsi="宋体" w:eastAsia="宋体" w:cs="宋体"/>
          <w:b/>
          <w:sz w:val="20"/>
          <w:szCs w:val="22"/>
          <w:highlight w:val="yellow"/>
          <w:lang w:val="en-US" w:eastAsia="zh-CN"/>
        </w:rPr>
      </w:pPr>
      <w:r>
        <w:rPr>
          <w:rFonts w:hint="eastAsia" w:ascii="宋体" w:hAnsi="宋体" w:eastAsia="宋体" w:cs="宋体"/>
          <w:sz w:val="20"/>
          <w:szCs w:val="22"/>
          <w:lang w:val="en-US" w:eastAsia="zh-CN"/>
        </w:rPr>
        <w:t>本部门本年度无相关收支，按要求空表列示。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6432"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6"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6432;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LMpbSWY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lN0Ce3AAAAA8BAAAPAAAAAAAAAAEAIAAAACIAAABkcnMvZG93bnJldi54bWxQSwECFAAU&#10;AAAACACHTuJAsyltJZgCAAAfBQAADgAAAAAAAAABACAAAAArAQAAZHJzL2Uyb0RvYy54bWxQSwUG&#10;AAAAAAYABgBZAQAANQY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0D0759"/>
    <w:rsid w:val="000D1218"/>
    <w:rsid w:val="00122D5B"/>
    <w:rsid w:val="00161053"/>
    <w:rsid w:val="00167DDE"/>
    <w:rsid w:val="00171F5C"/>
    <w:rsid w:val="0018668E"/>
    <w:rsid w:val="001B73D2"/>
    <w:rsid w:val="001E62BF"/>
    <w:rsid w:val="0028683D"/>
    <w:rsid w:val="00293E7B"/>
    <w:rsid w:val="002A49B9"/>
    <w:rsid w:val="002D1F4F"/>
    <w:rsid w:val="002E6713"/>
    <w:rsid w:val="00301BD3"/>
    <w:rsid w:val="003432E0"/>
    <w:rsid w:val="00366D90"/>
    <w:rsid w:val="003716A1"/>
    <w:rsid w:val="0037799C"/>
    <w:rsid w:val="003D678E"/>
    <w:rsid w:val="00551B01"/>
    <w:rsid w:val="005658B8"/>
    <w:rsid w:val="00575C38"/>
    <w:rsid w:val="00612EA9"/>
    <w:rsid w:val="006637C6"/>
    <w:rsid w:val="007667F7"/>
    <w:rsid w:val="007F4031"/>
    <w:rsid w:val="00801F66"/>
    <w:rsid w:val="008B7DA5"/>
    <w:rsid w:val="008C087A"/>
    <w:rsid w:val="00911D70"/>
    <w:rsid w:val="0091523D"/>
    <w:rsid w:val="009334BF"/>
    <w:rsid w:val="00962793"/>
    <w:rsid w:val="009B76CB"/>
    <w:rsid w:val="009E6789"/>
    <w:rsid w:val="00A535FA"/>
    <w:rsid w:val="00AD083E"/>
    <w:rsid w:val="00B1345D"/>
    <w:rsid w:val="00B17DBC"/>
    <w:rsid w:val="00B50ED0"/>
    <w:rsid w:val="00C817A1"/>
    <w:rsid w:val="00CB5A1E"/>
    <w:rsid w:val="00DD2A7D"/>
    <w:rsid w:val="00DE555D"/>
    <w:rsid w:val="00E83482"/>
    <w:rsid w:val="00E94193"/>
    <w:rsid w:val="00E9443B"/>
    <w:rsid w:val="00ED340B"/>
    <w:rsid w:val="00ED6E8F"/>
    <w:rsid w:val="00F0558C"/>
    <w:rsid w:val="01881F0C"/>
    <w:rsid w:val="058B71E0"/>
    <w:rsid w:val="08C70F46"/>
    <w:rsid w:val="0A163422"/>
    <w:rsid w:val="0A1E5B31"/>
    <w:rsid w:val="0A3D3049"/>
    <w:rsid w:val="0BC374BC"/>
    <w:rsid w:val="0EA325C9"/>
    <w:rsid w:val="0F8A43D0"/>
    <w:rsid w:val="130A517E"/>
    <w:rsid w:val="149B3F08"/>
    <w:rsid w:val="18546CB7"/>
    <w:rsid w:val="1B4D681D"/>
    <w:rsid w:val="226E12C3"/>
    <w:rsid w:val="229B299E"/>
    <w:rsid w:val="29D34FEF"/>
    <w:rsid w:val="29D70ED5"/>
    <w:rsid w:val="2A5909C4"/>
    <w:rsid w:val="2AB12B66"/>
    <w:rsid w:val="2B126AA6"/>
    <w:rsid w:val="2B60608F"/>
    <w:rsid w:val="2D0002D9"/>
    <w:rsid w:val="2D5A42A1"/>
    <w:rsid w:val="2D6407BD"/>
    <w:rsid w:val="2E92489E"/>
    <w:rsid w:val="2F6D3CC7"/>
    <w:rsid w:val="2F7E60E9"/>
    <w:rsid w:val="2FB96948"/>
    <w:rsid w:val="3327616A"/>
    <w:rsid w:val="34C45458"/>
    <w:rsid w:val="34DA6E2B"/>
    <w:rsid w:val="35C83C42"/>
    <w:rsid w:val="3614075A"/>
    <w:rsid w:val="365D4B2F"/>
    <w:rsid w:val="3DDF16C0"/>
    <w:rsid w:val="3FDA1F92"/>
    <w:rsid w:val="419B6BF2"/>
    <w:rsid w:val="41C45183"/>
    <w:rsid w:val="4321664F"/>
    <w:rsid w:val="44C41D10"/>
    <w:rsid w:val="48F52E0F"/>
    <w:rsid w:val="4B710F31"/>
    <w:rsid w:val="4D303E4F"/>
    <w:rsid w:val="50161CB3"/>
    <w:rsid w:val="515C5FD3"/>
    <w:rsid w:val="528C3508"/>
    <w:rsid w:val="561D439F"/>
    <w:rsid w:val="575F1093"/>
    <w:rsid w:val="57A878D7"/>
    <w:rsid w:val="5BA74C10"/>
    <w:rsid w:val="5CC26713"/>
    <w:rsid w:val="5D0C63C4"/>
    <w:rsid w:val="5F7D7466"/>
    <w:rsid w:val="60C845F7"/>
    <w:rsid w:val="61332BEA"/>
    <w:rsid w:val="63076B54"/>
    <w:rsid w:val="65E17AA2"/>
    <w:rsid w:val="66287014"/>
    <w:rsid w:val="683F3D36"/>
    <w:rsid w:val="699048F4"/>
    <w:rsid w:val="6B441F4B"/>
    <w:rsid w:val="6BD12050"/>
    <w:rsid w:val="6E364601"/>
    <w:rsid w:val="726F3A51"/>
    <w:rsid w:val="736D466D"/>
    <w:rsid w:val="73D824BD"/>
    <w:rsid w:val="75705528"/>
    <w:rsid w:val="787871F8"/>
    <w:rsid w:val="78B47696"/>
    <w:rsid w:val="79A37049"/>
    <w:rsid w:val="79D56298"/>
    <w:rsid w:val="7A723D1C"/>
    <w:rsid w:val="7B9B0E19"/>
    <w:rsid w:val="7CDD758D"/>
    <w:rsid w:val="7E980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bmp"/><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9"/>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0"/>
              <c:layout>
                <c:manualLayout>
                  <c:x val="-0.00229077580940746"/>
                  <c:y val="0"/>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599.23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19004.31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599.23</c:v>
                </c:pt>
                <c:pt idx="1">
                  <c:v>19004.3099999999</c:v>
                </c:pt>
              </c:numCache>
            </c:numRef>
          </c:val>
        </c:ser>
        <c:dLbls>
          <c:showLegendKey val="0"/>
          <c:showVal val="1"/>
          <c:showCatName val="0"/>
          <c:showSerName val="0"/>
          <c:showPercent val="0"/>
          <c:showBubbleSize val="0"/>
        </c:dLbls>
        <c:gapWidth val="219"/>
        <c:overlap val="-27"/>
        <c:axId val="89404544"/>
        <c:axId val="89406080"/>
      </c:barChart>
      <c:catAx>
        <c:axId val="89404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89406080"/>
        <c:crosses val="autoZero"/>
        <c:auto val="1"/>
        <c:lblAlgn val="ctr"/>
        <c:lblOffset val="100"/>
        <c:noMultiLvlLbl val="0"/>
      </c:catAx>
      <c:valAx>
        <c:axId val="8940608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8940454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年度财政拨款收支对比情况（图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152231553182211"/>
          <c:y val="0.80349658282052"/>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0"/>
              <c:layout>
                <c:manualLayout>
                  <c:x val="-0.00229077580940746"/>
                  <c:y val="0"/>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599.23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t>19004.31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599.23</c:v>
                </c:pt>
                <c:pt idx="1">
                  <c:v>19004.3099999999</c:v>
                </c:pt>
              </c:numCache>
            </c:numRef>
          </c:val>
        </c:ser>
        <c:dLbls>
          <c:showLegendKey val="0"/>
          <c:showVal val="1"/>
          <c:showCatName val="0"/>
          <c:showSerName val="0"/>
          <c:showPercent val="0"/>
          <c:showBubbleSize val="0"/>
        </c:dLbls>
        <c:gapWidth val="219"/>
        <c:overlap val="-27"/>
        <c:axId val="77937280"/>
        <c:axId val="77955456"/>
      </c:barChart>
      <c:catAx>
        <c:axId val="77937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7955456"/>
        <c:crosses val="autoZero"/>
        <c:auto val="1"/>
        <c:lblAlgn val="ctr"/>
        <c:lblOffset val="100"/>
        <c:noMultiLvlLbl val="0"/>
      </c:catAx>
      <c:valAx>
        <c:axId val="77955456"/>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793728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1800</Words>
  <Characters>10262</Characters>
  <Lines>85</Lines>
  <Paragraphs>24</Paragraphs>
  <TotalTime>4</TotalTime>
  <ScaleCrop>false</ScaleCrop>
  <LinksUpToDate>false</LinksUpToDate>
  <CharactersWithSpaces>12038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NTKO</cp:lastModifiedBy>
  <cp:lastPrinted>2022-08-29T02:20:00Z</cp:lastPrinted>
  <dcterms:modified xsi:type="dcterms:W3CDTF">2022-12-13T08:33:24Z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3BD0E3E26D3D4F47ACF28980B77F7F1A</vt:lpwstr>
  </property>
</Properties>
</file>