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申请纳入普通门诊定点医疗机构应当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具备的条件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1.符合统筹区定点医疗机构布局计划；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2.需取得《医疗机构执业许可证》《营业执照》或《事业单位法人证书》；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3.正常运营3个月以上，每月门诊量达到100人次；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4.药品、耗材、诊疗项目价格不得高于同级同类公立医疗机构均值；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5.次均费用不得超过同病种同级同类公立医疗机构均值；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6.医保目录内药品、诊疗项目使用率达到相关规定要求；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7.至少配备2名具有执业医师资格并从事5年以上临床工作的医师，其中主治以上医师不少于1名，配备执业护士不少于2名；医师、护士实际执业类别、执业地点必须与注册证书相一致；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8.配备专（兼）职医保管理人员，并由医疗机构主要负责同志分管医保工作；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9.与主要从业人员依法签订1年以上劳动合同，且劳动合同在有效期内；按时足额缴纳职工医疗保险、养老保险等社会保险费；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.应当具备完善的信息系统技术和接口标准，实现与医保信息系统安全有效对接，为参保人提供直接联网结算；设立医保药品、诊疗项目、医疗服务设施、医用耗材、疾病病种、医保医师等基础数据库，按规定使用国家统一的医保编码；有药品、耗材进销存管理系统，并建立“进、销、存”台账；有健全的财务管理系统，能打印会计账簿、财务报表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11.具有符合医保要求的医保管理制度、财务制度、统计信息管理制度、医疗质量安全制度、现金管理制度及收费票据管理制度等；费用监控、处方点评、处方审核、医疗质量、医疗安全等管理制度记录完整且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12.营业场所、设施设备、人员配备等应当持续符合行政主管部门的规定；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13.能够积极主动配合医保工作等。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928" w:right="1474" w:bottom="1587" w:left="1531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4"/>
                    <w:szCs w:val="24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B0D0957"/>
    <w:rsid w:val="24A529E6"/>
    <w:rsid w:val="359176F2"/>
    <w:rsid w:val="389329D3"/>
    <w:rsid w:val="397C5D8E"/>
    <w:rsid w:val="43E16F0B"/>
    <w:rsid w:val="4C4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adjustRightInd w:val="0"/>
      <w:spacing w:line="318" w:lineRule="atLeast"/>
      <w:ind w:left="369" w:firstLine="369"/>
      <w:textAlignment w:val="baseline"/>
    </w:pPr>
    <w:rPr>
      <w:rFonts w:ascii="宋体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2022-03-11T02:11:09Z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4FA6A8F76C75476382479C9FC77C598F</vt:lpwstr>
  </property>
</Properties>
</file>